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E7E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关于公开征集重庆市大渡口区中度以上失能老年人发放养老服务消费补贴项目评估机构的公告（第三次）</w:t>
      </w:r>
    </w:p>
    <w:p w14:paraId="35AE52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eastAsia="zh-CN"/>
        </w:rPr>
      </w:pPr>
    </w:p>
    <w:p w14:paraId="1C040C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为加快推进2025年重庆市大渡口区中度以上失能老年人发放养老服务消费补贴工作，以更好满足失能老年人照护服务刚需和推动养老服务行业健康有序发展。现再次公开征集重庆市大渡口区中度以上失能老年人发放养老服务消费补贴项目评估机构，有关事项公告如下：</w:t>
      </w:r>
    </w:p>
    <w:p w14:paraId="46D42C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w:t>
      </w:r>
      <w:r>
        <w:rPr>
          <w:rFonts w:hint="eastAsia" w:ascii="Times New Roman" w:hAnsi="Times New Roman" w:eastAsia="方正黑体_GBK" w:cs="方正黑体_GBK"/>
          <w:sz w:val="32"/>
          <w:szCs w:val="32"/>
          <w:lang w:eastAsia="zh-CN"/>
        </w:rPr>
        <w:t>一、征集时间</w:t>
      </w:r>
    </w:p>
    <w:p w14:paraId="0D9A98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  2025年</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lang w:eastAsia="zh-CN"/>
        </w:rPr>
        <w:t>月</w:t>
      </w:r>
      <w:r>
        <w:rPr>
          <w:rFonts w:hint="default" w:ascii="Times New Roman" w:hAnsi="Times New Roman" w:eastAsia="方正仿宋_GBK" w:cs="方正仿宋_GBK"/>
          <w:sz w:val="32"/>
          <w:szCs w:val="32"/>
          <w:lang w:eastAsia="zh-CN"/>
        </w:rPr>
        <w:t>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lang w:eastAsia="zh-CN"/>
        </w:rPr>
        <w:t>日至</w:t>
      </w:r>
      <w:r>
        <w:rPr>
          <w:rFonts w:hint="default" w:ascii="Times New Roman" w:hAnsi="Times New Roman" w:eastAsia="方正仿宋_GBK" w:cs="方正仿宋_GBK"/>
          <w:sz w:val="32"/>
          <w:szCs w:val="32"/>
          <w:lang w:eastAsia="zh-CN"/>
        </w:rPr>
        <w:t>8</w:t>
      </w:r>
      <w:r>
        <w:rPr>
          <w:rFonts w:hint="eastAsia" w:ascii="Times New Roman" w:hAnsi="Times New Roman" w:eastAsia="方正仿宋_GBK" w:cs="方正仿宋_GBK"/>
          <w:sz w:val="32"/>
          <w:szCs w:val="32"/>
          <w:lang w:eastAsia="zh-CN"/>
        </w:rPr>
        <w:t>月</w:t>
      </w:r>
      <w:r>
        <w:rPr>
          <w:rFonts w:hint="eastAsia" w:ascii="Times New Roman" w:hAnsi="Times New Roman" w:eastAsia="方正仿宋_GBK" w:cs="方正仿宋_GBK"/>
          <w:sz w:val="32"/>
          <w:szCs w:val="32"/>
          <w:lang w:val="en-US" w:eastAsia="zh-CN"/>
        </w:rPr>
        <w:t>28</w:t>
      </w:r>
      <w:r>
        <w:rPr>
          <w:rFonts w:hint="eastAsia" w:ascii="Times New Roman" w:hAnsi="Times New Roman" w:eastAsia="方正仿宋_GBK" w:cs="方正仿宋_GBK"/>
          <w:sz w:val="32"/>
          <w:szCs w:val="32"/>
          <w:lang w:eastAsia="zh-CN"/>
        </w:rPr>
        <w:t>日17:00。</w:t>
      </w:r>
    </w:p>
    <w:p w14:paraId="3B25E7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征集数量</w:t>
      </w:r>
    </w:p>
    <w:p w14:paraId="24440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本次原则上评选2家评估机构，按相关规定如报名不足2家以实际评选结果为准。</w:t>
      </w:r>
    </w:p>
    <w:p w14:paraId="058D13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w:t>
      </w:r>
      <w:r>
        <w:rPr>
          <w:rFonts w:hint="eastAsia" w:ascii="方正黑体_GBK" w:hAnsi="方正黑体_GBK" w:eastAsia="方正黑体_GBK" w:cs="方正黑体_GBK"/>
          <w:sz w:val="32"/>
          <w:szCs w:val="32"/>
          <w:lang w:eastAsia="zh-CN"/>
        </w:rPr>
        <w:t>三、征集对象及条件</w:t>
      </w:r>
    </w:p>
    <w:p w14:paraId="4AD2FF0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老年人评估机构应符合《老年人能力评估规范》（GB/T 42195-2022）中第5.1评估环境、5.2评估主体的相关要求，并同时符合以下条件：</w:t>
      </w:r>
    </w:p>
    <w:p w14:paraId="206E1131">
      <w:pPr>
        <w:pStyle w:val="8"/>
        <w:keepNext w:val="0"/>
        <w:keepLines w:val="0"/>
        <w:pageBreakBefore w:val="0"/>
        <w:widowControl w:val="0"/>
        <w:kinsoku/>
        <w:wordWrap/>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楷体_GBK"/>
          <w:sz w:val="32"/>
          <w:szCs w:val="32"/>
        </w:rPr>
        <w:t>（一）资质要求。</w:t>
      </w:r>
      <w:r>
        <w:rPr>
          <w:rFonts w:ascii="Times New Roman" w:hAnsi="Times New Roman" w:eastAsia="方正仿宋_GBK"/>
          <w:sz w:val="32"/>
          <w:szCs w:val="32"/>
        </w:rPr>
        <w:t>依法设立，具有独立承担民事责任能力的企事业单位或社会组织，业务范围包括老年人能力评估类相关内容，能够独立开展老年人能力评估工作，无重大违法记录，未被列入严重违法失信名单。</w:t>
      </w:r>
      <w:r>
        <w:rPr>
          <w:rFonts w:hint="eastAsia" w:ascii="Times New Roman" w:hAnsi="Times New Roman" w:eastAsia="方正仿宋_GBK"/>
          <w:sz w:val="32"/>
          <w:szCs w:val="32"/>
        </w:rPr>
        <w:t>符合条件的</w:t>
      </w:r>
      <w:r>
        <w:rPr>
          <w:rFonts w:ascii="Times New Roman" w:hAnsi="Times New Roman" w:eastAsia="方正仿宋_GBK"/>
          <w:sz w:val="32"/>
          <w:szCs w:val="32"/>
        </w:rPr>
        <w:t>基层医疗机构、长期护理保险定点失能等级评估机构</w:t>
      </w:r>
      <w:r>
        <w:rPr>
          <w:rFonts w:hint="eastAsia" w:ascii="Times New Roman" w:hAnsi="Times New Roman" w:eastAsia="方正仿宋_GBK"/>
          <w:sz w:val="32"/>
          <w:szCs w:val="32"/>
        </w:rPr>
        <w:t>经</w:t>
      </w:r>
      <w:r>
        <w:rPr>
          <w:rFonts w:ascii="Times New Roman" w:hAnsi="Times New Roman" w:eastAsia="方正仿宋_GBK"/>
          <w:sz w:val="32"/>
          <w:szCs w:val="32"/>
        </w:rPr>
        <w:t>申请</w:t>
      </w:r>
      <w:r>
        <w:rPr>
          <w:rFonts w:hint="eastAsia" w:ascii="Times New Roman" w:hAnsi="Times New Roman" w:eastAsia="方正仿宋_GBK"/>
          <w:sz w:val="32"/>
          <w:szCs w:val="32"/>
        </w:rPr>
        <w:t>可</w:t>
      </w:r>
      <w:r>
        <w:rPr>
          <w:rFonts w:ascii="Times New Roman" w:hAnsi="Times New Roman" w:eastAsia="方正仿宋_GBK"/>
          <w:sz w:val="32"/>
          <w:szCs w:val="32"/>
        </w:rPr>
        <w:t>确定</w:t>
      </w:r>
      <w:r>
        <w:rPr>
          <w:rFonts w:hint="eastAsia" w:ascii="Times New Roman" w:hAnsi="Times New Roman" w:eastAsia="方正仿宋_GBK"/>
          <w:sz w:val="32"/>
          <w:szCs w:val="32"/>
        </w:rPr>
        <w:t>为</w:t>
      </w:r>
      <w:r>
        <w:rPr>
          <w:rFonts w:ascii="Times New Roman" w:hAnsi="Times New Roman" w:eastAsia="方正仿宋_GBK"/>
          <w:sz w:val="32"/>
          <w:szCs w:val="32"/>
        </w:rPr>
        <w:t>老年人能力评估机构。评估机构不得同时承担依本机构评估结论而开展养老服务工作，评估机构出资人</w:t>
      </w:r>
      <w:r>
        <w:rPr>
          <w:rFonts w:hint="eastAsia" w:ascii="Times New Roman" w:hAnsi="Times New Roman" w:eastAsia="方正仿宋_GBK"/>
          <w:sz w:val="32"/>
          <w:szCs w:val="32"/>
        </w:rPr>
        <w:t>、法定代表人、</w:t>
      </w:r>
      <w:r>
        <w:rPr>
          <w:rFonts w:ascii="Times New Roman" w:hAnsi="Times New Roman" w:eastAsia="方正仿宋_GBK"/>
          <w:sz w:val="32"/>
          <w:szCs w:val="32"/>
        </w:rPr>
        <w:t>主要负责人不得开办或参与开办养老服务机构。</w:t>
      </w:r>
    </w:p>
    <w:p w14:paraId="6D071C7E">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楷体_GBK"/>
          <w:sz w:val="32"/>
          <w:szCs w:val="32"/>
        </w:rPr>
        <w:t>（二）人员要求。</w:t>
      </w:r>
      <w:r>
        <w:rPr>
          <w:rFonts w:ascii="Times New Roman" w:hAnsi="Times New Roman" w:eastAsia="方正仿宋_GBK"/>
          <w:sz w:val="32"/>
          <w:szCs w:val="32"/>
        </w:rPr>
        <w:t>配置评估人员不少于10人，其中具备医护背景的评估人员不少于5人</w:t>
      </w:r>
      <w:r>
        <w:rPr>
          <w:rFonts w:ascii="Times New Roman" w:hAnsi="Times New Roman" w:eastAsia="方正仿宋_GBK"/>
          <w:sz w:val="32"/>
          <w:szCs w:val="32"/>
          <w:lang w:bidi="ar"/>
        </w:rPr>
        <w:t>。</w:t>
      </w:r>
      <w:r>
        <w:rPr>
          <w:rFonts w:ascii="Times New Roman" w:hAnsi="Times New Roman" w:eastAsia="方正仿宋_GBK"/>
          <w:sz w:val="32"/>
          <w:szCs w:val="32"/>
        </w:rPr>
        <w:t>评估人员应</w:t>
      </w:r>
      <w:r>
        <w:rPr>
          <w:rFonts w:hint="eastAsia" w:ascii="Times New Roman" w:hAnsi="Times New Roman" w:eastAsia="方正仿宋_GBK"/>
          <w:sz w:val="32"/>
          <w:szCs w:val="32"/>
        </w:rPr>
        <w:t>具备高</w:t>
      </w:r>
      <w:r>
        <w:rPr>
          <w:rFonts w:ascii="Times New Roman" w:hAnsi="Times New Roman" w:eastAsia="方正仿宋_GBK"/>
          <w:sz w:val="32"/>
          <w:szCs w:val="32"/>
        </w:rPr>
        <w:t>中</w:t>
      </w:r>
      <w:r>
        <w:rPr>
          <w:rFonts w:hint="eastAsia" w:ascii="Times New Roman" w:hAnsi="Times New Roman" w:eastAsia="方正仿宋_GBK"/>
          <w:sz w:val="32"/>
          <w:szCs w:val="32"/>
        </w:rPr>
        <w:t>或中专以上学历</w:t>
      </w:r>
      <w:r>
        <w:rPr>
          <w:rFonts w:ascii="Times New Roman" w:hAnsi="Times New Roman" w:eastAsia="方正仿宋_GBK"/>
          <w:sz w:val="32"/>
          <w:szCs w:val="32"/>
        </w:rPr>
        <w:t>，有5年以上从事医疗护理、健康管理、养老服务、社区治理、老年社会工作等实务经历并具有相关专业背景，持有老年人能力评估师职业技能等级证书或民政部组织的老年人能力评估师培训考核合格证书。评估专家应具有大学本科及以上学历，至少取得执业医师或老年人能力评估师技师及以上资格证书，负责指导开展现场评估、复核确认评估结论。</w:t>
      </w:r>
      <w:r>
        <w:rPr>
          <w:rFonts w:ascii="Times New Roman" w:hAnsi="Times New Roman" w:eastAsia="方正仿宋_GBK"/>
          <w:sz w:val="32"/>
          <w:szCs w:val="32"/>
        </w:rPr>
        <w:br w:type="textWrapping"/>
      </w:r>
      <w:r>
        <w:rPr>
          <w:rFonts w:hint="eastAsia" w:ascii="Times New Roman" w:hAnsi="Times New Roman" w:eastAsia="方正仿宋_GBK"/>
          <w:sz w:val="32"/>
          <w:szCs w:val="32"/>
        </w:rPr>
        <w:t xml:space="preserve">   </w:t>
      </w:r>
      <w:r>
        <w:rPr>
          <w:rFonts w:ascii="Times New Roman" w:hAnsi="Times New Roman" w:eastAsia="方正楷体_GBK"/>
          <w:sz w:val="32"/>
          <w:szCs w:val="32"/>
        </w:rPr>
        <w:t xml:space="preserve"> （三）场地要求。</w:t>
      </w:r>
      <w:r>
        <w:rPr>
          <w:rFonts w:ascii="Times New Roman" w:hAnsi="Times New Roman" w:eastAsia="方正仿宋_GBK"/>
          <w:sz w:val="32"/>
          <w:szCs w:val="32"/>
        </w:rPr>
        <w:t>具有独立、专业的评估场地，评估环境应清洁、安静、光线充足、空气清新、温度适宜，符合国家标准。采取集中评估时，应设立等候评估的空间，评估工作在相对独立的评估室内逐一进行，开展评估工作的机构宜设立单独的评估室。评估室内物品应满足评估需要，不应放置与评估无关的物品，评估室内或室外有连续的台阶和带有扶手的通道，可供评估使用。楼梯、台阶各级踏步应均匀一致、平整、防滑。</w:t>
      </w:r>
    </w:p>
    <w:p w14:paraId="798DED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四、评估机构需提交资料</w:t>
      </w:r>
    </w:p>
    <w:p w14:paraId="61F8F52C">
      <w:pPr>
        <w:pStyle w:val="8"/>
        <w:keepNext w:val="0"/>
        <w:keepLines w:val="0"/>
        <w:pageBreakBefore w:val="0"/>
        <w:widowControl w:val="0"/>
        <w:kinsoku/>
        <w:wordWrap/>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1.《重庆市老年人能力评估机构申请表》（见附件1）、《重庆市老年人能力评估机构承诺书》（见附件2）。</w:t>
      </w:r>
    </w:p>
    <w:p w14:paraId="2957F299">
      <w:pPr>
        <w:pStyle w:val="8"/>
        <w:keepNext w:val="0"/>
        <w:keepLines w:val="0"/>
        <w:pageBreakBefore w:val="0"/>
        <w:widowControl w:val="0"/>
        <w:kinsoku/>
        <w:wordWrap/>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2.《营业执照》或《民办非企业单位登记证书》或《事业单位法人证书》等相关材料正、副本原件及加盖公章的复印件。</w:t>
      </w:r>
    </w:p>
    <w:p w14:paraId="5D322E93">
      <w:pPr>
        <w:pStyle w:val="8"/>
        <w:keepNext w:val="0"/>
        <w:keepLines w:val="0"/>
        <w:pageBreakBefore w:val="0"/>
        <w:widowControl w:val="0"/>
        <w:kinsoku/>
        <w:wordWrap/>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3.重庆市老年人能力评估机构人员花名册（见附件3），劳动合同、劳务合同或聘用合同复印件、相关职业（执业）资格证书复印件，</w:t>
      </w:r>
      <w:r>
        <w:rPr>
          <w:rFonts w:hint="eastAsia" w:ascii="Times New Roman" w:hAnsi="Times New Roman" w:eastAsia="方正仿宋_GBK"/>
          <w:sz w:val="32"/>
          <w:szCs w:val="32"/>
          <w:lang w:eastAsia="zh-CN"/>
        </w:rPr>
        <w:t>签订合同期限不低于</w:t>
      </w:r>
      <w:r>
        <w:rPr>
          <w:rFonts w:hint="eastAsia" w:ascii="Times New Roman" w:hAnsi="Times New Roman" w:eastAsia="方正仿宋_GBK"/>
          <w:sz w:val="32"/>
          <w:szCs w:val="32"/>
          <w:lang w:val="en-US" w:eastAsia="zh-CN"/>
        </w:rPr>
        <w:t>1年</w:t>
      </w:r>
      <w:r>
        <w:rPr>
          <w:rFonts w:ascii="Times New Roman" w:hAnsi="Times New Roman" w:eastAsia="方正仿宋_GBK"/>
          <w:sz w:val="32"/>
          <w:szCs w:val="32"/>
        </w:rPr>
        <w:t>。</w:t>
      </w:r>
    </w:p>
    <w:p w14:paraId="4437F4C2">
      <w:pPr>
        <w:pStyle w:val="8"/>
        <w:keepNext w:val="0"/>
        <w:keepLines w:val="0"/>
        <w:pageBreakBefore w:val="0"/>
        <w:widowControl w:val="0"/>
        <w:kinsoku/>
        <w:wordWrap/>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4.提供评估场所产权证明、配备设施设备后的图片。自有产权提供产权证复印件，租赁场所提供产权证、租赁合同复印件，租赁合同期限不低于1年。</w:t>
      </w:r>
    </w:p>
    <w:p w14:paraId="5C4D755E">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5.提供</w:t>
      </w:r>
      <w:r>
        <w:rPr>
          <w:rFonts w:hint="eastAsia" w:ascii="Times New Roman" w:hAnsi="Times New Roman" w:eastAsia="方正仿宋_GBK"/>
          <w:sz w:val="32"/>
          <w:szCs w:val="32"/>
        </w:rPr>
        <w:t>评估机构及法定代表人“信用中国”信息查询情况，未被列入“信用中国”网站(www.creditchina.gov.cn)以下任意记录名单：①失信被执行人;②重大税收违法案件当事人名单;③政府采购严重违法失信。</w:t>
      </w:r>
    </w:p>
    <w:p w14:paraId="5F774221">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6.评估及服务工作方案。</w:t>
      </w:r>
    </w:p>
    <w:p w14:paraId="189FD56B">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7.评分表中所需的其他资料，所有资料均应密封提交，并盖章。</w:t>
      </w:r>
    </w:p>
    <w:p w14:paraId="294D86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lang w:eastAsia="zh-CN"/>
        </w:rPr>
        <w:t>五、评估机构确认</w:t>
      </w:r>
    </w:p>
    <w:p w14:paraId="037D8F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参与机构于</w:t>
      </w:r>
      <w:r>
        <w:rPr>
          <w:rFonts w:hint="eastAsia" w:ascii="Times New Roman" w:hAnsi="Times New Roman" w:eastAsia="方正仿宋_GBK"/>
          <w:sz w:val="32"/>
          <w:szCs w:val="32"/>
          <w:lang w:val="en-US" w:eastAsia="zh-CN"/>
        </w:rPr>
        <w:t>2025年8月28日17:00前，将申报材料邮寄或报送至区民政局老龄事业发展科（重庆市大渡口区文体支路122号富士达大厦8楼805办公室）。</w:t>
      </w:r>
      <w:r>
        <w:rPr>
          <w:rFonts w:hint="eastAsia" w:ascii="Times New Roman" w:hAnsi="Times New Roman" w:eastAsia="方正仿宋_GBK"/>
          <w:sz w:val="32"/>
          <w:szCs w:val="32"/>
          <w:lang w:eastAsia="zh-CN"/>
        </w:rPr>
        <w:t>根据提交的资料，区民政局聘请</w:t>
      </w:r>
      <w:r>
        <w:rPr>
          <w:rFonts w:hint="eastAsia" w:ascii="Times New Roman" w:hAnsi="Times New Roman" w:eastAsia="方正仿宋_GBK"/>
          <w:sz w:val="32"/>
          <w:szCs w:val="32"/>
          <w:lang w:val="en-US" w:eastAsia="zh-CN"/>
        </w:rPr>
        <w:t>3名专家进行审核评分，按照得分高低确定2家评估机构名单，并在大渡口区人民政府网进行公示。</w:t>
      </w:r>
    </w:p>
    <w:p w14:paraId="2A9F3209">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评估机构发生下列情形之一的，自动终止评估机构资格</w:t>
      </w:r>
    </w:p>
    <w:p w14:paraId="59115E3A">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一</w:t>
      </w:r>
      <w:r>
        <w:rPr>
          <w:rFonts w:hint="eastAsia" w:ascii="Times New Roman" w:hAnsi="Times New Roman" w:eastAsia="方正仿宋_GBK"/>
          <w:sz w:val="32"/>
          <w:szCs w:val="32"/>
        </w:rPr>
        <w:t>）</w:t>
      </w:r>
      <w:r>
        <w:rPr>
          <w:rFonts w:ascii="Times New Roman" w:hAnsi="Times New Roman" w:eastAsia="方正仿宋_GBK"/>
          <w:sz w:val="32"/>
          <w:szCs w:val="32"/>
        </w:rPr>
        <w:t>法定代表人、主要负责人或实际控制人被列入失信人名单的。</w:t>
      </w:r>
    </w:p>
    <w:p w14:paraId="4D032766">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二</w:t>
      </w:r>
      <w:r>
        <w:rPr>
          <w:rFonts w:hint="eastAsia" w:ascii="Times New Roman" w:hAnsi="Times New Roman" w:eastAsia="方正仿宋_GBK"/>
          <w:sz w:val="32"/>
          <w:szCs w:val="32"/>
        </w:rPr>
        <w:t>）</w:t>
      </w:r>
      <w:r>
        <w:rPr>
          <w:rFonts w:ascii="Times New Roman" w:hAnsi="Times New Roman" w:eastAsia="方正仿宋_GBK"/>
          <w:sz w:val="32"/>
          <w:szCs w:val="32"/>
        </w:rPr>
        <w:t>评估机构登记证书、行业资质或执业许可证照失效的。</w:t>
      </w:r>
    </w:p>
    <w:p w14:paraId="1AF94FD6">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三</w:t>
      </w:r>
      <w:r>
        <w:rPr>
          <w:rFonts w:hint="eastAsia" w:ascii="Times New Roman" w:hAnsi="Times New Roman" w:eastAsia="方正仿宋_GBK"/>
          <w:sz w:val="32"/>
          <w:szCs w:val="32"/>
        </w:rPr>
        <w:t>）</w:t>
      </w:r>
      <w:r>
        <w:rPr>
          <w:rFonts w:ascii="Times New Roman" w:hAnsi="Times New Roman" w:eastAsia="方正仿宋_GBK"/>
          <w:sz w:val="32"/>
          <w:szCs w:val="32"/>
        </w:rPr>
        <w:t>评估机构被有关部门吊销、注销营</w:t>
      </w:r>
      <w:r>
        <w:rPr>
          <w:rFonts w:hint="eastAsia" w:ascii="Times New Roman" w:hAnsi="Times New Roman" w:eastAsia="方正仿宋_GBK"/>
          <w:sz w:val="32"/>
          <w:szCs w:val="32"/>
        </w:rPr>
        <w:t>（</w:t>
      </w:r>
      <w:r>
        <w:rPr>
          <w:rFonts w:ascii="Times New Roman" w:hAnsi="Times New Roman" w:eastAsia="方正仿宋_GBK"/>
          <w:sz w:val="32"/>
          <w:szCs w:val="32"/>
        </w:rPr>
        <w:t>执</w:t>
      </w:r>
      <w:r>
        <w:rPr>
          <w:rFonts w:hint="eastAsia" w:ascii="Times New Roman" w:hAnsi="Times New Roman" w:eastAsia="方正仿宋_GBK"/>
          <w:sz w:val="32"/>
          <w:szCs w:val="32"/>
        </w:rPr>
        <w:t>）</w:t>
      </w:r>
      <w:r>
        <w:rPr>
          <w:rFonts w:ascii="Times New Roman" w:hAnsi="Times New Roman" w:eastAsia="方正仿宋_GBK"/>
          <w:sz w:val="32"/>
          <w:szCs w:val="32"/>
        </w:rPr>
        <w:t>业资质的。</w:t>
      </w:r>
    </w:p>
    <w:p w14:paraId="6491FC1E">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四</w:t>
      </w:r>
      <w:r>
        <w:rPr>
          <w:rFonts w:hint="eastAsia" w:ascii="Times New Roman" w:hAnsi="Times New Roman" w:eastAsia="方正仿宋_GBK"/>
          <w:sz w:val="32"/>
          <w:szCs w:val="32"/>
        </w:rPr>
        <w:t>）</w:t>
      </w:r>
      <w:r>
        <w:rPr>
          <w:rFonts w:ascii="Times New Roman" w:hAnsi="Times New Roman" w:eastAsia="方正仿宋_GBK"/>
          <w:sz w:val="32"/>
          <w:szCs w:val="32"/>
        </w:rPr>
        <w:t>评估机构统一社会信用代码发生变化的</w:t>
      </w:r>
      <w:r>
        <w:rPr>
          <w:rFonts w:hint="eastAsia" w:ascii="Times New Roman" w:hAnsi="Times New Roman" w:eastAsia="方正仿宋_GBK"/>
          <w:sz w:val="32"/>
          <w:szCs w:val="32"/>
        </w:rPr>
        <w:t>（</w:t>
      </w:r>
      <w:r>
        <w:rPr>
          <w:rFonts w:ascii="Times New Roman" w:hAnsi="Times New Roman" w:eastAsia="方正仿宋_GBK"/>
          <w:sz w:val="32"/>
          <w:szCs w:val="32"/>
        </w:rPr>
        <w:t>实际运营地址、评估服务范围未发生变化的除外</w:t>
      </w:r>
      <w:r>
        <w:rPr>
          <w:rFonts w:hint="eastAsia" w:ascii="Times New Roman" w:hAnsi="Times New Roman" w:eastAsia="方正仿宋_GBK"/>
          <w:sz w:val="32"/>
          <w:szCs w:val="32"/>
        </w:rPr>
        <w:t>）</w:t>
      </w:r>
      <w:r>
        <w:rPr>
          <w:rFonts w:ascii="Times New Roman" w:hAnsi="Times New Roman" w:eastAsia="方正仿宋_GBK"/>
          <w:sz w:val="32"/>
          <w:szCs w:val="32"/>
        </w:rPr>
        <w:t>。</w:t>
      </w:r>
    </w:p>
    <w:p w14:paraId="1A48877B">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五</w:t>
      </w:r>
      <w:r>
        <w:rPr>
          <w:rFonts w:hint="eastAsia" w:ascii="Times New Roman" w:hAnsi="Times New Roman" w:eastAsia="方正仿宋_GBK"/>
          <w:sz w:val="32"/>
          <w:szCs w:val="32"/>
        </w:rPr>
        <w:t>）</w:t>
      </w:r>
      <w:r>
        <w:rPr>
          <w:rFonts w:ascii="Times New Roman" w:hAnsi="Times New Roman" w:eastAsia="方正仿宋_GBK"/>
          <w:sz w:val="32"/>
          <w:szCs w:val="32"/>
        </w:rPr>
        <w:t>提供虚假资料，出具失实报告的。</w:t>
      </w:r>
    </w:p>
    <w:p w14:paraId="4A897C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w:t>
      </w:r>
      <w:r>
        <w:rPr>
          <w:rFonts w:hint="eastAsia" w:ascii="方正黑体_GBK" w:hAnsi="方正黑体_GBK" w:eastAsia="方正黑体_GBK" w:cs="方正黑体_GBK"/>
          <w:sz w:val="32"/>
          <w:szCs w:val="32"/>
          <w:lang w:eastAsia="zh-CN"/>
        </w:rPr>
        <w:t>七、咨询电话</w:t>
      </w:r>
    </w:p>
    <w:p w14:paraId="4D120C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  如有疑问，请咨询区民政局老龄事业发展科，联系电话：</w:t>
      </w:r>
      <w:r>
        <w:rPr>
          <w:rFonts w:hint="eastAsia" w:ascii="Times New Roman" w:hAnsi="Times New Roman" w:eastAsia="方正仿宋_GBK" w:cs="方正仿宋_GBK"/>
          <w:sz w:val="32"/>
          <w:szCs w:val="32"/>
          <w:lang w:val="en-US" w:eastAsia="zh-CN"/>
        </w:rPr>
        <w:t>68086190</w:t>
      </w:r>
      <w:r>
        <w:rPr>
          <w:rFonts w:hint="eastAsia" w:ascii="Times New Roman" w:hAnsi="Times New Roman" w:eastAsia="方正仿宋_GBK" w:cs="方正仿宋_GBK"/>
          <w:sz w:val="32"/>
          <w:szCs w:val="32"/>
          <w:lang w:eastAsia="zh-CN"/>
        </w:rPr>
        <w:t>。</w:t>
      </w:r>
    </w:p>
    <w:p w14:paraId="788AB7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特此公告。</w:t>
      </w:r>
    </w:p>
    <w:p w14:paraId="03D93998">
      <w:pPr>
        <w:pStyle w:val="2"/>
        <w:keepNext w:val="0"/>
        <w:keepLines w:val="0"/>
        <w:pageBreakBefore w:val="0"/>
        <w:widowControl w:val="0"/>
        <w:kinsoku/>
        <w:wordWrap/>
        <w:topLinePunct w:val="0"/>
        <w:autoSpaceDE/>
        <w:autoSpaceDN/>
        <w:bidi w:val="0"/>
        <w:spacing w:after="0" w:line="560" w:lineRule="exact"/>
        <w:textAlignment w:val="auto"/>
        <w:rPr>
          <w:rFonts w:hint="eastAsia"/>
          <w:lang w:eastAsia="zh-CN"/>
        </w:rPr>
      </w:pPr>
    </w:p>
    <w:p w14:paraId="29BB2059">
      <w:pPr>
        <w:adjustRightInd w:val="0"/>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附件：1.重庆市老年人能力评估机构申请表</w:t>
      </w:r>
    </w:p>
    <w:p w14:paraId="3D12D79B">
      <w:pPr>
        <w:adjustRightInd w:val="0"/>
        <w:snapToGrid w:val="0"/>
        <w:spacing w:line="579" w:lineRule="exact"/>
        <w:ind w:firstLine="1600" w:firstLineChars="500"/>
        <w:rPr>
          <w:rFonts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重庆市老年人能力评估机构承诺书</w:t>
      </w:r>
    </w:p>
    <w:p w14:paraId="18BA45AC">
      <w:pPr>
        <w:adjustRightInd w:val="0"/>
        <w:snapToGrid w:val="0"/>
        <w:spacing w:line="579" w:lineRule="exact"/>
        <w:ind w:firstLine="1600" w:firstLineChars="5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.重庆市老年人能力评估机构评估人员花名册</w:t>
      </w:r>
    </w:p>
    <w:p w14:paraId="76E2554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1600" w:firstLineChars="5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评分标准</w:t>
      </w:r>
    </w:p>
    <w:p w14:paraId="2E93519A">
      <w:pPr>
        <w:pStyle w:val="2"/>
        <w:keepNext w:val="0"/>
        <w:keepLines w:val="0"/>
        <w:pageBreakBefore w:val="0"/>
        <w:widowControl w:val="0"/>
        <w:kinsoku/>
        <w:wordWrap/>
        <w:topLinePunct w:val="0"/>
        <w:autoSpaceDE/>
        <w:autoSpaceDN/>
        <w:bidi w:val="0"/>
        <w:spacing w:after="0" w:line="560" w:lineRule="exact"/>
        <w:textAlignment w:val="auto"/>
        <w:rPr>
          <w:rFonts w:hint="eastAsia"/>
          <w:lang w:eastAsia="zh-CN"/>
        </w:rPr>
      </w:pPr>
    </w:p>
    <w:p w14:paraId="134962E6">
      <w:pPr>
        <w:pStyle w:val="6"/>
        <w:rPr>
          <w:rFonts w:hint="eastAsia"/>
          <w:lang w:eastAsia="zh-CN"/>
        </w:rPr>
      </w:pPr>
    </w:p>
    <w:p w14:paraId="00534EE9">
      <w:pPr>
        <w:pStyle w:val="6"/>
        <w:rPr>
          <w:rFonts w:hint="eastAsia"/>
          <w:lang w:eastAsia="zh-CN"/>
        </w:rPr>
      </w:pPr>
    </w:p>
    <w:p w14:paraId="5490405A">
      <w:pPr>
        <w:pStyle w:val="6"/>
        <w:rPr>
          <w:rFonts w:hint="eastAsia"/>
          <w:lang w:eastAsia="zh-CN"/>
        </w:rPr>
      </w:pPr>
    </w:p>
    <w:p w14:paraId="3DF6959E">
      <w:pPr>
        <w:pStyle w:val="6"/>
        <w:rPr>
          <w:rFonts w:hint="eastAsia"/>
          <w:lang w:eastAsia="zh-CN"/>
        </w:rPr>
      </w:pPr>
    </w:p>
    <w:p w14:paraId="5B9CFD01">
      <w:pPr>
        <w:pStyle w:val="6"/>
        <w:rPr>
          <w:rFonts w:hint="eastAsia"/>
          <w:lang w:eastAsia="zh-CN"/>
        </w:rPr>
      </w:pPr>
    </w:p>
    <w:p w14:paraId="71B3699B">
      <w:pPr>
        <w:pStyle w:val="6"/>
        <w:rPr>
          <w:rFonts w:hint="eastAsia"/>
          <w:lang w:eastAsia="zh-CN"/>
        </w:rPr>
      </w:pPr>
    </w:p>
    <w:p w14:paraId="78F7460A">
      <w:pPr>
        <w:pStyle w:val="6"/>
        <w:rPr>
          <w:rFonts w:hint="eastAsia"/>
          <w:lang w:eastAsia="zh-CN"/>
        </w:rPr>
      </w:pPr>
    </w:p>
    <w:p w14:paraId="2DF3BABB">
      <w:pPr>
        <w:jc w:val="left"/>
        <w:rPr>
          <w:rFonts w:hint="eastAsia" w:ascii="方正黑体_GBK" w:hAnsi="Times New Roman" w:eastAsia="方正黑体_GBK"/>
          <w:kern w:val="0"/>
          <w:sz w:val="32"/>
          <w:szCs w:val="32"/>
        </w:rPr>
      </w:pPr>
    </w:p>
    <w:p w14:paraId="084740AD">
      <w:pPr>
        <w:jc w:val="left"/>
        <w:rPr>
          <w:rFonts w:hint="eastAsia" w:ascii="方正黑体_GBK" w:hAnsi="Times New Roman" w:eastAsia="方正黑体_GBK"/>
          <w:kern w:val="0"/>
          <w:sz w:val="32"/>
          <w:szCs w:val="32"/>
        </w:rPr>
      </w:pPr>
      <w:bookmarkStart w:id="0" w:name="_GoBack"/>
      <w:bookmarkEnd w:id="0"/>
      <w:r>
        <w:rPr>
          <w:rFonts w:hint="eastAsia" w:ascii="方正黑体_GBK" w:hAnsi="Times New Roman" w:eastAsia="方正黑体_GBK"/>
          <w:kern w:val="0"/>
          <w:sz w:val="32"/>
          <w:szCs w:val="32"/>
        </w:rPr>
        <w:t>附件1</w:t>
      </w:r>
    </w:p>
    <w:p w14:paraId="203E35EA">
      <w:pPr>
        <w:widowControl/>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重庆市老年人能力评估机构申请表</w:t>
      </w:r>
    </w:p>
    <w:tbl>
      <w:tblPr>
        <w:tblStyle w:val="9"/>
        <w:tblpPr w:leftFromText="180" w:rightFromText="180" w:vertAnchor="text" w:horzAnchor="page" w:tblpX="1803" w:tblpY="2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2328"/>
        <w:gridCol w:w="1324"/>
        <w:gridCol w:w="2502"/>
      </w:tblGrid>
      <w:tr w14:paraId="7A81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396" w:type="dxa"/>
            <w:noWrap w:val="0"/>
            <w:tcMar>
              <w:top w:w="0" w:type="dxa"/>
              <w:left w:w="28" w:type="dxa"/>
              <w:bottom w:w="0" w:type="dxa"/>
              <w:right w:w="28" w:type="dxa"/>
            </w:tcMar>
            <w:vAlign w:val="center"/>
          </w:tcPr>
          <w:p w14:paraId="20E2C51F">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机构名称</w:t>
            </w:r>
          </w:p>
        </w:tc>
        <w:tc>
          <w:tcPr>
            <w:tcW w:w="6475" w:type="dxa"/>
            <w:gridSpan w:val="3"/>
            <w:noWrap w:val="0"/>
            <w:vAlign w:val="center"/>
          </w:tcPr>
          <w:p w14:paraId="1168D421">
            <w:pPr>
              <w:spacing w:line="440" w:lineRule="exact"/>
              <w:rPr>
                <w:rFonts w:ascii="Times New Roman" w:hAnsi="Times New Roman" w:eastAsia="方正仿宋_GBK"/>
                <w:sz w:val="28"/>
                <w:szCs w:val="28"/>
              </w:rPr>
            </w:pPr>
          </w:p>
        </w:tc>
      </w:tr>
      <w:tr w14:paraId="4ACF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96" w:type="dxa"/>
            <w:noWrap w:val="0"/>
            <w:tcMar>
              <w:top w:w="0" w:type="dxa"/>
              <w:left w:w="28" w:type="dxa"/>
              <w:bottom w:w="0" w:type="dxa"/>
              <w:right w:w="28" w:type="dxa"/>
            </w:tcMar>
            <w:vAlign w:val="center"/>
          </w:tcPr>
          <w:p w14:paraId="620C99DA">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机构类型</w:t>
            </w:r>
          </w:p>
        </w:tc>
        <w:tc>
          <w:tcPr>
            <w:tcW w:w="6475" w:type="dxa"/>
            <w:gridSpan w:val="3"/>
            <w:noWrap w:val="0"/>
            <w:vAlign w:val="center"/>
          </w:tcPr>
          <w:p w14:paraId="7D88282A">
            <w:pPr>
              <w:pStyle w:val="8"/>
              <w:widowControl/>
              <w:spacing w:before="0" w:beforeAutospacing="0" w:after="0" w:afterAutospacing="0" w:line="440" w:lineRule="exact"/>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 xml:space="preserve">□企业         □事业单位       □社会组织  </w:t>
            </w:r>
          </w:p>
          <w:p w14:paraId="6F51EA75">
            <w:pPr>
              <w:pStyle w:val="8"/>
              <w:widowControl/>
              <w:spacing w:before="0" w:beforeAutospacing="0" w:after="0" w:afterAutospacing="0" w:line="440" w:lineRule="exact"/>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□医疗机构     □长护险定点机构</w:t>
            </w:r>
          </w:p>
        </w:tc>
      </w:tr>
      <w:tr w14:paraId="58FC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96" w:type="dxa"/>
            <w:noWrap w:val="0"/>
            <w:tcMar>
              <w:top w:w="0" w:type="dxa"/>
              <w:left w:w="28" w:type="dxa"/>
              <w:bottom w:w="0" w:type="dxa"/>
              <w:right w:w="28" w:type="dxa"/>
            </w:tcMar>
            <w:vAlign w:val="center"/>
          </w:tcPr>
          <w:p w14:paraId="76E26880">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统一社会信用代码</w:t>
            </w:r>
          </w:p>
        </w:tc>
        <w:tc>
          <w:tcPr>
            <w:tcW w:w="2458" w:type="dxa"/>
            <w:noWrap w:val="0"/>
            <w:vAlign w:val="center"/>
          </w:tcPr>
          <w:p w14:paraId="30008CB8">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p>
        </w:tc>
        <w:tc>
          <w:tcPr>
            <w:tcW w:w="1375" w:type="dxa"/>
            <w:noWrap w:val="0"/>
            <w:vAlign w:val="center"/>
          </w:tcPr>
          <w:p w14:paraId="70705E1B">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注册地址</w:t>
            </w:r>
          </w:p>
        </w:tc>
        <w:tc>
          <w:tcPr>
            <w:tcW w:w="2642" w:type="dxa"/>
            <w:noWrap w:val="0"/>
            <w:vAlign w:val="center"/>
          </w:tcPr>
          <w:p w14:paraId="2934CCEE">
            <w:pPr>
              <w:pStyle w:val="8"/>
              <w:widowControl/>
              <w:spacing w:before="0" w:beforeAutospacing="0" w:after="0" w:afterAutospacing="0" w:line="440" w:lineRule="exact"/>
              <w:jc w:val="both"/>
              <w:outlineLvl w:val="0"/>
              <w:rPr>
                <w:rFonts w:ascii="Times New Roman" w:hAnsi="Times New Roman" w:eastAsia="方正仿宋_GBK"/>
                <w:kern w:val="2"/>
                <w:sz w:val="28"/>
                <w:szCs w:val="28"/>
                <w:lang w:bidi="ar-SA"/>
              </w:rPr>
            </w:pPr>
          </w:p>
        </w:tc>
      </w:tr>
      <w:tr w14:paraId="5EE0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396" w:type="dxa"/>
            <w:noWrap w:val="0"/>
            <w:tcMar>
              <w:top w:w="0" w:type="dxa"/>
              <w:left w:w="28" w:type="dxa"/>
              <w:bottom w:w="0" w:type="dxa"/>
              <w:right w:w="28" w:type="dxa"/>
            </w:tcMar>
            <w:vAlign w:val="center"/>
          </w:tcPr>
          <w:p w14:paraId="508CE54F">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法定代表人</w:t>
            </w:r>
          </w:p>
        </w:tc>
        <w:tc>
          <w:tcPr>
            <w:tcW w:w="2458" w:type="dxa"/>
            <w:noWrap w:val="0"/>
            <w:vAlign w:val="center"/>
          </w:tcPr>
          <w:p w14:paraId="0B011FCA">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p>
        </w:tc>
        <w:tc>
          <w:tcPr>
            <w:tcW w:w="1375" w:type="dxa"/>
            <w:noWrap w:val="0"/>
            <w:tcMar>
              <w:top w:w="0" w:type="dxa"/>
              <w:left w:w="28" w:type="dxa"/>
              <w:bottom w:w="0" w:type="dxa"/>
              <w:right w:w="28" w:type="dxa"/>
            </w:tcMar>
            <w:vAlign w:val="center"/>
          </w:tcPr>
          <w:p w14:paraId="1D3B03CF">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spacing w:val="-20"/>
                <w:kern w:val="2"/>
                <w:sz w:val="28"/>
                <w:szCs w:val="28"/>
                <w:lang w:bidi="ar-SA"/>
              </w:rPr>
              <w:t>身份证号码</w:t>
            </w:r>
          </w:p>
        </w:tc>
        <w:tc>
          <w:tcPr>
            <w:tcW w:w="2642" w:type="dxa"/>
            <w:noWrap w:val="0"/>
            <w:vAlign w:val="center"/>
          </w:tcPr>
          <w:p w14:paraId="5B2FE62B">
            <w:pPr>
              <w:pStyle w:val="8"/>
              <w:widowControl/>
              <w:spacing w:before="0" w:beforeAutospacing="0" w:after="0" w:afterAutospacing="0" w:line="440" w:lineRule="exact"/>
              <w:jc w:val="both"/>
              <w:outlineLvl w:val="0"/>
              <w:rPr>
                <w:rFonts w:ascii="Times New Roman" w:hAnsi="Times New Roman" w:eastAsia="方正仿宋_GBK"/>
                <w:kern w:val="2"/>
                <w:sz w:val="28"/>
                <w:szCs w:val="28"/>
                <w:lang w:bidi="ar-SA"/>
              </w:rPr>
            </w:pPr>
          </w:p>
        </w:tc>
      </w:tr>
      <w:tr w14:paraId="1984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396" w:type="dxa"/>
            <w:noWrap w:val="0"/>
            <w:tcMar>
              <w:top w:w="0" w:type="dxa"/>
              <w:left w:w="28" w:type="dxa"/>
              <w:bottom w:w="0" w:type="dxa"/>
              <w:right w:w="28" w:type="dxa"/>
            </w:tcMar>
            <w:vAlign w:val="center"/>
          </w:tcPr>
          <w:p w14:paraId="736AFC18">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业务范围</w:t>
            </w:r>
            <w:r>
              <w:rPr>
                <w:rFonts w:ascii="Times New Roman" w:hAnsi="Times New Roman" w:eastAsia="方正仿宋_GBK"/>
                <w:kern w:val="2"/>
                <w:sz w:val="28"/>
                <w:szCs w:val="28"/>
                <w:lang w:bidi="ar-SA"/>
              </w:rPr>
              <w:br w:type="textWrapping"/>
            </w:r>
            <w:r>
              <w:rPr>
                <w:rFonts w:ascii="Times New Roman" w:hAnsi="Times New Roman" w:eastAsia="方正仿宋_GBK"/>
                <w:kern w:val="2"/>
                <w:lang w:bidi="ar-SA"/>
              </w:rPr>
              <w:t>（要求包含“老年人能力评估”相关内容）</w:t>
            </w:r>
          </w:p>
        </w:tc>
        <w:tc>
          <w:tcPr>
            <w:tcW w:w="6475" w:type="dxa"/>
            <w:gridSpan w:val="3"/>
            <w:noWrap w:val="0"/>
            <w:vAlign w:val="center"/>
          </w:tcPr>
          <w:p w14:paraId="1A617EC3">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p>
        </w:tc>
      </w:tr>
      <w:tr w14:paraId="5F3E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396" w:type="dxa"/>
            <w:noWrap w:val="0"/>
            <w:tcMar>
              <w:top w:w="0" w:type="dxa"/>
              <w:left w:w="28" w:type="dxa"/>
              <w:bottom w:w="0" w:type="dxa"/>
              <w:right w:w="28" w:type="dxa"/>
            </w:tcMar>
            <w:vAlign w:val="center"/>
          </w:tcPr>
          <w:p w14:paraId="346BC36D">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评估人员</w:t>
            </w:r>
          </w:p>
        </w:tc>
        <w:tc>
          <w:tcPr>
            <w:tcW w:w="6475" w:type="dxa"/>
            <w:gridSpan w:val="3"/>
            <w:noWrap w:val="0"/>
            <w:vAlign w:val="center"/>
          </w:tcPr>
          <w:p w14:paraId="09CC27B8">
            <w:pPr>
              <w:pStyle w:val="8"/>
              <w:widowControl/>
              <w:spacing w:before="0" w:beforeAutospacing="0" w:after="0" w:afterAutospacing="0" w:line="440" w:lineRule="exact"/>
              <w:jc w:val="both"/>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评估人员     人，其中具有医</w:t>
            </w:r>
            <w:r>
              <w:rPr>
                <w:rFonts w:hint="eastAsia" w:ascii="Times New Roman" w:hAnsi="Times New Roman" w:eastAsia="方正仿宋_GBK"/>
                <w:kern w:val="2"/>
                <w:sz w:val="28"/>
                <w:szCs w:val="28"/>
                <w:lang w:bidi="ar-SA"/>
              </w:rPr>
              <w:t>护</w:t>
            </w:r>
            <w:r>
              <w:rPr>
                <w:rFonts w:ascii="Times New Roman" w:hAnsi="Times New Roman" w:eastAsia="方正仿宋_GBK"/>
                <w:kern w:val="2"/>
                <w:sz w:val="28"/>
                <w:szCs w:val="28"/>
                <w:lang w:bidi="ar-SA"/>
              </w:rPr>
              <w:t xml:space="preserve">背景   </w:t>
            </w:r>
            <w:r>
              <w:rPr>
                <w:rFonts w:hint="eastAsia" w:ascii="Times New Roman" w:hAnsi="Times New Roman" w:eastAsia="方正仿宋_GBK"/>
                <w:kern w:val="2"/>
                <w:sz w:val="28"/>
                <w:szCs w:val="28"/>
                <w:lang w:bidi="ar-SA"/>
              </w:rPr>
              <w:t xml:space="preserve"> </w:t>
            </w:r>
            <w:r>
              <w:rPr>
                <w:rFonts w:ascii="Times New Roman" w:hAnsi="Times New Roman" w:eastAsia="方正仿宋_GBK"/>
                <w:kern w:val="2"/>
                <w:sz w:val="28"/>
                <w:szCs w:val="28"/>
                <w:lang w:bidi="ar-SA"/>
              </w:rPr>
              <w:t>人</w:t>
            </w:r>
            <w:r>
              <w:rPr>
                <w:rFonts w:hint="eastAsia" w:ascii="Times New Roman" w:hAnsi="Times New Roman" w:eastAsia="方正仿宋_GBK"/>
                <w:kern w:val="2"/>
                <w:sz w:val="28"/>
                <w:szCs w:val="28"/>
                <w:lang w:bidi="ar-SA"/>
              </w:rPr>
              <w:t>，评估专家    人</w:t>
            </w:r>
            <w:r>
              <w:rPr>
                <w:rFonts w:ascii="Times New Roman" w:hAnsi="Times New Roman" w:eastAsia="方正仿宋_GBK"/>
                <w:kern w:val="2"/>
                <w:sz w:val="28"/>
                <w:szCs w:val="28"/>
                <w:lang w:bidi="ar-SA"/>
              </w:rPr>
              <w:t>。</w:t>
            </w:r>
          </w:p>
        </w:tc>
      </w:tr>
      <w:tr w14:paraId="4AE9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396" w:type="dxa"/>
            <w:noWrap w:val="0"/>
            <w:tcMar>
              <w:top w:w="0" w:type="dxa"/>
              <w:left w:w="28" w:type="dxa"/>
              <w:bottom w:w="0" w:type="dxa"/>
              <w:right w:w="28" w:type="dxa"/>
            </w:tcMar>
            <w:vAlign w:val="center"/>
          </w:tcPr>
          <w:p w14:paraId="5E1CA582">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sz w:val="28"/>
                <w:szCs w:val="28"/>
              </w:rPr>
              <w:t>评估场所</w:t>
            </w:r>
          </w:p>
        </w:tc>
        <w:tc>
          <w:tcPr>
            <w:tcW w:w="6475" w:type="dxa"/>
            <w:gridSpan w:val="3"/>
            <w:noWrap w:val="0"/>
            <w:vAlign w:val="center"/>
          </w:tcPr>
          <w:p w14:paraId="3B2E21FF">
            <w:pPr>
              <w:spacing w:line="440" w:lineRule="exact"/>
              <w:rPr>
                <w:rFonts w:ascii="Times New Roman" w:hAnsi="Times New Roman" w:eastAsia="方正仿宋_GBK"/>
                <w:sz w:val="28"/>
                <w:szCs w:val="28"/>
              </w:rPr>
            </w:pPr>
            <w:r>
              <w:rPr>
                <w:rFonts w:ascii="Times New Roman" w:hAnsi="Times New Roman" w:eastAsia="方正仿宋_GBK"/>
                <w:sz w:val="28"/>
                <w:szCs w:val="28"/>
              </w:rPr>
              <w:t xml:space="preserve">地址： </w:t>
            </w:r>
          </w:p>
          <w:p w14:paraId="4693D292">
            <w:pPr>
              <w:spacing w:line="440" w:lineRule="exact"/>
              <w:rPr>
                <w:rFonts w:ascii="Times New Roman" w:hAnsi="Times New Roman" w:eastAsia="方正仿宋_GBK"/>
                <w:sz w:val="28"/>
                <w:szCs w:val="28"/>
              </w:rPr>
            </w:pPr>
            <w:r>
              <w:rPr>
                <w:rFonts w:ascii="Times New Roman" w:hAnsi="Times New Roman" w:eastAsia="方正仿宋_GBK"/>
                <w:sz w:val="28"/>
                <w:szCs w:val="28"/>
              </w:rPr>
              <w:t xml:space="preserve">面积：    平方米（独立评估室    ㎡）  </w:t>
            </w:r>
          </w:p>
          <w:p w14:paraId="362D7C68">
            <w:pPr>
              <w:spacing w:line="440" w:lineRule="exact"/>
              <w:rPr>
                <w:rFonts w:ascii="Times New Roman" w:hAnsi="Times New Roman" w:eastAsia="方正仿宋_GBK"/>
                <w:sz w:val="28"/>
                <w:szCs w:val="28"/>
              </w:rPr>
            </w:pPr>
            <w:r>
              <w:rPr>
                <w:rFonts w:ascii="Times New Roman" w:hAnsi="Times New Roman" w:eastAsia="方正仿宋_GBK"/>
                <w:sz w:val="28"/>
                <w:szCs w:val="28"/>
              </w:rPr>
              <w:t xml:space="preserve">无障碍设施：□齐全  □部分  □无  </w:t>
            </w:r>
          </w:p>
        </w:tc>
      </w:tr>
      <w:tr w14:paraId="3CC0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396" w:type="dxa"/>
            <w:noWrap w:val="0"/>
            <w:tcMar>
              <w:top w:w="0" w:type="dxa"/>
              <w:left w:w="28" w:type="dxa"/>
              <w:bottom w:w="0" w:type="dxa"/>
              <w:right w:w="28" w:type="dxa"/>
            </w:tcMar>
            <w:vAlign w:val="center"/>
          </w:tcPr>
          <w:p w14:paraId="27C78B61">
            <w:pPr>
              <w:pStyle w:val="8"/>
              <w:widowControl/>
              <w:spacing w:before="0" w:beforeAutospacing="0" w:after="0" w:afterAutospacing="0" w:line="440" w:lineRule="exact"/>
              <w:jc w:val="center"/>
              <w:outlineLvl w:val="0"/>
              <w:rPr>
                <w:rFonts w:ascii="Times New Roman" w:hAnsi="Times New Roman" w:eastAsia="方正仿宋_GBK"/>
                <w:kern w:val="2"/>
                <w:sz w:val="28"/>
                <w:szCs w:val="28"/>
              </w:rPr>
            </w:pPr>
            <w:r>
              <w:rPr>
                <w:rFonts w:ascii="Times New Roman" w:hAnsi="Times New Roman" w:eastAsia="方正仿宋_GBK"/>
                <w:sz w:val="28"/>
                <w:szCs w:val="28"/>
              </w:rPr>
              <w:t>服务类型</w:t>
            </w:r>
          </w:p>
        </w:tc>
        <w:tc>
          <w:tcPr>
            <w:tcW w:w="6475" w:type="dxa"/>
            <w:gridSpan w:val="3"/>
            <w:noWrap w:val="0"/>
            <w:vAlign w:val="center"/>
          </w:tcPr>
          <w:p w14:paraId="5F308791">
            <w:pPr>
              <w:pStyle w:val="8"/>
              <w:widowControl/>
              <w:spacing w:before="0" w:beforeAutospacing="0" w:after="0" w:afterAutospacing="0" w:line="440" w:lineRule="exact"/>
              <w:ind w:firstLine="280" w:firstLineChars="100"/>
              <w:outlineLvl w:val="0"/>
              <w:rPr>
                <w:rFonts w:ascii="Times New Roman" w:hAnsi="Times New Roman" w:eastAsia="方正仿宋_GBK"/>
                <w:kern w:val="2"/>
                <w:sz w:val="28"/>
                <w:szCs w:val="28"/>
              </w:rPr>
            </w:pPr>
            <w:r>
              <w:rPr>
                <w:rFonts w:ascii="Times New Roman" w:hAnsi="Times New Roman" w:eastAsia="方正仿宋_GBK"/>
                <w:sz w:val="28"/>
                <w:szCs w:val="28"/>
              </w:rPr>
              <w:t>□上门评估  □定点评估  □其他：</w:t>
            </w:r>
          </w:p>
        </w:tc>
      </w:tr>
      <w:tr w14:paraId="3700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96" w:type="dxa"/>
            <w:noWrap w:val="0"/>
            <w:tcMar>
              <w:top w:w="0" w:type="dxa"/>
              <w:left w:w="28" w:type="dxa"/>
              <w:bottom w:w="0" w:type="dxa"/>
              <w:right w:w="28" w:type="dxa"/>
            </w:tcMar>
            <w:vAlign w:val="center"/>
          </w:tcPr>
          <w:p w14:paraId="4E748E24">
            <w:pPr>
              <w:pStyle w:val="8"/>
              <w:widowControl/>
              <w:spacing w:before="0" w:beforeAutospacing="0" w:after="0" w:afterAutospacing="0" w:line="440" w:lineRule="exact"/>
              <w:jc w:val="center"/>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联系人</w:t>
            </w:r>
          </w:p>
        </w:tc>
        <w:tc>
          <w:tcPr>
            <w:tcW w:w="2458" w:type="dxa"/>
            <w:noWrap w:val="0"/>
            <w:vAlign w:val="center"/>
          </w:tcPr>
          <w:p w14:paraId="67D28809">
            <w:pPr>
              <w:pStyle w:val="8"/>
              <w:widowControl/>
              <w:spacing w:before="0" w:beforeAutospacing="0" w:after="0" w:afterAutospacing="0" w:line="440" w:lineRule="exact"/>
              <w:ind w:firstLine="280" w:firstLineChars="100"/>
              <w:outlineLvl w:val="0"/>
              <w:rPr>
                <w:rFonts w:ascii="Times New Roman" w:hAnsi="Times New Roman" w:eastAsia="方正仿宋_GBK"/>
                <w:kern w:val="2"/>
                <w:sz w:val="28"/>
                <w:szCs w:val="28"/>
                <w:lang w:bidi="ar-SA"/>
              </w:rPr>
            </w:pPr>
          </w:p>
        </w:tc>
        <w:tc>
          <w:tcPr>
            <w:tcW w:w="1375" w:type="dxa"/>
            <w:noWrap w:val="0"/>
            <w:vAlign w:val="center"/>
          </w:tcPr>
          <w:p w14:paraId="5A0C3D70">
            <w:pPr>
              <w:pStyle w:val="8"/>
              <w:widowControl/>
              <w:spacing w:before="0" w:beforeAutospacing="0" w:after="0" w:afterAutospacing="0" w:line="440" w:lineRule="exact"/>
              <w:outlineLvl w:val="0"/>
              <w:rPr>
                <w:rFonts w:ascii="Times New Roman" w:hAnsi="Times New Roman" w:eastAsia="方正仿宋_GBK"/>
                <w:kern w:val="2"/>
                <w:sz w:val="28"/>
                <w:szCs w:val="28"/>
                <w:lang w:bidi="ar-SA"/>
              </w:rPr>
            </w:pPr>
            <w:r>
              <w:rPr>
                <w:rFonts w:ascii="Times New Roman" w:hAnsi="Times New Roman" w:eastAsia="方正仿宋_GBK"/>
                <w:kern w:val="2"/>
                <w:sz w:val="28"/>
                <w:szCs w:val="28"/>
                <w:lang w:bidi="ar-SA"/>
              </w:rPr>
              <w:t>联系电话</w:t>
            </w:r>
          </w:p>
        </w:tc>
        <w:tc>
          <w:tcPr>
            <w:tcW w:w="2642" w:type="dxa"/>
            <w:noWrap w:val="0"/>
            <w:vAlign w:val="center"/>
          </w:tcPr>
          <w:p w14:paraId="55B66F8C">
            <w:pPr>
              <w:pStyle w:val="8"/>
              <w:widowControl/>
              <w:spacing w:before="0" w:beforeAutospacing="0" w:after="0" w:afterAutospacing="0" w:line="440" w:lineRule="exact"/>
              <w:ind w:firstLine="280" w:firstLineChars="100"/>
              <w:outlineLvl w:val="0"/>
              <w:rPr>
                <w:rFonts w:ascii="Times New Roman" w:hAnsi="Times New Roman" w:eastAsia="方正仿宋_GBK"/>
                <w:kern w:val="2"/>
                <w:sz w:val="28"/>
                <w:szCs w:val="28"/>
                <w:lang w:bidi="ar-SA"/>
              </w:rPr>
            </w:pPr>
          </w:p>
        </w:tc>
      </w:tr>
      <w:tr w14:paraId="432B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396" w:type="dxa"/>
            <w:noWrap w:val="0"/>
            <w:tcMar>
              <w:top w:w="0" w:type="dxa"/>
              <w:left w:w="28" w:type="dxa"/>
              <w:bottom w:w="0" w:type="dxa"/>
              <w:right w:w="28" w:type="dxa"/>
            </w:tcMar>
            <w:vAlign w:val="center"/>
          </w:tcPr>
          <w:p w14:paraId="1FAF2A78">
            <w:pPr>
              <w:pStyle w:val="8"/>
              <w:widowControl/>
              <w:spacing w:before="0" w:beforeAutospacing="0" w:after="0" w:afterAutospacing="0" w:line="440" w:lineRule="exact"/>
              <w:jc w:val="center"/>
              <w:outlineLvl w:val="0"/>
              <w:rPr>
                <w:rFonts w:ascii="Times New Roman" w:hAnsi="Times New Roman" w:eastAsia="方正仿宋_GBK"/>
                <w:sz w:val="28"/>
                <w:szCs w:val="28"/>
              </w:rPr>
            </w:pPr>
            <w:r>
              <w:rPr>
                <w:rFonts w:ascii="Times New Roman" w:hAnsi="Times New Roman" w:eastAsia="方正仿宋_GBK"/>
                <w:sz w:val="28"/>
                <w:szCs w:val="28"/>
              </w:rPr>
              <w:t>其他说明</w:t>
            </w:r>
          </w:p>
        </w:tc>
        <w:tc>
          <w:tcPr>
            <w:tcW w:w="6475" w:type="dxa"/>
            <w:gridSpan w:val="3"/>
            <w:noWrap w:val="0"/>
            <w:vAlign w:val="center"/>
          </w:tcPr>
          <w:p w14:paraId="620717C2">
            <w:pPr>
              <w:pStyle w:val="8"/>
              <w:widowControl/>
              <w:spacing w:before="0" w:beforeAutospacing="0" w:after="0" w:afterAutospacing="0" w:line="440" w:lineRule="exact"/>
              <w:ind w:firstLine="280" w:firstLineChars="100"/>
              <w:outlineLvl w:val="0"/>
              <w:rPr>
                <w:rFonts w:ascii="Times New Roman" w:hAnsi="Times New Roman" w:eastAsia="方正仿宋_GBK"/>
                <w:sz w:val="28"/>
                <w:szCs w:val="28"/>
              </w:rPr>
            </w:pPr>
          </w:p>
        </w:tc>
      </w:tr>
    </w:tbl>
    <w:p w14:paraId="48A189A4">
      <w:pPr>
        <w:spacing w:line="5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本单位承诺以上所填内容及提交材料真实有效。</w:t>
      </w:r>
    </w:p>
    <w:p w14:paraId="3CBE75D6">
      <w:pPr>
        <w:wordWrap w:val="0"/>
        <w:spacing w:line="500" w:lineRule="exact"/>
        <w:ind w:firstLine="1280" w:firstLineChars="400"/>
        <w:jc w:val="right"/>
        <w:rPr>
          <w:rFonts w:hint="eastAsia" w:ascii="Times New Roman" w:hAnsi="Times New Roman" w:eastAsia="方正仿宋_GBK"/>
          <w:sz w:val="32"/>
          <w:szCs w:val="32"/>
        </w:rPr>
      </w:pPr>
    </w:p>
    <w:p w14:paraId="6AC86DA3">
      <w:pPr>
        <w:wordWrap w:val="0"/>
        <w:spacing w:line="500" w:lineRule="exact"/>
        <w:ind w:firstLine="1280" w:firstLineChars="400"/>
        <w:jc w:val="right"/>
        <w:rPr>
          <w:rFonts w:ascii="Times New Roman" w:hAnsi="Times New Roman" w:eastAsia="方正仿宋_GBK"/>
          <w:sz w:val="32"/>
          <w:szCs w:val="32"/>
        </w:rPr>
      </w:pPr>
      <w:r>
        <w:rPr>
          <w:rFonts w:ascii="Times New Roman" w:hAnsi="Times New Roman" w:eastAsia="方正仿宋_GBK"/>
          <w:sz w:val="32"/>
          <w:szCs w:val="32"/>
        </w:rPr>
        <w:t xml:space="preserve">申请单位（盖章）    </w:t>
      </w:r>
    </w:p>
    <w:p w14:paraId="1419AF6F">
      <w:pPr>
        <w:wordWrap w:val="0"/>
        <w:spacing w:line="500" w:lineRule="exact"/>
        <w:ind w:firstLine="1280" w:firstLineChars="400"/>
        <w:jc w:val="right"/>
        <w:rPr>
          <w:rFonts w:ascii="Times New Roman" w:hAnsi="Times New Roman" w:eastAsia="方正仿宋_GBK"/>
          <w:sz w:val="32"/>
          <w:szCs w:val="32"/>
        </w:rPr>
      </w:pPr>
      <w:r>
        <w:rPr>
          <w:rFonts w:ascii="Times New Roman" w:hAnsi="Times New Roman" w:eastAsia="方正仿宋_GBK"/>
          <w:sz w:val="32"/>
          <w:szCs w:val="32"/>
        </w:rPr>
        <w:t xml:space="preserve">年  月  日       </w:t>
      </w:r>
    </w:p>
    <w:p w14:paraId="5C426682">
      <w:pPr>
        <w:spacing w:line="579" w:lineRule="exact"/>
        <w:jc w:val="left"/>
        <w:rPr>
          <w:rFonts w:hint="eastAsia" w:ascii="方正黑体_GBK" w:hAnsi="Times New Roman" w:eastAsia="方正黑体_GBK"/>
          <w:bCs/>
          <w:sz w:val="32"/>
          <w:szCs w:val="32"/>
        </w:rPr>
      </w:pPr>
    </w:p>
    <w:p w14:paraId="64E17B20">
      <w:pPr>
        <w:spacing w:line="579" w:lineRule="exact"/>
        <w:jc w:val="left"/>
        <w:rPr>
          <w:rFonts w:hint="eastAsia" w:ascii="方正黑体_GBK" w:hAnsi="Times New Roman" w:eastAsia="方正黑体_GBK"/>
          <w:bCs/>
          <w:sz w:val="32"/>
          <w:szCs w:val="32"/>
        </w:rPr>
      </w:pPr>
      <w:r>
        <w:rPr>
          <w:rFonts w:hint="eastAsia" w:ascii="方正黑体_GBK" w:hAnsi="Times New Roman" w:eastAsia="方正黑体_GBK"/>
          <w:bCs/>
          <w:sz w:val="32"/>
          <w:szCs w:val="32"/>
        </w:rPr>
        <w:t xml:space="preserve">附件2 </w:t>
      </w:r>
    </w:p>
    <w:p w14:paraId="5D3E280C">
      <w:pPr>
        <w:spacing w:line="579" w:lineRule="exact"/>
        <w:jc w:val="center"/>
        <w:rPr>
          <w:rFonts w:ascii="Times New Roman" w:hAnsi="Times New Roman" w:eastAsia="方正小标宋_GBK"/>
          <w:bCs/>
          <w:sz w:val="44"/>
          <w:szCs w:val="44"/>
        </w:rPr>
      </w:pPr>
    </w:p>
    <w:p w14:paraId="23017863">
      <w:pPr>
        <w:spacing w:line="579" w:lineRule="exact"/>
        <w:jc w:val="center"/>
        <w:rPr>
          <w:rFonts w:ascii="Times New Roman" w:hAnsi="Times New Roman"/>
        </w:rPr>
      </w:pPr>
      <w:r>
        <w:rPr>
          <w:rFonts w:ascii="Times New Roman" w:hAnsi="Times New Roman" w:eastAsia="方正小标宋_GBK"/>
          <w:bCs/>
          <w:sz w:val="44"/>
          <w:szCs w:val="44"/>
        </w:rPr>
        <w:t>重庆市老年人能力评估机构承诺书</w:t>
      </w:r>
    </w:p>
    <w:p w14:paraId="493BAE15">
      <w:pPr>
        <w:spacing w:line="579" w:lineRule="exact"/>
        <w:ind w:firstLine="640" w:firstLineChars="200"/>
        <w:rPr>
          <w:rFonts w:ascii="Times New Roman" w:hAnsi="Times New Roman" w:eastAsia="方正仿宋_GBK"/>
          <w:kern w:val="0"/>
          <w:sz w:val="32"/>
          <w:szCs w:val="32"/>
          <w:shd w:val="clear" w:color="auto" w:fill="FFFFFF"/>
        </w:rPr>
      </w:pPr>
    </w:p>
    <w:p w14:paraId="37440F10">
      <w:pPr>
        <w:pStyle w:val="8"/>
        <w:widowControl/>
        <w:shd w:val="clear" w:color="auto" w:fill="FFFFFF"/>
        <w:spacing w:before="0" w:beforeAutospacing="0" w:after="0" w:afterAutospacing="0" w:line="560" w:lineRule="exact"/>
        <w:ind w:firstLine="640" w:firstLineChars="200"/>
        <w:jc w:val="both"/>
        <w:rPr>
          <w:rFonts w:hint="eastAsia"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一、承诺本机构具备《老年人能力评估规范》（GB</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T42195-2022）《重庆市老年人能力评估实施办法》</w:t>
      </w:r>
      <w:r>
        <w:rPr>
          <w:rFonts w:ascii="Times New Roman" w:hAnsi="Times New Roman" w:eastAsia="方正仿宋_GBK"/>
          <w:sz w:val="32"/>
          <w:szCs w:val="32"/>
          <w:lang w:bidi="ar"/>
        </w:rPr>
        <w:t>（渝民规〔2025〕2号）</w:t>
      </w:r>
      <w:r>
        <w:rPr>
          <w:rFonts w:ascii="Times New Roman" w:hAnsi="Times New Roman" w:eastAsia="方正仿宋_GBK"/>
          <w:sz w:val="32"/>
          <w:szCs w:val="32"/>
          <w:shd w:val="clear" w:color="auto" w:fill="FFFFFF"/>
        </w:rPr>
        <w:t>等</w:t>
      </w:r>
      <w:r>
        <w:rPr>
          <w:rFonts w:hint="eastAsia" w:ascii="Times New Roman" w:hAnsi="Times New Roman" w:eastAsia="方正仿宋_GBK"/>
          <w:sz w:val="32"/>
          <w:szCs w:val="32"/>
          <w:shd w:val="clear" w:color="auto" w:fill="FFFFFF"/>
        </w:rPr>
        <w:t>文件</w:t>
      </w:r>
      <w:r>
        <w:rPr>
          <w:rFonts w:ascii="Times New Roman" w:hAnsi="Times New Roman" w:eastAsia="方正仿宋_GBK"/>
          <w:sz w:val="32"/>
          <w:szCs w:val="32"/>
          <w:shd w:val="clear" w:color="auto" w:fill="FFFFFF"/>
        </w:rPr>
        <w:t>规定的资质</w:t>
      </w:r>
      <w:r>
        <w:rPr>
          <w:rFonts w:hint="eastAsia" w:ascii="Times New Roman" w:hAnsi="Times New Roman" w:eastAsia="方正仿宋_GBK"/>
          <w:sz w:val="32"/>
          <w:szCs w:val="32"/>
          <w:shd w:val="clear" w:color="auto" w:fill="FFFFFF"/>
        </w:rPr>
        <w:t>要求、</w:t>
      </w:r>
      <w:r>
        <w:rPr>
          <w:rFonts w:ascii="Times New Roman" w:hAnsi="Times New Roman" w:eastAsia="方正仿宋_GBK"/>
          <w:sz w:val="32"/>
          <w:szCs w:val="32"/>
          <w:shd w:val="clear" w:color="auto" w:fill="FFFFFF"/>
        </w:rPr>
        <w:t>人员</w:t>
      </w:r>
      <w:r>
        <w:rPr>
          <w:rFonts w:hint="eastAsia" w:ascii="Times New Roman" w:hAnsi="Times New Roman" w:eastAsia="方正仿宋_GBK"/>
          <w:sz w:val="32"/>
          <w:szCs w:val="32"/>
          <w:shd w:val="clear" w:color="auto" w:fill="FFFFFF"/>
        </w:rPr>
        <w:t>要求和场地要求。</w:t>
      </w:r>
    </w:p>
    <w:p w14:paraId="39C75AF6">
      <w:pPr>
        <w:overflowPunct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shd w:val="clear" w:color="auto" w:fill="FFFFFF"/>
        </w:rPr>
        <w:t>二、承诺严格按照“客观公正、科学规范”的原则开展老年人能力评估工作，</w:t>
      </w:r>
      <w:r>
        <w:rPr>
          <w:rFonts w:ascii="Times New Roman" w:hAnsi="Times New Roman" w:eastAsia="方正仿宋_GBK"/>
          <w:sz w:val="32"/>
          <w:szCs w:val="32"/>
        </w:rPr>
        <w:t>不与老年人及其家属、养老服务机构串通、伪造评估过程或评估结果。不事先允诺老年人评估结果以鼓动老年人参与评估。杜绝虚假申请、虚假评估、评估结果不准确等情况。</w:t>
      </w:r>
    </w:p>
    <w:p w14:paraId="0704AA74">
      <w:pPr>
        <w:spacing w:line="579"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方正仿宋_GBK"/>
          <w:kern w:val="0"/>
          <w:sz w:val="32"/>
          <w:szCs w:val="32"/>
          <w:shd w:val="clear" w:color="auto" w:fill="FFFFFF"/>
        </w:rPr>
        <w:t>三、严格保护被评估人员的尊严、安全和个人隐私，不向任何机构或个人提供评估对象、评估过程、评估结果等评估信息。承诺不在评估过程中推销商品和服务，不依本机构评估结论开展养老服务工作。</w:t>
      </w:r>
    </w:p>
    <w:p w14:paraId="7D6D04F6">
      <w:pPr>
        <w:spacing w:line="579"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方正仿宋_GBK"/>
          <w:kern w:val="0"/>
          <w:sz w:val="32"/>
          <w:szCs w:val="32"/>
          <w:shd w:val="clear" w:color="auto" w:fill="FFFFFF"/>
        </w:rPr>
        <w:t>四、承诺主动接受并配合行政主管部门或受委托的第三方机构的指导、监督和管理，并按规定提供相关材料。</w:t>
      </w:r>
    </w:p>
    <w:p w14:paraId="4BAB2788">
      <w:pPr>
        <w:spacing w:line="579" w:lineRule="exact"/>
        <w:ind w:firstLine="640" w:firstLineChars="200"/>
        <w:rPr>
          <w:rFonts w:ascii="Times New Roman" w:hAnsi="Times New Roman" w:eastAsia="方正仿宋_GBK"/>
          <w:kern w:val="0"/>
          <w:sz w:val="32"/>
          <w:szCs w:val="32"/>
          <w:shd w:val="clear" w:color="auto" w:fill="FFFFFF"/>
        </w:rPr>
      </w:pPr>
    </w:p>
    <w:p w14:paraId="1C4B3789">
      <w:pPr>
        <w:spacing w:line="579" w:lineRule="exact"/>
        <w:ind w:firstLine="640" w:firstLineChars="200"/>
        <w:rPr>
          <w:rFonts w:ascii="Times New Roman" w:hAnsi="Times New Roman" w:eastAsia="方正仿宋_GBK"/>
          <w:kern w:val="0"/>
          <w:sz w:val="32"/>
          <w:szCs w:val="32"/>
          <w:shd w:val="clear" w:color="auto" w:fill="FFFFFF"/>
        </w:rPr>
      </w:pPr>
    </w:p>
    <w:p w14:paraId="5C8C1CF0">
      <w:pPr>
        <w:spacing w:line="579" w:lineRule="exact"/>
        <w:ind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备案申请单位（盖章）　 　　　</w:t>
      </w:r>
    </w:p>
    <w:p w14:paraId="29944488">
      <w:pPr>
        <w:spacing w:line="579" w:lineRule="exact"/>
        <w:ind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法定代表人（或主要负责人）签字：　</w:t>
      </w:r>
    </w:p>
    <w:p w14:paraId="595FD54A">
      <w:pPr>
        <w:wordWrap w:val="0"/>
        <w:spacing w:line="579"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 xml:space="preserve">年    月    日  </w:t>
      </w:r>
    </w:p>
    <w:p w14:paraId="2FB32F7A">
      <w:pPr>
        <w:spacing w:line="579" w:lineRule="exact"/>
        <w:jc w:val="left"/>
        <w:rPr>
          <w:rFonts w:hint="eastAsia" w:ascii="方正黑体_GBK" w:hAnsi="Times New Roman" w:eastAsia="方正黑体_GBK"/>
          <w:bCs/>
          <w:sz w:val="32"/>
          <w:szCs w:val="32"/>
        </w:rPr>
      </w:pPr>
      <w:r>
        <w:rPr>
          <w:rFonts w:ascii="Times New Roman" w:hAnsi="Times New Roman" w:eastAsia="方正仿宋_GBK"/>
          <w:sz w:val="32"/>
          <w:szCs w:val="32"/>
        </w:rPr>
        <w:br w:type="page"/>
      </w:r>
      <w:r>
        <w:rPr>
          <w:rFonts w:hint="eastAsia" w:ascii="方正黑体_GBK" w:hAnsi="Times New Roman" w:eastAsia="方正黑体_GBK"/>
          <w:bCs/>
          <w:sz w:val="32"/>
          <w:szCs w:val="32"/>
        </w:rPr>
        <w:t xml:space="preserve">附件3 </w:t>
      </w:r>
    </w:p>
    <w:p w14:paraId="7E823CA4">
      <w:pPr>
        <w:spacing w:line="579" w:lineRule="exact"/>
        <w:jc w:val="left"/>
        <w:rPr>
          <w:rFonts w:ascii="Times New Roman" w:hAnsi="Times New Roman" w:eastAsia="方正楷体_GBK"/>
          <w:bCs/>
          <w:sz w:val="32"/>
          <w:szCs w:val="32"/>
        </w:rPr>
      </w:pPr>
    </w:p>
    <w:p w14:paraId="195D1BC3">
      <w:pPr>
        <w:spacing w:line="579" w:lineRule="exact"/>
        <w:jc w:val="center"/>
        <w:rPr>
          <w:rFonts w:ascii="Times New Roman" w:hAnsi="Times New Roman" w:eastAsia="方正小标宋_GBK"/>
          <w:sz w:val="44"/>
          <w:szCs w:val="44"/>
        </w:rPr>
      </w:pPr>
      <w:r>
        <w:rPr>
          <w:rFonts w:ascii="Times New Roman" w:hAnsi="Times New Roman" w:eastAsia="方正小标宋_GBK"/>
          <w:spacing w:val="1"/>
          <w:w w:val="94"/>
          <w:kern w:val="0"/>
          <w:sz w:val="44"/>
          <w:szCs w:val="44"/>
          <w:fitText w:val="7920" w:id="1905528217"/>
        </w:rPr>
        <w:t>重庆市老年人能力评估机构评估人员花名</w:t>
      </w:r>
      <w:r>
        <w:rPr>
          <w:rFonts w:ascii="Times New Roman" w:hAnsi="Times New Roman" w:eastAsia="方正小标宋_GBK"/>
          <w:spacing w:val="23"/>
          <w:w w:val="94"/>
          <w:kern w:val="0"/>
          <w:sz w:val="44"/>
          <w:szCs w:val="44"/>
          <w:fitText w:val="7920" w:id="1905528217"/>
        </w:rPr>
        <w:t>册</w:t>
      </w:r>
    </w:p>
    <w:tbl>
      <w:tblPr>
        <w:tblStyle w:val="9"/>
        <w:tblW w:w="9607" w:type="dxa"/>
        <w:jc w:val="center"/>
        <w:tblLayout w:type="fixed"/>
        <w:tblCellMar>
          <w:top w:w="0" w:type="dxa"/>
          <w:left w:w="108" w:type="dxa"/>
          <w:bottom w:w="0" w:type="dxa"/>
          <w:right w:w="108" w:type="dxa"/>
        </w:tblCellMar>
      </w:tblPr>
      <w:tblGrid>
        <w:gridCol w:w="748"/>
        <w:gridCol w:w="1211"/>
        <w:gridCol w:w="1912"/>
        <w:gridCol w:w="1912"/>
        <w:gridCol w:w="1912"/>
        <w:gridCol w:w="1912"/>
      </w:tblGrid>
      <w:tr w14:paraId="304168DC">
        <w:tblPrEx>
          <w:tblCellMar>
            <w:top w:w="0" w:type="dxa"/>
            <w:left w:w="108" w:type="dxa"/>
            <w:bottom w:w="0" w:type="dxa"/>
            <w:right w:w="108" w:type="dxa"/>
          </w:tblCellMar>
        </w:tblPrEx>
        <w:trPr>
          <w:trHeight w:val="74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7D3C955E">
            <w:pPr>
              <w:widowControl/>
              <w:spacing w:line="500" w:lineRule="exact"/>
              <w:jc w:val="center"/>
              <w:textAlignment w:val="center"/>
              <w:rPr>
                <w:rFonts w:ascii="Times New Roman" w:hAnsi="Times New Roman" w:eastAsia="方正黑体_GBK"/>
                <w:sz w:val="24"/>
              </w:rPr>
            </w:pPr>
            <w:r>
              <w:rPr>
                <w:rFonts w:ascii="Times New Roman" w:hAnsi="Times New Roman" w:eastAsia="方正黑体_GBK"/>
                <w:kern w:val="0"/>
                <w:sz w:val="24"/>
                <w:lang w:bidi="ar"/>
              </w:rPr>
              <w:t>序号</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C4C38B9">
            <w:pPr>
              <w:widowControl/>
              <w:spacing w:line="500" w:lineRule="exact"/>
              <w:jc w:val="center"/>
              <w:textAlignment w:val="center"/>
              <w:rPr>
                <w:rFonts w:ascii="Times New Roman" w:hAnsi="Times New Roman" w:eastAsia="方正黑体_GBK"/>
                <w:sz w:val="24"/>
              </w:rPr>
            </w:pPr>
            <w:r>
              <w:rPr>
                <w:rFonts w:ascii="Times New Roman" w:hAnsi="Times New Roman" w:eastAsia="方正黑体_GBK"/>
                <w:kern w:val="0"/>
                <w:sz w:val="24"/>
                <w:lang w:bidi="ar"/>
              </w:rPr>
              <w:t>姓名</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247240A">
            <w:pPr>
              <w:widowControl/>
              <w:spacing w:line="500" w:lineRule="exact"/>
              <w:jc w:val="center"/>
              <w:textAlignment w:val="center"/>
              <w:rPr>
                <w:rFonts w:ascii="Times New Roman" w:hAnsi="Times New Roman" w:eastAsia="方正黑体_GBK"/>
                <w:sz w:val="24"/>
              </w:rPr>
            </w:pPr>
            <w:r>
              <w:rPr>
                <w:rFonts w:ascii="Times New Roman" w:hAnsi="Times New Roman" w:eastAsia="方正黑体_GBK"/>
                <w:kern w:val="0"/>
                <w:sz w:val="24"/>
                <w:lang w:bidi="ar"/>
              </w:rPr>
              <w:t>身份证号码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1F1B9E9">
            <w:pPr>
              <w:widowControl/>
              <w:spacing w:line="500" w:lineRule="exact"/>
              <w:jc w:val="center"/>
              <w:textAlignment w:val="center"/>
              <w:rPr>
                <w:rFonts w:ascii="Times New Roman" w:hAnsi="Times New Roman" w:eastAsia="方正黑体_GBK"/>
                <w:kern w:val="0"/>
                <w:sz w:val="24"/>
                <w:lang w:bidi="ar"/>
              </w:rPr>
            </w:pPr>
            <w:r>
              <w:rPr>
                <w:rFonts w:ascii="Times New Roman" w:hAnsi="Times New Roman" w:eastAsia="方正黑体_GBK"/>
                <w:sz w:val="24"/>
              </w:rPr>
              <w:t>老年人能力评估资格证书编号</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4F157FF">
            <w:pPr>
              <w:widowControl/>
              <w:spacing w:line="500" w:lineRule="exact"/>
              <w:jc w:val="center"/>
              <w:textAlignment w:val="center"/>
              <w:rPr>
                <w:rFonts w:ascii="Times New Roman" w:hAnsi="Times New Roman" w:eastAsia="方正黑体_GBK"/>
                <w:kern w:val="0"/>
                <w:sz w:val="24"/>
                <w:lang w:bidi="ar"/>
              </w:rPr>
            </w:pPr>
            <w:r>
              <w:rPr>
                <w:rFonts w:ascii="Times New Roman" w:hAnsi="Times New Roman" w:eastAsia="方正黑体_GBK"/>
                <w:kern w:val="0"/>
                <w:sz w:val="24"/>
                <w:lang w:bidi="ar"/>
              </w:rPr>
              <w:t>医</w:t>
            </w:r>
            <w:r>
              <w:rPr>
                <w:rFonts w:hint="eastAsia" w:ascii="Times New Roman" w:hAnsi="Times New Roman" w:eastAsia="方正黑体_GBK"/>
                <w:kern w:val="0"/>
                <w:sz w:val="24"/>
                <w:lang w:bidi="ar"/>
              </w:rPr>
              <w:t>护</w:t>
            </w:r>
            <w:r>
              <w:rPr>
                <w:rFonts w:ascii="Times New Roman" w:hAnsi="Times New Roman" w:eastAsia="方正黑体_GBK"/>
                <w:kern w:val="0"/>
                <w:sz w:val="24"/>
                <w:lang w:bidi="ar"/>
              </w:rPr>
              <w:t>专业毕业证书或职业资格证书编号</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C0815BE">
            <w:pPr>
              <w:widowControl/>
              <w:spacing w:line="500" w:lineRule="exact"/>
              <w:jc w:val="center"/>
              <w:textAlignment w:val="center"/>
              <w:rPr>
                <w:rFonts w:ascii="Times New Roman" w:hAnsi="Times New Roman" w:eastAsia="方正黑体_GBK"/>
                <w:sz w:val="24"/>
              </w:rPr>
            </w:pPr>
            <w:r>
              <w:rPr>
                <w:rFonts w:ascii="Times New Roman" w:hAnsi="Times New Roman" w:eastAsia="方正黑体_GBK"/>
                <w:kern w:val="0"/>
                <w:sz w:val="24"/>
                <w:lang w:bidi="ar"/>
              </w:rPr>
              <w:t>手机号码</w:t>
            </w:r>
          </w:p>
        </w:tc>
      </w:tr>
      <w:tr w14:paraId="6BF96F8D">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72A82D6">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1</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75F9090">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10FB2D9">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8C45A78">
            <w:pPr>
              <w:widowControl/>
              <w:spacing w:line="500" w:lineRule="exact"/>
              <w:jc w:val="center"/>
              <w:textAlignment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D954607">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8991FA4">
            <w:pPr>
              <w:widowControl/>
              <w:spacing w:line="500" w:lineRule="exact"/>
              <w:jc w:val="center"/>
              <w:textAlignment w:val="center"/>
              <w:rPr>
                <w:rFonts w:ascii="Times New Roman" w:hAnsi="Times New Roman" w:eastAsia="方正仿宋_GBK"/>
                <w:sz w:val="22"/>
                <w:szCs w:val="22"/>
              </w:rPr>
            </w:pPr>
          </w:p>
        </w:tc>
      </w:tr>
      <w:tr w14:paraId="6592F6AA">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7D9551F4">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2</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A030845">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FB84CEB">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3194482">
            <w:pPr>
              <w:widowControl/>
              <w:spacing w:line="500" w:lineRule="exact"/>
              <w:jc w:val="center"/>
              <w:textAlignment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4C5EF6D">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1FFD4D8">
            <w:pPr>
              <w:widowControl/>
              <w:spacing w:line="500" w:lineRule="exact"/>
              <w:jc w:val="center"/>
              <w:textAlignment w:val="center"/>
              <w:rPr>
                <w:rFonts w:ascii="Times New Roman" w:hAnsi="Times New Roman" w:eastAsia="方正仿宋_GBK"/>
                <w:sz w:val="22"/>
                <w:szCs w:val="22"/>
              </w:rPr>
            </w:pPr>
          </w:p>
        </w:tc>
      </w:tr>
      <w:tr w14:paraId="005BAD2D">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770CC092">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3</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F5D298A">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676F997">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top"/>
          </w:tcPr>
          <w:p w14:paraId="1D11CB36">
            <w:pPr>
              <w:widowControl/>
              <w:spacing w:line="500" w:lineRule="exact"/>
              <w:jc w:val="center"/>
              <w:textAlignment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C7BD247">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9F1AC00">
            <w:pPr>
              <w:widowControl/>
              <w:spacing w:line="500" w:lineRule="exact"/>
              <w:jc w:val="center"/>
              <w:textAlignment w:val="center"/>
              <w:rPr>
                <w:rFonts w:ascii="Times New Roman" w:hAnsi="Times New Roman" w:eastAsia="方正仿宋_GBK"/>
                <w:sz w:val="22"/>
                <w:szCs w:val="22"/>
              </w:rPr>
            </w:pPr>
          </w:p>
        </w:tc>
      </w:tr>
      <w:tr w14:paraId="41F77C1A">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6EAB5C7C">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4</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09FFCBA">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12E10CA">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A3BFF42">
            <w:pPr>
              <w:widowControl/>
              <w:spacing w:line="500" w:lineRule="exact"/>
              <w:jc w:val="center"/>
              <w:textAlignment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2DD26BE">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4B1956A">
            <w:pPr>
              <w:widowControl/>
              <w:spacing w:line="500" w:lineRule="exact"/>
              <w:jc w:val="center"/>
              <w:textAlignment w:val="center"/>
              <w:rPr>
                <w:rFonts w:ascii="Times New Roman" w:hAnsi="Times New Roman" w:eastAsia="方正仿宋_GBK"/>
                <w:sz w:val="22"/>
                <w:szCs w:val="22"/>
              </w:rPr>
            </w:pPr>
          </w:p>
        </w:tc>
      </w:tr>
      <w:tr w14:paraId="61AD7793">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7855B639">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FA0E743">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0F23E69">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55FDA75">
            <w:pPr>
              <w:widowControl/>
              <w:spacing w:line="500" w:lineRule="exact"/>
              <w:jc w:val="center"/>
              <w:textAlignment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2D58A46">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82E7D5F">
            <w:pPr>
              <w:widowControl/>
              <w:spacing w:line="500" w:lineRule="exact"/>
              <w:jc w:val="center"/>
              <w:textAlignment w:val="center"/>
              <w:rPr>
                <w:rFonts w:ascii="Times New Roman" w:hAnsi="Times New Roman" w:eastAsia="方正仿宋_GBK"/>
                <w:sz w:val="22"/>
                <w:szCs w:val="22"/>
              </w:rPr>
            </w:pPr>
          </w:p>
        </w:tc>
      </w:tr>
      <w:tr w14:paraId="402AFFCC">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6DFE4B72">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6</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5FCB930">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4D5F6D6">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7B7D1F2">
            <w:pPr>
              <w:widowControl/>
              <w:spacing w:line="500" w:lineRule="exact"/>
              <w:jc w:val="center"/>
              <w:textAlignment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5FD7FC8">
            <w:pPr>
              <w:widowControl/>
              <w:spacing w:line="500" w:lineRule="exact"/>
              <w:jc w:val="center"/>
              <w:textAlignment w:val="center"/>
              <w:rPr>
                <w:rFonts w:ascii="Times New Roman" w:hAnsi="Times New Roman" w:eastAsia="方正仿宋_GBK"/>
                <w:sz w:val="22"/>
                <w:szCs w:val="22"/>
              </w:rPr>
            </w:pP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E6CA428">
            <w:pPr>
              <w:widowControl/>
              <w:spacing w:line="500" w:lineRule="exact"/>
              <w:jc w:val="center"/>
              <w:textAlignment w:val="center"/>
              <w:rPr>
                <w:rFonts w:ascii="Times New Roman" w:hAnsi="Times New Roman" w:eastAsia="方正仿宋_GBK"/>
                <w:sz w:val="22"/>
                <w:szCs w:val="22"/>
              </w:rPr>
            </w:pPr>
          </w:p>
        </w:tc>
      </w:tr>
      <w:tr w14:paraId="12DEA279">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0194C949">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7</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4EA356A3">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019D0A54">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52DF953F">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12290D56">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62A3DA77">
            <w:pPr>
              <w:widowControl/>
              <w:spacing w:line="500" w:lineRule="exact"/>
              <w:jc w:val="center"/>
              <w:rPr>
                <w:rFonts w:ascii="Times New Roman" w:hAnsi="Times New Roman" w:eastAsia="方正仿宋_GBK"/>
                <w:sz w:val="24"/>
              </w:rPr>
            </w:pPr>
          </w:p>
        </w:tc>
      </w:tr>
      <w:tr w14:paraId="180668BB">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3C52E1E">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8</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5F43CADE">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6DF3EDFD">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3133C479">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124F6DD7">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44C543AD">
            <w:pPr>
              <w:widowControl/>
              <w:spacing w:line="500" w:lineRule="exact"/>
              <w:jc w:val="center"/>
              <w:rPr>
                <w:rFonts w:ascii="Times New Roman" w:hAnsi="Times New Roman" w:eastAsia="方正仿宋_GBK"/>
                <w:sz w:val="24"/>
              </w:rPr>
            </w:pPr>
          </w:p>
        </w:tc>
      </w:tr>
      <w:tr w14:paraId="715C63D4">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04B750AF">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9</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2AEF9946">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6D3310B6">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132551CE">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6C4276F5">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5147D58B">
            <w:pPr>
              <w:widowControl/>
              <w:spacing w:line="500" w:lineRule="exact"/>
              <w:jc w:val="center"/>
              <w:rPr>
                <w:rFonts w:ascii="Times New Roman" w:hAnsi="Times New Roman" w:eastAsia="方正仿宋_GBK"/>
                <w:sz w:val="24"/>
              </w:rPr>
            </w:pPr>
          </w:p>
        </w:tc>
      </w:tr>
      <w:tr w14:paraId="35800E23">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255AC58">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10</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38F9F7BD">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72302083">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1631C723">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05D58001">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2F6C5A13">
            <w:pPr>
              <w:widowControl/>
              <w:spacing w:line="500" w:lineRule="exact"/>
              <w:jc w:val="center"/>
              <w:rPr>
                <w:rFonts w:ascii="Times New Roman" w:hAnsi="Times New Roman" w:eastAsia="方正仿宋_GBK"/>
                <w:sz w:val="24"/>
              </w:rPr>
            </w:pPr>
          </w:p>
        </w:tc>
      </w:tr>
      <w:tr w14:paraId="485FDEE6">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19716ABE">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11</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35DE46E4">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55110496">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17C1FB40">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45456027">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23016F4A">
            <w:pPr>
              <w:widowControl/>
              <w:spacing w:line="500" w:lineRule="exact"/>
              <w:jc w:val="center"/>
              <w:rPr>
                <w:rFonts w:ascii="Times New Roman" w:hAnsi="Times New Roman" w:eastAsia="方正仿宋_GBK"/>
                <w:sz w:val="24"/>
              </w:rPr>
            </w:pPr>
          </w:p>
        </w:tc>
      </w:tr>
      <w:tr w14:paraId="1140E447">
        <w:tblPrEx>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3422D993">
            <w:pPr>
              <w:widowControl/>
              <w:spacing w:line="500" w:lineRule="exact"/>
              <w:jc w:val="center"/>
              <w:textAlignment w:val="center"/>
              <w:rPr>
                <w:rFonts w:ascii="Times New Roman" w:hAnsi="Times New Roman" w:eastAsia="方正仿宋_GBK"/>
                <w:sz w:val="22"/>
                <w:szCs w:val="22"/>
              </w:rPr>
            </w:pPr>
            <w:r>
              <w:rPr>
                <w:rFonts w:ascii="Times New Roman" w:hAnsi="Times New Roman" w:eastAsia="方正仿宋_GBK"/>
                <w:sz w:val="22"/>
                <w:szCs w:val="22"/>
              </w:rPr>
              <w:t>12</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5F52F39A">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7F6470E2">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3488165C">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0CA9A062">
            <w:pPr>
              <w:widowControl/>
              <w:spacing w:line="500" w:lineRule="exact"/>
              <w:jc w:val="center"/>
              <w:rPr>
                <w:rFonts w:ascii="Times New Roman" w:hAnsi="Times New Roman" w:eastAsia="方正仿宋_GBK"/>
                <w:sz w:val="24"/>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561C972A">
            <w:pPr>
              <w:widowControl/>
              <w:spacing w:line="500" w:lineRule="exact"/>
              <w:jc w:val="center"/>
              <w:rPr>
                <w:rFonts w:ascii="Times New Roman" w:hAnsi="Times New Roman" w:eastAsia="方正仿宋_GBK"/>
                <w:sz w:val="24"/>
              </w:rPr>
            </w:pPr>
          </w:p>
        </w:tc>
      </w:tr>
    </w:tbl>
    <w:p w14:paraId="716A5566">
      <w:pPr>
        <w:pStyle w:val="6"/>
        <w:ind w:left="0" w:leftChars="0" w:firstLine="0" w:firstLineChars="0"/>
        <w:jc w:val="both"/>
        <w:rPr>
          <w:rFonts w:hint="eastAsia"/>
          <w:lang w:eastAsia="zh-CN"/>
        </w:rPr>
      </w:pPr>
    </w:p>
    <w:p w14:paraId="32A42A28">
      <w:pPr>
        <w:keepNext w:val="0"/>
        <w:keepLines w:val="0"/>
        <w:pageBreakBefore w:val="0"/>
        <w:widowControl w:val="0"/>
        <w:kinsoku/>
        <w:wordWrap/>
        <w:overflowPunct/>
        <w:topLinePunct w:val="0"/>
        <w:autoSpaceDE/>
        <w:autoSpaceDN/>
        <w:bidi w:val="0"/>
        <w:adjustRightInd w:val="0"/>
        <w:snapToGrid w:val="0"/>
        <w:textAlignment w:val="auto"/>
        <w:rPr>
          <w:rFonts w:hint="eastAsia" w:ascii="方正黑体_GBK" w:hAnsi="方正黑体_GBK" w:eastAsia="方正黑体_GBK" w:cs="方正黑体_GBK"/>
          <w:kern w:val="0"/>
          <w:sz w:val="32"/>
          <w:szCs w:val="32"/>
        </w:rPr>
      </w:pPr>
    </w:p>
    <w:p w14:paraId="5668008F">
      <w:pPr>
        <w:keepNext w:val="0"/>
        <w:keepLines w:val="0"/>
        <w:pageBreakBefore w:val="0"/>
        <w:widowControl w:val="0"/>
        <w:kinsoku/>
        <w:wordWrap/>
        <w:overflowPunct/>
        <w:topLinePunct w:val="0"/>
        <w:autoSpaceDE/>
        <w:autoSpaceDN/>
        <w:bidi w:val="0"/>
        <w:adjustRightInd w:val="0"/>
        <w:snapToGrid w:val="0"/>
        <w:textAlignment w:val="auto"/>
        <w:rPr>
          <w:rFonts w:hint="eastAsia" w:ascii="方正黑体_GBK" w:hAnsi="方正黑体_GBK" w:eastAsia="方正黑体_GBK" w:cs="方正黑体_GBK"/>
          <w:kern w:val="0"/>
          <w:sz w:val="32"/>
          <w:szCs w:val="32"/>
        </w:rPr>
      </w:pPr>
    </w:p>
    <w:p w14:paraId="15464B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4</w:t>
      </w:r>
    </w:p>
    <w:p w14:paraId="054C1D6C">
      <w:pPr>
        <w:pStyle w:val="6"/>
        <w:keepNext w:val="0"/>
        <w:keepLines w:val="0"/>
        <w:pageBreakBefore w:val="0"/>
        <w:widowControl w:val="0"/>
        <w:kinsoku/>
        <w:wordWrap/>
        <w:overflowPunct/>
        <w:topLinePunct w:val="0"/>
        <w:autoSpaceDE/>
        <w:autoSpaceDN/>
        <w:bidi w:val="0"/>
        <w:adjustRightInd/>
        <w:snapToGrid/>
        <w:spacing w:before="0" w:afterLines="0" w:line="56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评分标准</w:t>
      </w:r>
    </w:p>
    <w:p w14:paraId="0BFD6AA7">
      <w:pPr>
        <w:pStyle w:val="6"/>
        <w:keepNext w:val="0"/>
        <w:keepLines w:val="0"/>
        <w:pageBreakBefore w:val="0"/>
        <w:widowControl w:val="0"/>
        <w:kinsoku/>
        <w:wordWrap/>
        <w:overflowPunct/>
        <w:topLinePunct w:val="0"/>
        <w:autoSpaceDE/>
        <w:autoSpaceDN/>
        <w:bidi w:val="0"/>
        <w:adjustRightInd/>
        <w:snapToGrid/>
        <w:spacing w:before="0" w:afterLines="0" w:line="5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注：各申请机构应单独报送每人每次评估价格，以人民币为单位，本次报价不作为评分依据和最终服务定价，最终评估单价由专家综合评审后确定。</w:t>
      </w:r>
    </w:p>
    <w:tbl>
      <w:tblPr>
        <w:tblStyle w:val="9"/>
        <w:tblpPr w:leftFromText="180" w:rightFromText="180" w:vertAnchor="text" w:tblpXSpec="center" w:tblpY="1"/>
        <w:tblOverlap w:val="never"/>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20"/>
        <w:gridCol w:w="1005"/>
        <w:gridCol w:w="5670"/>
        <w:gridCol w:w="1886"/>
      </w:tblGrid>
      <w:tr w14:paraId="0480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7" w:type="dxa"/>
            <w:noWrap w:val="0"/>
            <w:vAlign w:val="center"/>
          </w:tcPr>
          <w:p w14:paraId="592DC628">
            <w:pPr>
              <w:spacing w:line="440" w:lineRule="exact"/>
              <w:jc w:val="center"/>
              <w:rPr>
                <w:rFonts w:ascii="宋体" w:hAnsi="宋体" w:cs="宋体"/>
                <w:b/>
                <w:sz w:val="24"/>
              </w:rPr>
            </w:pPr>
            <w:r>
              <w:rPr>
                <w:rFonts w:hint="eastAsia" w:ascii="宋体" w:hAnsi="宋体" w:cs="宋体"/>
                <w:b/>
                <w:sz w:val="24"/>
              </w:rPr>
              <w:t>序号</w:t>
            </w:r>
          </w:p>
        </w:tc>
        <w:tc>
          <w:tcPr>
            <w:tcW w:w="1320" w:type="dxa"/>
            <w:noWrap w:val="0"/>
            <w:vAlign w:val="center"/>
          </w:tcPr>
          <w:p w14:paraId="224F8BFE">
            <w:pPr>
              <w:spacing w:line="440" w:lineRule="exact"/>
              <w:jc w:val="center"/>
              <w:rPr>
                <w:rFonts w:ascii="宋体" w:hAnsi="宋体" w:cs="宋体"/>
                <w:b/>
                <w:sz w:val="24"/>
              </w:rPr>
            </w:pPr>
            <w:r>
              <w:rPr>
                <w:rFonts w:hint="eastAsia" w:ascii="宋体" w:hAnsi="宋体" w:cs="宋体"/>
                <w:b/>
                <w:sz w:val="24"/>
              </w:rPr>
              <w:t>评分因素</w:t>
            </w:r>
          </w:p>
        </w:tc>
        <w:tc>
          <w:tcPr>
            <w:tcW w:w="1005" w:type="dxa"/>
            <w:noWrap w:val="0"/>
            <w:vAlign w:val="center"/>
          </w:tcPr>
          <w:p w14:paraId="2588295D">
            <w:pPr>
              <w:spacing w:line="440" w:lineRule="exact"/>
              <w:jc w:val="center"/>
              <w:rPr>
                <w:rFonts w:ascii="宋体" w:hAnsi="宋体" w:cs="宋体"/>
                <w:b/>
                <w:sz w:val="24"/>
              </w:rPr>
            </w:pPr>
            <w:r>
              <w:rPr>
                <w:rFonts w:hint="eastAsia" w:ascii="宋体" w:hAnsi="宋体" w:cs="宋体"/>
                <w:b/>
                <w:sz w:val="24"/>
              </w:rPr>
              <w:t>分值</w:t>
            </w:r>
          </w:p>
        </w:tc>
        <w:tc>
          <w:tcPr>
            <w:tcW w:w="5670" w:type="dxa"/>
            <w:noWrap w:val="0"/>
            <w:vAlign w:val="center"/>
          </w:tcPr>
          <w:p w14:paraId="0B8DE6AB">
            <w:pPr>
              <w:spacing w:line="440" w:lineRule="exact"/>
              <w:jc w:val="center"/>
              <w:rPr>
                <w:rFonts w:ascii="宋体" w:hAnsi="宋体" w:cs="宋体"/>
                <w:b/>
                <w:sz w:val="24"/>
              </w:rPr>
            </w:pPr>
            <w:r>
              <w:rPr>
                <w:rFonts w:hint="eastAsia" w:ascii="宋体" w:hAnsi="宋体" w:cs="宋体"/>
                <w:b/>
                <w:sz w:val="24"/>
              </w:rPr>
              <w:t>评分标准（以下评分标准为举例）</w:t>
            </w:r>
          </w:p>
        </w:tc>
        <w:tc>
          <w:tcPr>
            <w:tcW w:w="1886" w:type="dxa"/>
            <w:noWrap w:val="0"/>
            <w:vAlign w:val="center"/>
          </w:tcPr>
          <w:p w14:paraId="5DD2B746">
            <w:pPr>
              <w:pStyle w:val="14"/>
              <w:spacing w:before="0" w:after="0" w:line="440" w:lineRule="exact"/>
              <w:rPr>
                <w:rFonts w:ascii="宋体" w:hAnsi="宋体" w:eastAsia="宋体" w:cs="宋体"/>
              </w:rPr>
            </w:pPr>
            <w:r>
              <w:rPr>
                <w:rFonts w:hint="eastAsia" w:ascii="宋体" w:hAnsi="宋体" w:eastAsia="宋体" w:cs="宋体"/>
              </w:rPr>
              <w:t>说明</w:t>
            </w:r>
          </w:p>
        </w:tc>
      </w:tr>
      <w:tr w14:paraId="31AE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717" w:type="dxa"/>
            <w:noWrap w:val="0"/>
            <w:vAlign w:val="center"/>
          </w:tcPr>
          <w:p w14:paraId="01677CE0">
            <w:pPr>
              <w:spacing w:line="280" w:lineRule="exact"/>
              <w:jc w:val="center"/>
              <w:rPr>
                <w:rFonts w:hint="eastAsia" w:ascii="宋体" w:hAnsi="宋体" w:cs="宋体"/>
                <w:sz w:val="24"/>
              </w:rPr>
            </w:pPr>
            <w:r>
              <w:rPr>
                <w:rFonts w:hint="eastAsia" w:ascii="宋体" w:hAnsi="宋体" w:cs="宋体"/>
                <w:sz w:val="24"/>
              </w:rPr>
              <w:t>1</w:t>
            </w:r>
          </w:p>
        </w:tc>
        <w:tc>
          <w:tcPr>
            <w:tcW w:w="1320" w:type="dxa"/>
            <w:noWrap w:val="0"/>
            <w:vAlign w:val="center"/>
          </w:tcPr>
          <w:p w14:paraId="0115A39B">
            <w:pPr>
              <w:widowControl/>
              <w:spacing w:line="280" w:lineRule="exact"/>
              <w:jc w:val="center"/>
              <w:rPr>
                <w:rFonts w:hint="eastAsia" w:ascii="宋体" w:hAnsi="宋体" w:cs="宋体"/>
                <w:kern w:val="0"/>
                <w:sz w:val="24"/>
              </w:rPr>
            </w:pPr>
            <w:r>
              <w:rPr>
                <w:rFonts w:hint="eastAsia" w:ascii="宋体" w:hAnsi="宋体" w:cs="宋体"/>
                <w:kern w:val="0"/>
                <w:sz w:val="24"/>
                <w:lang w:eastAsia="zh-CN"/>
              </w:rPr>
              <w:t>工作方案</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0%）</w:t>
            </w:r>
          </w:p>
          <w:p w14:paraId="7AB5D9DA">
            <w:pPr>
              <w:widowControl/>
              <w:spacing w:line="280" w:lineRule="exact"/>
              <w:jc w:val="center"/>
              <w:rPr>
                <w:rFonts w:hint="eastAsia" w:ascii="宋体" w:hAnsi="宋体" w:cs="宋体"/>
                <w:sz w:val="24"/>
              </w:rPr>
            </w:pPr>
          </w:p>
        </w:tc>
        <w:tc>
          <w:tcPr>
            <w:tcW w:w="1005" w:type="dxa"/>
            <w:noWrap w:val="0"/>
            <w:vAlign w:val="center"/>
          </w:tcPr>
          <w:p w14:paraId="15B038C6">
            <w:pPr>
              <w:widowControl/>
              <w:spacing w:line="280" w:lineRule="exact"/>
              <w:jc w:val="center"/>
              <w:rPr>
                <w:rFonts w:hint="eastAsia" w:ascii="宋体" w:hAnsi="宋体" w:cs="宋体"/>
                <w:sz w:val="24"/>
              </w:rPr>
            </w:pPr>
            <w:r>
              <w:rPr>
                <w:rFonts w:hint="eastAsia" w:ascii="宋体" w:hAnsi="宋体" w:cs="宋体"/>
                <w:kern w:val="0"/>
                <w:sz w:val="24"/>
                <w:lang w:val="en-US" w:eastAsia="zh-CN"/>
              </w:rPr>
              <w:t>1</w:t>
            </w:r>
            <w:r>
              <w:rPr>
                <w:rFonts w:hint="eastAsia" w:ascii="宋体" w:hAnsi="宋体" w:cs="宋体"/>
                <w:kern w:val="0"/>
                <w:sz w:val="24"/>
              </w:rPr>
              <w:t>0分</w:t>
            </w:r>
          </w:p>
        </w:tc>
        <w:tc>
          <w:tcPr>
            <w:tcW w:w="5670" w:type="dxa"/>
            <w:noWrap w:val="0"/>
            <w:vAlign w:val="center"/>
          </w:tcPr>
          <w:p w14:paraId="64EC3C31">
            <w:pPr>
              <w:widowControl/>
              <w:spacing w:line="280" w:lineRule="exact"/>
              <w:jc w:val="both"/>
              <w:rPr>
                <w:rFonts w:hint="eastAsia" w:ascii="宋体" w:hAnsi="宋体" w:cs="宋体"/>
                <w:kern w:val="0"/>
                <w:sz w:val="24"/>
              </w:rPr>
            </w:pPr>
            <w:r>
              <w:rPr>
                <w:rFonts w:hint="eastAsia" w:ascii="宋体" w:hAnsi="宋体" w:cs="宋体"/>
                <w:kern w:val="0"/>
                <w:sz w:val="24"/>
                <w:lang w:eastAsia="zh-CN"/>
              </w:rPr>
              <w:t>评估及服务</w:t>
            </w:r>
            <w:r>
              <w:rPr>
                <w:rFonts w:hint="eastAsia" w:ascii="宋体" w:hAnsi="宋体" w:cs="宋体"/>
                <w:kern w:val="0"/>
                <w:sz w:val="24"/>
              </w:rPr>
              <w:t>工作方案（0-</w:t>
            </w:r>
            <w:r>
              <w:rPr>
                <w:rFonts w:hint="eastAsia" w:ascii="宋体" w:hAnsi="宋体" w:cs="宋体"/>
                <w:kern w:val="0"/>
                <w:sz w:val="24"/>
                <w:lang w:val="en-US" w:eastAsia="zh-CN"/>
              </w:rPr>
              <w:t>1</w:t>
            </w:r>
            <w:r>
              <w:rPr>
                <w:rFonts w:hint="eastAsia" w:ascii="宋体" w:hAnsi="宋体" w:cs="宋体"/>
                <w:kern w:val="0"/>
                <w:sz w:val="24"/>
              </w:rPr>
              <w:t>0分）</w:t>
            </w:r>
          </w:p>
          <w:p w14:paraId="195D975D">
            <w:pPr>
              <w:widowControl/>
              <w:spacing w:line="280" w:lineRule="exact"/>
              <w:jc w:val="both"/>
              <w:rPr>
                <w:rFonts w:hint="eastAsia" w:ascii="宋体" w:hAnsi="宋体" w:cs="宋体"/>
                <w:kern w:val="0"/>
                <w:sz w:val="24"/>
              </w:rPr>
            </w:pPr>
            <w:r>
              <w:rPr>
                <w:rFonts w:hint="eastAsia" w:ascii="宋体" w:hAnsi="宋体" w:cs="宋体"/>
                <w:kern w:val="0"/>
                <w:sz w:val="24"/>
              </w:rPr>
              <w:t>①方案描述清晰、内容完整，</w:t>
            </w:r>
            <w:r>
              <w:rPr>
                <w:rFonts w:hint="eastAsia" w:ascii="宋体" w:hAnsi="宋体" w:cs="宋体"/>
                <w:kern w:val="0"/>
                <w:sz w:val="24"/>
                <w:lang w:eastAsia="zh-CN"/>
              </w:rPr>
              <w:t>评估标准、评估流程、人员架构、资料归集等齐全完善，流程清晰，</w:t>
            </w:r>
            <w:r>
              <w:rPr>
                <w:rFonts w:hint="eastAsia" w:ascii="宋体" w:hAnsi="宋体" w:cs="宋体"/>
                <w:kern w:val="0"/>
                <w:sz w:val="24"/>
              </w:rPr>
              <w:t>得</w:t>
            </w:r>
            <w:r>
              <w:rPr>
                <w:rFonts w:hint="eastAsia" w:ascii="宋体" w:hAnsi="宋体" w:cs="宋体"/>
                <w:kern w:val="0"/>
                <w:sz w:val="24"/>
                <w:lang w:val="en-US" w:eastAsia="zh-CN"/>
              </w:rPr>
              <w:t>10</w:t>
            </w:r>
            <w:r>
              <w:rPr>
                <w:rFonts w:hint="eastAsia" w:ascii="宋体" w:hAnsi="宋体" w:cs="宋体"/>
                <w:kern w:val="0"/>
                <w:sz w:val="24"/>
              </w:rPr>
              <w:t>分；</w:t>
            </w:r>
          </w:p>
          <w:p w14:paraId="4BA88150">
            <w:pPr>
              <w:widowControl/>
              <w:spacing w:line="280" w:lineRule="exact"/>
              <w:jc w:val="both"/>
              <w:rPr>
                <w:rFonts w:hint="eastAsia" w:ascii="宋体" w:hAnsi="宋体" w:cs="宋体"/>
                <w:kern w:val="0"/>
                <w:sz w:val="24"/>
              </w:rPr>
            </w:pPr>
            <w:r>
              <w:rPr>
                <w:rFonts w:hint="eastAsia" w:ascii="宋体" w:hAnsi="宋体" w:cs="宋体"/>
                <w:kern w:val="0"/>
                <w:sz w:val="24"/>
              </w:rPr>
              <w:t>②方案描述较清晰，内容较完整，</w:t>
            </w:r>
            <w:r>
              <w:rPr>
                <w:rFonts w:hint="eastAsia" w:ascii="宋体" w:hAnsi="宋体" w:cs="宋体"/>
                <w:kern w:val="0"/>
                <w:sz w:val="24"/>
                <w:lang w:eastAsia="zh-CN"/>
              </w:rPr>
              <w:t>评估标准、评估流程、人员架构、资料归集等较齐全完善，流程较清晰，</w:t>
            </w:r>
            <w:r>
              <w:rPr>
                <w:rFonts w:hint="eastAsia" w:ascii="宋体" w:hAnsi="宋体" w:cs="宋体"/>
                <w:kern w:val="0"/>
                <w:sz w:val="24"/>
              </w:rPr>
              <w:t>得</w:t>
            </w:r>
            <w:r>
              <w:rPr>
                <w:rFonts w:hint="eastAsia" w:ascii="宋体" w:hAnsi="宋体" w:cs="宋体"/>
                <w:kern w:val="0"/>
                <w:sz w:val="24"/>
                <w:lang w:val="en-US" w:eastAsia="zh-CN"/>
              </w:rPr>
              <w:t>8</w:t>
            </w:r>
            <w:r>
              <w:rPr>
                <w:rFonts w:hint="eastAsia" w:ascii="宋体" w:hAnsi="宋体" w:cs="宋体"/>
                <w:kern w:val="0"/>
                <w:sz w:val="24"/>
              </w:rPr>
              <w:t>分；</w:t>
            </w:r>
          </w:p>
          <w:p w14:paraId="579D22D4">
            <w:pPr>
              <w:widowControl/>
              <w:spacing w:line="280" w:lineRule="exact"/>
              <w:jc w:val="both"/>
              <w:rPr>
                <w:rFonts w:hint="eastAsia" w:ascii="宋体" w:hAnsi="宋体" w:cs="宋体"/>
                <w:kern w:val="0"/>
                <w:sz w:val="24"/>
              </w:rPr>
            </w:pPr>
            <w:r>
              <w:rPr>
                <w:rFonts w:hint="eastAsia" w:ascii="宋体" w:hAnsi="宋体" w:cs="宋体"/>
                <w:kern w:val="0"/>
                <w:sz w:val="24"/>
              </w:rPr>
              <w:t>③方案描述不够清晰、内容不够完整，</w:t>
            </w:r>
            <w:r>
              <w:rPr>
                <w:rFonts w:hint="eastAsia" w:ascii="宋体" w:hAnsi="宋体" w:cs="宋体"/>
                <w:kern w:val="0"/>
                <w:sz w:val="24"/>
                <w:lang w:eastAsia="zh-CN"/>
              </w:rPr>
              <w:t>评估标准、评估流程、人员架构、资料归集等缺项，流程不清晰，</w:t>
            </w:r>
            <w:r>
              <w:rPr>
                <w:rFonts w:hint="eastAsia" w:ascii="宋体" w:hAnsi="宋体" w:cs="宋体"/>
                <w:kern w:val="0"/>
                <w:sz w:val="24"/>
              </w:rPr>
              <w:t>得</w:t>
            </w:r>
            <w:r>
              <w:rPr>
                <w:rFonts w:hint="eastAsia" w:ascii="宋体" w:hAnsi="宋体" w:cs="宋体"/>
                <w:kern w:val="0"/>
                <w:sz w:val="24"/>
                <w:lang w:val="en-US" w:eastAsia="zh-CN"/>
              </w:rPr>
              <w:t>5</w:t>
            </w:r>
            <w:r>
              <w:rPr>
                <w:rFonts w:hint="eastAsia" w:ascii="宋体" w:hAnsi="宋体" w:cs="宋体"/>
                <w:kern w:val="0"/>
                <w:sz w:val="24"/>
              </w:rPr>
              <w:t>分；</w:t>
            </w:r>
          </w:p>
          <w:p w14:paraId="652CAD5C">
            <w:pPr>
              <w:widowControl/>
              <w:spacing w:line="280" w:lineRule="exact"/>
              <w:jc w:val="both"/>
              <w:rPr>
                <w:rFonts w:hint="eastAsia" w:ascii="宋体" w:hAnsi="宋体" w:cs="宋体"/>
                <w:sz w:val="24"/>
              </w:rPr>
            </w:pPr>
            <w:r>
              <w:rPr>
                <w:rFonts w:hint="eastAsia" w:ascii="宋体" w:hAnsi="宋体" w:cs="宋体"/>
                <w:kern w:val="0"/>
                <w:sz w:val="24"/>
              </w:rPr>
              <w:t>④无方案</w:t>
            </w:r>
            <w:r>
              <w:rPr>
                <w:rFonts w:hint="eastAsia" w:ascii="宋体" w:hAnsi="宋体" w:cs="宋体"/>
                <w:kern w:val="0"/>
                <w:sz w:val="24"/>
                <w:lang w:eastAsia="zh-CN"/>
              </w:rPr>
              <w:t>不得分。</w:t>
            </w:r>
          </w:p>
        </w:tc>
        <w:tc>
          <w:tcPr>
            <w:tcW w:w="1886" w:type="dxa"/>
            <w:noWrap w:val="0"/>
            <w:vAlign w:val="center"/>
          </w:tcPr>
          <w:p w14:paraId="0E4FEF28">
            <w:pPr>
              <w:widowControl/>
              <w:spacing w:line="280" w:lineRule="exact"/>
              <w:jc w:val="left"/>
              <w:rPr>
                <w:rFonts w:hint="eastAsia" w:ascii="宋体" w:hAnsi="宋体" w:cs="宋体"/>
                <w:kern w:val="0"/>
                <w:sz w:val="24"/>
              </w:rPr>
            </w:pPr>
            <w:r>
              <w:rPr>
                <w:rFonts w:hint="eastAsia" w:ascii="宋体" w:hAnsi="宋体" w:cs="宋体"/>
                <w:kern w:val="0"/>
                <w:sz w:val="24"/>
              </w:rPr>
              <w:t>提供</w:t>
            </w:r>
            <w:r>
              <w:rPr>
                <w:rFonts w:hint="eastAsia" w:ascii="宋体" w:hAnsi="宋体" w:cs="宋体"/>
                <w:kern w:val="0"/>
                <w:sz w:val="24"/>
                <w:lang w:eastAsia="zh-CN"/>
              </w:rPr>
              <w:t>详细工作方案，并每页盖章及骑缝章。</w:t>
            </w:r>
          </w:p>
          <w:p w14:paraId="5D916B51">
            <w:pPr>
              <w:widowControl/>
              <w:spacing w:line="280" w:lineRule="exact"/>
              <w:jc w:val="left"/>
              <w:rPr>
                <w:rFonts w:hint="eastAsia" w:ascii="宋体" w:hAnsi="宋体" w:cs="宋体"/>
                <w:color w:val="FF0000"/>
                <w:sz w:val="24"/>
              </w:rPr>
            </w:pPr>
          </w:p>
        </w:tc>
      </w:tr>
      <w:tr w14:paraId="1A1E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17" w:type="dxa"/>
            <w:vMerge w:val="restart"/>
            <w:noWrap w:val="0"/>
            <w:vAlign w:val="center"/>
          </w:tcPr>
          <w:p w14:paraId="617C2E62">
            <w:pPr>
              <w:spacing w:line="280" w:lineRule="exact"/>
              <w:jc w:val="center"/>
              <w:rPr>
                <w:rFonts w:hint="eastAsia" w:ascii="宋体" w:hAnsi="宋体" w:cs="宋体"/>
                <w:sz w:val="24"/>
              </w:rPr>
            </w:pPr>
            <w:r>
              <w:rPr>
                <w:rFonts w:hint="eastAsia" w:ascii="宋体" w:hAnsi="宋体" w:cs="宋体"/>
                <w:sz w:val="24"/>
              </w:rPr>
              <w:t>2</w:t>
            </w:r>
          </w:p>
        </w:tc>
        <w:tc>
          <w:tcPr>
            <w:tcW w:w="1320" w:type="dxa"/>
            <w:vMerge w:val="restart"/>
            <w:noWrap w:val="0"/>
            <w:vAlign w:val="center"/>
          </w:tcPr>
          <w:p w14:paraId="2AD05853">
            <w:pPr>
              <w:widowControl/>
              <w:spacing w:line="280" w:lineRule="exact"/>
              <w:jc w:val="center"/>
              <w:rPr>
                <w:rFonts w:hint="eastAsia" w:ascii="宋体" w:hAnsi="宋体" w:cs="宋体"/>
                <w:sz w:val="24"/>
              </w:rPr>
            </w:pPr>
            <w:r>
              <w:rPr>
                <w:rFonts w:hint="eastAsia" w:ascii="宋体" w:hAnsi="宋体" w:cs="宋体"/>
                <w:kern w:val="0"/>
                <w:sz w:val="24"/>
              </w:rPr>
              <w:t>商务部分（</w:t>
            </w:r>
            <w:r>
              <w:rPr>
                <w:rFonts w:hint="eastAsia" w:ascii="宋体" w:hAnsi="宋体" w:cs="宋体"/>
                <w:kern w:val="0"/>
                <w:sz w:val="24"/>
                <w:lang w:val="en-US" w:eastAsia="zh-CN"/>
              </w:rPr>
              <w:t>6</w:t>
            </w:r>
            <w:r>
              <w:rPr>
                <w:rFonts w:hint="eastAsia" w:ascii="宋体" w:hAnsi="宋体" w:cs="宋体"/>
                <w:kern w:val="0"/>
                <w:sz w:val="24"/>
              </w:rPr>
              <w:t>0%）</w:t>
            </w:r>
          </w:p>
        </w:tc>
        <w:tc>
          <w:tcPr>
            <w:tcW w:w="1005" w:type="dxa"/>
            <w:noWrap w:val="0"/>
            <w:vAlign w:val="center"/>
          </w:tcPr>
          <w:p w14:paraId="4F17D600">
            <w:pPr>
              <w:widowControl/>
              <w:spacing w:line="280" w:lineRule="exact"/>
              <w:jc w:val="center"/>
              <w:rPr>
                <w:rFonts w:hint="eastAsia" w:ascii="宋体" w:hAnsi="宋体" w:cs="宋体"/>
                <w:sz w:val="24"/>
              </w:rPr>
            </w:pPr>
            <w:r>
              <w:rPr>
                <w:rFonts w:hint="eastAsia" w:ascii="宋体" w:hAnsi="宋体" w:cs="宋体"/>
                <w:kern w:val="0"/>
                <w:sz w:val="24"/>
              </w:rPr>
              <w:t>固定服务场所（</w:t>
            </w:r>
            <w:r>
              <w:rPr>
                <w:rFonts w:hint="eastAsia" w:ascii="宋体" w:hAnsi="宋体" w:cs="宋体"/>
                <w:kern w:val="0"/>
                <w:sz w:val="24"/>
                <w:lang w:val="en-US" w:eastAsia="zh-CN"/>
              </w:rPr>
              <w:t>20</w:t>
            </w:r>
            <w:r>
              <w:rPr>
                <w:rFonts w:hint="eastAsia" w:ascii="宋体" w:hAnsi="宋体" w:cs="宋体"/>
                <w:kern w:val="0"/>
                <w:sz w:val="24"/>
              </w:rPr>
              <w:t>分</w:t>
            </w:r>
            <w:r>
              <w:rPr>
                <w:rFonts w:hint="eastAsia" w:ascii="宋体" w:hAnsi="宋体" w:cs="宋体"/>
                <w:kern w:val="0"/>
                <w:sz w:val="24"/>
                <w:lang w:eastAsia="zh-CN"/>
              </w:rPr>
              <w:t>）</w:t>
            </w:r>
          </w:p>
        </w:tc>
        <w:tc>
          <w:tcPr>
            <w:tcW w:w="5670" w:type="dxa"/>
            <w:noWrap w:val="0"/>
            <w:vAlign w:val="center"/>
          </w:tcPr>
          <w:p w14:paraId="1C08E25E">
            <w:pPr>
              <w:widowControl/>
              <w:spacing w:line="280" w:lineRule="exact"/>
              <w:jc w:val="left"/>
              <w:rPr>
                <w:rFonts w:hint="eastAsia" w:ascii="宋体" w:hAnsi="宋体" w:cs="宋体"/>
                <w:sz w:val="24"/>
              </w:rPr>
            </w:pPr>
            <w:r>
              <w:rPr>
                <w:rFonts w:hint="eastAsia" w:ascii="宋体" w:hAnsi="宋体" w:cs="宋体"/>
                <w:sz w:val="24"/>
                <w:shd w:val="clear" w:color="auto" w:fill="FFFFFF"/>
              </w:rPr>
              <w:t>在大渡口辖区有固定</w:t>
            </w:r>
            <w:r>
              <w:rPr>
                <w:rFonts w:hint="eastAsia" w:ascii="宋体" w:hAnsi="宋体" w:cs="宋体"/>
                <w:sz w:val="24"/>
                <w:shd w:val="clear" w:color="auto" w:fill="FFFFFF"/>
                <w:lang w:val="en-US" w:eastAsia="zh-CN"/>
              </w:rPr>
              <w:t>评估</w:t>
            </w:r>
            <w:r>
              <w:rPr>
                <w:rFonts w:hint="eastAsia" w:ascii="宋体" w:hAnsi="宋体" w:cs="宋体"/>
                <w:sz w:val="24"/>
                <w:shd w:val="clear" w:color="auto" w:fill="FFFFFF"/>
              </w:rPr>
              <w:t>服务场所，依法设立、正常运营一年</w:t>
            </w:r>
            <w:r>
              <w:rPr>
                <w:rFonts w:hint="eastAsia" w:ascii="宋体" w:hAnsi="宋体" w:cs="宋体"/>
                <w:sz w:val="24"/>
                <w:shd w:val="clear" w:color="auto" w:fill="FFFFFF"/>
                <w:lang w:eastAsia="zh-CN"/>
              </w:rPr>
              <w:t>及</w:t>
            </w:r>
            <w:r>
              <w:rPr>
                <w:rFonts w:hint="eastAsia" w:ascii="宋体" w:hAnsi="宋体" w:cs="宋体"/>
                <w:sz w:val="24"/>
                <w:shd w:val="clear" w:color="auto" w:fill="FFFFFF"/>
              </w:rPr>
              <w:t>以上</w:t>
            </w:r>
            <w:r>
              <w:rPr>
                <w:rFonts w:hint="eastAsia" w:ascii="宋体" w:hAnsi="宋体" w:cs="宋体"/>
                <w:sz w:val="24"/>
                <w:shd w:val="clear" w:color="auto" w:fill="FFFFFF"/>
                <w:lang w:eastAsia="zh-CN"/>
              </w:rPr>
              <w:t>，得</w:t>
            </w:r>
            <w:r>
              <w:rPr>
                <w:rFonts w:hint="eastAsia" w:ascii="宋体" w:hAnsi="宋体" w:cs="宋体"/>
                <w:sz w:val="24"/>
                <w:shd w:val="clear" w:color="auto" w:fill="FFFFFF"/>
                <w:lang w:val="en-US" w:eastAsia="zh-CN"/>
              </w:rPr>
              <w:t>20分；</w:t>
            </w:r>
            <w:r>
              <w:rPr>
                <w:rFonts w:hint="eastAsia" w:ascii="宋体" w:hAnsi="宋体" w:cs="宋体"/>
                <w:sz w:val="24"/>
                <w:shd w:val="clear" w:color="auto" w:fill="FFFFFF"/>
              </w:rPr>
              <w:t>在大渡口辖区有固定</w:t>
            </w:r>
            <w:r>
              <w:rPr>
                <w:rFonts w:hint="eastAsia" w:ascii="宋体" w:hAnsi="宋体" w:cs="宋体"/>
                <w:sz w:val="24"/>
                <w:shd w:val="clear" w:color="auto" w:fill="FFFFFF"/>
                <w:lang w:val="en-US" w:eastAsia="zh-CN"/>
              </w:rPr>
              <w:t>评估</w:t>
            </w:r>
            <w:r>
              <w:rPr>
                <w:rFonts w:hint="eastAsia" w:ascii="宋体" w:hAnsi="宋体" w:cs="宋体"/>
                <w:sz w:val="24"/>
                <w:shd w:val="clear" w:color="auto" w:fill="FFFFFF"/>
              </w:rPr>
              <w:t>服务场所，</w:t>
            </w:r>
            <w:r>
              <w:rPr>
                <w:rFonts w:hint="eastAsia" w:ascii="宋体" w:hAnsi="宋体" w:cs="宋体"/>
                <w:sz w:val="24"/>
                <w:shd w:val="clear" w:color="auto" w:fill="FFFFFF"/>
                <w:lang w:val="en-US" w:eastAsia="zh-CN"/>
              </w:rPr>
              <w:t>依法设立、正常运营一年以下，得15分；在外区有固定评估服务场所，依法设立、正常运营得10分；</w:t>
            </w:r>
            <w:r>
              <w:rPr>
                <w:rFonts w:hint="eastAsia" w:ascii="宋体" w:hAnsi="宋体" w:cs="宋体"/>
                <w:sz w:val="24"/>
                <w:shd w:val="clear" w:color="auto" w:fill="FFFFFF"/>
              </w:rPr>
              <w:t>无固定场所不得分。</w:t>
            </w:r>
          </w:p>
        </w:tc>
        <w:tc>
          <w:tcPr>
            <w:tcW w:w="1886" w:type="dxa"/>
            <w:noWrap w:val="0"/>
            <w:vAlign w:val="center"/>
          </w:tcPr>
          <w:p w14:paraId="0CFB7164">
            <w:pPr>
              <w:widowControl/>
              <w:spacing w:line="280" w:lineRule="exact"/>
              <w:jc w:val="left"/>
              <w:rPr>
                <w:rFonts w:hint="eastAsia" w:ascii="宋体" w:hAnsi="宋体" w:cs="宋体"/>
                <w:sz w:val="24"/>
              </w:rPr>
            </w:pPr>
            <w:r>
              <w:rPr>
                <w:rFonts w:hint="eastAsia" w:ascii="宋体" w:hAnsi="宋体" w:cs="宋体"/>
                <w:kern w:val="0"/>
                <w:sz w:val="24"/>
              </w:rPr>
              <w:t>提供</w:t>
            </w:r>
            <w:r>
              <w:rPr>
                <w:rFonts w:hint="eastAsia" w:ascii="宋体" w:hAnsi="宋体" w:cs="宋体"/>
                <w:kern w:val="0"/>
                <w:sz w:val="24"/>
                <w:lang w:eastAsia="zh-CN"/>
              </w:rPr>
              <w:t>《</w:t>
            </w:r>
            <w:r>
              <w:rPr>
                <w:rFonts w:hint="eastAsia" w:ascii="宋体" w:hAnsi="宋体" w:cs="宋体"/>
                <w:kern w:val="0"/>
                <w:sz w:val="24"/>
              </w:rPr>
              <w:t>营业执照</w:t>
            </w:r>
            <w:r>
              <w:rPr>
                <w:rFonts w:hint="eastAsia" w:ascii="宋体" w:hAnsi="宋体" w:cs="宋体"/>
                <w:kern w:val="0"/>
                <w:sz w:val="24"/>
                <w:lang w:eastAsia="zh-CN"/>
              </w:rPr>
              <w:t>》</w:t>
            </w:r>
            <w:r>
              <w:rPr>
                <w:rFonts w:hint="eastAsia" w:ascii="宋体" w:hAnsi="宋体" w:cs="宋体"/>
                <w:kern w:val="0"/>
                <w:sz w:val="24"/>
              </w:rPr>
              <w:t>《民办非企业单位登记证书》《事业单位法人证书》等材料</w:t>
            </w:r>
            <w:r>
              <w:rPr>
                <w:rFonts w:hint="eastAsia" w:ascii="宋体" w:hAnsi="宋体" w:cs="宋体"/>
                <w:kern w:val="0"/>
                <w:sz w:val="24"/>
                <w:lang w:eastAsia="zh-CN"/>
              </w:rPr>
              <w:t>复印件，</w:t>
            </w:r>
            <w:r>
              <w:rPr>
                <w:rFonts w:hint="eastAsia" w:ascii="宋体" w:hAnsi="宋体" w:cs="宋体"/>
                <w:kern w:val="0"/>
                <w:sz w:val="24"/>
                <w:lang w:val="en-US" w:eastAsia="zh-CN"/>
              </w:rPr>
              <w:t>提供场所协议或产权证明，以及5张以上反映场所的图片，</w:t>
            </w:r>
            <w:r>
              <w:rPr>
                <w:rFonts w:hint="eastAsia" w:ascii="宋体" w:hAnsi="宋体" w:cs="宋体"/>
                <w:kern w:val="0"/>
                <w:sz w:val="24"/>
                <w:lang w:eastAsia="zh-CN"/>
              </w:rPr>
              <w:t>并每页</w:t>
            </w:r>
            <w:r>
              <w:rPr>
                <w:rFonts w:hint="eastAsia" w:ascii="宋体" w:hAnsi="宋体" w:cs="宋体"/>
                <w:kern w:val="0"/>
                <w:sz w:val="24"/>
              </w:rPr>
              <w:t>加盖公章。</w:t>
            </w:r>
          </w:p>
        </w:tc>
      </w:tr>
      <w:tr w14:paraId="60AD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17" w:type="dxa"/>
            <w:vMerge w:val="continue"/>
            <w:noWrap w:val="0"/>
            <w:vAlign w:val="center"/>
          </w:tcPr>
          <w:p w14:paraId="18CB4AA6">
            <w:pPr>
              <w:spacing w:line="280" w:lineRule="exact"/>
              <w:jc w:val="center"/>
              <w:rPr>
                <w:rFonts w:hint="eastAsia" w:ascii="宋体" w:hAnsi="宋体" w:cs="宋体"/>
                <w:sz w:val="24"/>
              </w:rPr>
            </w:pPr>
          </w:p>
        </w:tc>
        <w:tc>
          <w:tcPr>
            <w:tcW w:w="1320" w:type="dxa"/>
            <w:vMerge w:val="continue"/>
            <w:noWrap w:val="0"/>
            <w:vAlign w:val="center"/>
          </w:tcPr>
          <w:p w14:paraId="5F64105B">
            <w:pPr>
              <w:widowControl/>
              <w:spacing w:line="280" w:lineRule="exact"/>
              <w:jc w:val="center"/>
              <w:rPr>
                <w:rFonts w:hint="eastAsia" w:ascii="宋体" w:hAnsi="宋体" w:cs="宋体"/>
                <w:sz w:val="24"/>
              </w:rPr>
            </w:pPr>
          </w:p>
        </w:tc>
        <w:tc>
          <w:tcPr>
            <w:tcW w:w="1005" w:type="dxa"/>
            <w:noWrap w:val="0"/>
            <w:vAlign w:val="center"/>
          </w:tcPr>
          <w:p w14:paraId="2A65D301">
            <w:pPr>
              <w:widowControl/>
              <w:spacing w:line="280" w:lineRule="exact"/>
              <w:jc w:val="center"/>
              <w:rPr>
                <w:rFonts w:hint="eastAsia" w:ascii="宋体" w:hAnsi="宋体" w:cs="宋体"/>
                <w:kern w:val="0"/>
                <w:sz w:val="24"/>
              </w:rPr>
            </w:pPr>
            <w:r>
              <w:rPr>
                <w:rFonts w:hint="eastAsia" w:ascii="宋体" w:hAnsi="宋体" w:cs="宋体"/>
                <w:kern w:val="0"/>
                <w:sz w:val="24"/>
                <w:lang w:eastAsia="zh-CN"/>
              </w:rPr>
              <w:t>评估服务</w:t>
            </w:r>
            <w:r>
              <w:rPr>
                <w:rFonts w:hint="eastAsia" w:ascii="宋体" w:hAnsi="宋体" w:cs="宋体"/>
                <w:kern w:val="0"/>
                <w:sz w:val="24"/>
              </w:rPr>
              <w:t>经验（</w:t>
            </w:r>
            <w:r>
              <w:rPr>
                <w:rFonts w:hint="eastAsia" w:ascii="宋体" w:hAnsi="宋体" w:cs="宋体"/>
                <w:kern w:val="0"/>
                <w:sz w:val="24"/>
                <w:lang w:val="en-US" w:eastAsia="zh-CN"/>
              </w:rPr>
              <w:t>20</w:t>
            </w:r>
            <w:r>
              <w:rPr>
                <w:rFonts w:hint="eastAsia" w:ascii="宋体" w:hAnsi="宋体" w:cs="宋体"/>
                <w:kern w:val="0"/>
                <w:sz w:val="24"/>
              </w:rPr>
              <w:t>分）</w:t>
            </w:r>
          </w:p>
          <w:p w14:paraId="163DAF07">
            <w:pPr>
              <w:widowControl/>
              <w:spacing w:line="280" w:lineRule="exact"/>
              <w:jc w:val="center"/>
              <w:rPr>
                <w:rFonts w:hint="eastAsia" w:ascii="宋体" w:hAnsi="宋体" w:cs="宋体"/>
                <w:kern w:val="0"/>
                <w:sz w:val="24"/>
              </w:rPr>
            </w:pPr>
          </w:p>
        </w:tc>
        <w:tc>
          <w:tcPr>
            <w:tcW w:w="5670" w:type="dxa"/>
            <w:noWrap w:val="0"/>
            <w:vAlign w:val="center"/>
          </w:tcPr>
          <w:p w14:paraId="7BF98BB5">
            <w:pPr>
              <w:widowControl/>
              <w:spacing w:line="280" w:lineRule="exact"/>
              <w:jc w:val="left"/>
              <w:rPr>
                <w:rFonts w:hint="default" w:ascii="宋体" w:hAnsi="宋体" w:eastAsia="宋体" w:cs="宋体"/>
                <w:sz w:val="24"/>
                <w:lang w:val="en-US" w:eastAsia="zh-CN"/>
              </w:rPr>
            </w:pPr>
            <w:r>
              <w:rPr>
                <w:rFonts w:hint="eastAsia" w:ascii="宋体" w:hAnsi="宋体" w:cs="宋体"/>
                <w:sz w:val="24"/>
                <w:lang w:eastAsia="zh-CN"/>
              </w:rPr>
              <w:t>每提供一份与区县、乡镇（街道）、其他企事业单位等评估合同或协议（不含与个人签订合同、协议），得</w:t>
            </w:r>
            <w:r>
              <w:rPr>
                <w:rFonts w:hint="eastAsia" w:ascii="宋体" w:hAnsi="宋体" w:cs="宋体"/>
                <w:sz w:val="24"/>
                <w:lang w:val="en-US" w:eastAsia="zh-CN"/>
              </w:rPr>
              <w:t>5分，累计得分不超过20分。</w:t>
            </w:r>
          </w:p>
        </w:tc>
        <w:tc>
          <w:tcPr>
            <w:tcW w:w="1886" w:type="dxa"/>
            <w:noWrap w:val="0"/>
            <w:vAlign w:val="center"/>
          </w:tcPr>
          <w:p w14:paraId="510D289D">
            <w:pPr>
              <w:widowControl/>
              <w:spacing w:line="280" w:lineRule="exact"/>
              <w:jc w:val="left"/>
              <w:rPr>
                <w:rFonts w:hint="eastAsia" w:ascii="宋体" w:hAnsi="宋体" w:eastAsia="宋体" w:cs="宋体"/>
                <w:sz w:val="24"/>
                <w:lang w:eastAsia="zh-CN"/>
              </w:rPr>
            </w:pPr>
            <w:r>
              <w:rPr>
                <w:rFonts w:hint="eastAsia" w:ascii="宋体" w:hAnsi="宋体" w:cs="宋体"/>
                <w:kern w:val="0"/>
                <w:sz w:val="24"/>
              </w:rPr>
              <w:t xml:space="preserve"> </w:t>
            </w:r>
            <w:r>
              <w:rPr>
                <w:rFonts w:hint="eastAsia" w:ascii="宋体" w:hAnsi="宋体" w:cs="宋体"/>
                <w:kern w:val="0"/>
                <w:sz w:val="24"/>
                <w:lang w:eastAsia="zh-CN"/>
              </w:rPr>
              <w:t>提供签订合同协议复印件，并盖章。</w:t>
            </w:r>
          </w:p>
        </w:tc>
      </w:tr>
      <w:tr w14:paraId="270C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717" w:type="dxa"/>
            <w:vMerge w:val="continue"/>
            <w:noWrap w:val="0"/>
            <w:vAlign w:val="center"/>
          </w:tcPr>
          <w:p w14:paraId="4A64B4A3">
            <w:pPr>
              <w:spacing w:line="280" w:lineRule="exact"/>
              <w:jc w:val="center"/>
              <w:rPr>
                <w:rFonts w:hint="eastAsia" w:ascii="宋体" w:hAnsi="宋体" w:cs="宋体"/>
                <w:sz w:val="24"/>
              </w:rPr>
            </w:pPr>
          </w:p>
        </w:tc>
        <w:tc>
          <w:tcPr>
            <w:tcW w:w="1320" w:type="dxa"/>
            <w:vMerge w:val="continue"/>
            <w:noWrap w:val="0"/>
            <w:vAlign w:val="center"/>
          </w:tcPr>
          <w:p w14:paraId="3B214AB3">
            <w:pPr>
              <w:widowControl/>
              <w:spacing w:line="280" w:lineRule="exact"/>
              <w:jc w:val="center"/>
              <w:rPr>
                <w:rFonts w:hint="eastAsia" w:ascii="宋体" w:hAnsi="宋体" w:cs="宋体"/>
                <w:sz w:val="24"/>
              </w:rPr>
            </w:pPr>
          </w:p>
        </w:tc>
        <w:tc>
          <w:tcPr>
            <w:tcW w:w="1005" w:type="dxa"/>
            <w:noWrap w:val="0"/>
            <w:vAlign w:val="center"/>
          </w:tcPr>
          <w:p w14:paraId="325C4315">
            <w:pPr>
              <w:widowControl/>
              <w:spacing w:line="280" w:lineRule="exact"/>
              <w:jc w:val="center"/>
              <w:rPr>
                <w:rFonts w:hint="eastAsia" w:ascii="宋体" w:hAnsi="宋体" w:cs="宋体"/>
                <w:sz w:val="24"/>
              </w:rPr>
            </w:pPr>
            <w:r>
              <w:rPr>
                <w:rFonts w:hint="eastAsia" w:ascii="宋体" w:hAnsi="宋体" w:cs="宋体"/>
                <w:kern w:val="0"/>
                <w:sz w:val="24"/>
              </w:rPr>
              <w:t>团队配置（</w:t>
            </w:r>
            <w:r>
              <w:rPr>
                <w:rFonts w:hint="eastAsia" w:ascii="宋体" w:hAnsi="宋体" w:cs="宋体"/>
                <w:kern w:val="0"/>
                <w:sz w:val="24"/>
                <w:lang w:val="en-US" w:eastAsia="zh-CN"/>
              </w:rPr>
              <w:t>50</w:t>
            </w:r>
            <w:r>
              <w:rPr>
                <w:rFonts w:hint="eastAsia" w:ascii="宋体" w:hAnsi="宋体" w:cs="宋体"/>
                <w:kern w:val="0"/>
                <w:sz w:val="24"/>
              </w:rPr>
              <w:t>分）</w:t>
            </w:r>
          </w:p>
        </w:tc>
        <w:tc>
          <w:tcPr>
            <w:tcW w:w="5670" w:type="dxa"/>
            <w:noWrap w:val="0"/>
            <w:vAlign w:val="center"/>
          </w:tcPr>
          <w:p w14:paraId="22D54C6F">
            <w:pPr>
              <w:numPr>
                <w:ilvl w:val="0"/>
                <w:numId w:val="0"/>
              </w:numPr>
              <w:spacing w:line="280" w:lineRule="exact"/>
              <w:rPr>
                <w:rFonts w:hint="default" w:ascii="宋体" w:hAnsi="宋体" w:cs="宋体"/>
                <w:sz w:val="24"/>
                <w:lang w:val="en-US"/>
              </w:rPr>
            </w:pPr>
            <w:r>
              <w:rPr>
                <w:rFonts w:hint="eastAsia" w:ascii="宋体" w:hAnsi="宋体" w:cs="宋体"/>
                <w:color w:val="000000"/>
                <w:sz w:val="24"/>
                <w:lang w:bidi="ar"/>
              </w:rPr>
              <w:t>提供基本管理服务团队人员名单</w:t>
            </w:r>
            <w:r>
              <w:rPr>
                <w:rFonts w:hint="eastAsia" w:ascii="宋体" w:hAnsi="宋体" w:cs="宋体"/>
                <w:color w:val="000000"/>
                <w:sz w:val="24"/>
                <w:lang w:val="en-US" w:eastAsia="zh-CN" w:bidi="ar"/>
              </w:rPr>
              <w:t>10人得20分</w:t>
            </w:r>
            <w:r>
              <w:rPr>
                <w:rFonts w:hint="eastAsia" w:ascii="宋体" w:hAnsi="宋体" w:cs="宋体"/>
                <w:color w:val="000000"/>
                <w:sz w:val="24"/>
                <w:lang w:eastAsia="zh-CN" w:bidi="ar"/>
              </w:rPr>
              <w:t>，其中，一是</w:t>
            </w:r>
            <w:r>
              <w:rPr>
                <w:rFonts w:hint="eastAsia" w:ascii="宋体" w:hAnsi="宋体" w:cs="宋体"/>
                <w:color w:val="000000"/>
                <w:sz w:val="24"/>
                <w:lang w:val="en-US" w:eastAsia="zh-CN" w:bidi="ar"/>
              </w:rPr>
              <w:t>持有</w:t>
            </w:r>
            <w:r>
              <w:rPr>
                <w:rFonts w:hint="eastAsia" w:ascii="宋体" w:hAnsi="宋体" w:cs="宋体"/>
                <w:kern w:val="0"/>
                <w:sz w:val="24"/>
              </w:rPr>
              <w:t>老年人能力评估师职业技能等级证书或经民政部组织的老年人能力评估师培训考核合格</w:t>
            </w:r>
            <w:r>
              <w:rPr>
                <w:rFonts w:hint="eastAsia" w:ascii="宋体" w:hAnsi="宋体" w:cs="宋体"/>
                <w:kern w:val="0"/>
                <w:sz w:val="24"/>
                <w:lang w:eastAsia="zh-CN"/>
              </w:rPr>
              <w:t>，每多</w:t>
            </w:r>
            <w:r>
              <w:rPr>
                <w:rFonts w:hint="eastAsia" w:ascii="宋体" w:hAnsi="宋体" w:cs="宋体"/>
                <w:kern w:val="0"/>
                <w:sz w:val="24"/>
                <w:lang w:val="en-US" w:eastAsia="zh-CN"/>
              </w:rPr>
              <w:t>1人，加1分，最多加至10分；二是</w:t>
            </w:r>
            <w:r>
              <w:rPr>
                <w:rFonts w:hint="eastAsia" w:ascii="宋体" w:hAnsi="宋体" w:cs="宋体"/>
                <w:kern w:val="0"/>
                <w:sz w:val="24"/>
                <w:lang w:eastAsia="zh-CN"/>
              </w:rPr>
              <w:t>具备医学背景，每多</w:t>
            </w:r>
            <w:r>
              <w:rPr>
                <w:rFonts w:hint="eastAsia" w:ascii="宋体" w:hAnsi="宋体" w:cs="宋体"/>
                <w:kern w:val="0"/>
                <w:sz w:val="24"/>
                <w:lang w:val="en-US" w:eastAsia="zh-CN"/>
              </w:rPr>
              <w:t>1人，加1分，最多加至10分</w:t>
            </w:r>
            <w:r>
              <w:rPr>
                <w:rFonts w:hint="eastAsia" w:ascii="宋体" w:hAnsi="宋体" w:cs="宋体"/>
                <w:color w:val="000000"/>
                <w:sz w:val="24"/>
                <w:lang w:eastAsia="zh-CN" w:bidi="ar"/>
              </w:rPr>
              <w:t>；三是人员均需提供</w:t>
            </w:r>
            <w:r>
              <w:rPr>
                <w:rFonts w:hint="eastAsia" w:ascii="宋体" w:hAnsi="宋体" w:cs="宋体"/>
                <w:color w:val="000000"/>
                <w:sz w:val="24"/>
                <w:lang w:val="en-US" w:eastAsia="zh-CN" w:bidi="ar"/>
              </w:rPr>
              <w:t>对应人员的</w:t>
            </w:r>
            <w:r>
              <w:rPr>
                <w:rFonts w:hint="eastAsia" w:ascii="宋体" w:hAnsi="宋体" w:cs="宋体"/>
                <w:color w:val="000000"/>
                <w:sz w:val="24"/>
                <w:lang w:eastAsia="zh-CN" w:bidi="ar"/>
              </w:rPr>
              <w:t>劳动合同及社保参保证明（</w:t>
            </w:r>
            <w:r>
              <w:rPr>
                <w:rFonts w:hint="eastAsia" w:ascii="宋体" w:hAnsi="宋体" w:cs="宋体"/>
                <w:color w:val="000000"/>
                <w:sz w:val="24"/>
                <w:lang w:val="en-US" w:eastAsia="zh-CN" w:bidi="ar"/>
              </w:rPr>
              <w:t>近3个月</w:t>
            </w:r>
            <w:r>
              <w:rPr>
                <w:rFonts w:hint="eastAsia" w:ascii="宋体" w:hAnsi="宋体" w:cs="宋体"/>
                <w:color w:val="000000"/>
                <w:sz w:val="24"/>
                <w:lang w:eastAsia="zh-CN" w:bidi="ar"/>
              </w:rPr>
              <w:t>），</w:t>
            </w:r>
            <w:r>
              <w:rPr>
                <w:rFonts w:hint="eastAsia" w:ascii="宋体" w:hAnsi="宋体" w:cs="宋体"/>
                <w:color w:val="000000"/>
                <w:sz w:val="24"/>
                <w:lang w:bidi="ar"/>
              </w:rPr>
              <w:t>每</w:t>
            </w:r>
            <w:r>
              <w:rPr>
                <w:rFonts w:hint="eastAsia" w:ascii="宋体" w:hAnsi="宋体" w:cs="宋体"/>
                <w:color w:val="000000"/>
                <w:sz w:val="24"/>
                <w:lang w:eastAsia="zh-CN" w:bidi="ar"/>
              </w:rPr>
              <w:t>多</w:t>
            </w:r>
            <w:r>
              <w:rPr>
                <w:rFonts w:hint="eastAsia" w:ascii="宋体" w:hAnsi="宋体" w:cs="宋体"/>
                <w:color w:val="000000"/>
                <w:sz w:val="24"/>
                <w:lang w:bidi="ar"/>
              </w:rPr>
              <w:t>1</w:t>
            </w:r>
            <w:r>
              <w:rPr>
                <w:rFonts w:hint="eastAsia" w:ascii="宋体" w:hAnsi="宋体" w:cs="宋体"/>
                <w:color w:val="000000"/>
                <w:sz w:val="24"/>
                <w:lang w:eastAsia="zh-CN" w:bidi="ar"/>
              </w:rPr>
              <w:t>人，加</w:t>
            </w:r>
            <w:r>
              <w:rPr>
                <w:rFonts w:hint="eastAsia" w:ascii="宋体" w:hAnsi="宋体" w:cs="宋体"/>
                <w:color w:val="000000"/>
                <w:sz w:val="24"/>
                <w:lang w:val="en-US" w:eastAsia="zh-CN" w:bidi="ar"/>
              </w:rPr>
              <w:t>1分，最多加至10分</w:t>
            </w:r>
            <w:r>
              <w:rPr>
                <w:rFonts w:hint="eastAsia" w:ascii="宋体" w:hAnsi="宋体" w:cs="宋体"/>
                <w:color w:val="000000"/>
                <w:sz w:val="24"/>
                <w:lang w:eastAsia="zh-CN" w:bidi="ar"/>
              </w:rPr>
              <w:t>。</w:t>
            </w:r>
          </w:p>
        </w:tc>
        <w:tc>
          <w:tcPr>
            <w:tcW w:w="1886" w:type="dxa"/>
            <w:noWrap w:val="0"/>
            <w:vAlign w:val="center"/>
          </w:tcPr>
          <w:p w14:paraId="5AE5E63F">
            <w:pPr>
              <w:widowControl/>
              <w:spacing w:line="280" w:lineRule="exact"/>
              <w:jc w:val="left"/>
              <w:rPr>
                <w:rFonts w:hint="eastAsia" w:ascii="宋体" w:hAnsi="宋体" w:eastAsia="宋体" w:cs="宋体"/>
                <w:sz w:val="24"/>
                <w:lang w:eastAsia="zh-CN"/>
              </w:rPr>
            </w:pPr>
            <w:r>
              <w:rPr>
                <w:rFonts w:hint="eastAsia" w:ascii="宋体" w:hAnsi="宋体" w:cs="宋体"/>
                <w:sz w:val="24"/>
                <w:lang w:eastAsia="zh-CN"/>
              </w:rPr>
              <w:t>提供人员名单、相关证书复印件、劳动合同、社保参保证明等，并盖章。</w:t>
            </w:r>
          </w:p>
        </w:tc>
      </w:tr>
    </w:tbl>
    <w:p w14:paraId="1E8211E0"/>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04A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F2FB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9F2FB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F5E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60E57"/>
    <w:multiLevelType w:val="singleLevel"/>
    <w:tmpl w:val="DBC60E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B3A35"/>
    <w:rsid w:val="10D964CC"/>
    <w:rsid w:val="1D675A9A"/>
    <w:rsid w:val="1FD37FAB"/>
    <w:rsid w:val="38697929"/>
    <w:rsid w:val="3F3B3A35"/>
    <w:rsid w:val="43EB579E"/>
    <w:rsid w:val="449C54B4"/>
    <w:rsid w:val="5AC12E0A"/>
    <w:rsid w:val="5CD60B5E"/>
    <w:rsid w:val="6B14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9"/>
    <w:pPr>
      <w:keepNext/>
      <w:keepLines/>
      <w:spacing w:line="700" w:lineRule="exact"/>
      <w:jc w:val="center"/>
      <w:outlineLvl w:val="0"/>
    </w:pPr>
    <w:rPr>
      <w:rFonts w:ascii="Times New Roman" w:hAnsi="Times New Roman" w:eastAsia="方正小标宋简体" w:cs="方正小标宋简体"/>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0"/>
      <w:ind w:left="200" w:leftChars="0" w:firstLine="420" w:firstLineChars="200"/>
    </w:pPr>
    <w:rPr>
      <w:rFonts w:ascii="仿宋_GB2312" w:eastAsia="仿宋_GB2312"/>
      <w:sz w:val="28"/>
    </w:rPr>
  </w:style>
  <w:style w:type="paragraph" w:styleId="3">
    <w:name w:val="Body Text Indent"/>
    <w:basedOn w:val="1"/>
    <w:next w:val="4"/>
    <w:unhideWhenUsed/>
    <w:qFormat/>
    <w:uiPriority w:val="99"/>
    <w:pPr>
      <w:spacing w:after="120"/>
      <w:ind w:left="420" w:leftChars="200"/>
    </w:p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1"/>
    <w:basedOn w:val="1"/>
    <w:qFormat/>
    <w:uiPriority w:val="0"/>
    <w:pPr>
      <w:shd w:val="clear" w:color="FFFFFF" w:fill="FFFFFF"/>
      <w:tabs>
        <w:tab w:val="left" w:pos="6406"/>
      </w:tabs>
      <w:spacing w:before="200" w:afterLines="50"/>
      <w:ind w:left="274" w:leftChars="114"/>
      <w:jc w:val="center"/>
      <w:outlineLvl w:val="0"/>
    </w:pPr>
    <w:rPr>
      <w:rFonts w:hint="eastAsia" w:ascii="黑体" w:hAnsi="黑体" w:eastAsia="黑体"/>
    </w:rPr>
  </w:style>
  <w:style w:type="paragraph" w:styleId="8">
    <w:name w:val="Normal (Web)"/>
    <w:basedOn w:val="1"/>
    <w:qFormat/>
    <w:uiPriority w:val="0"/>
    <w:pPr>
      <w:spacing w:before="100" w:beforeAutospacing="1" w:after="368"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常用样式（方正仿宋简）"/>
    <w:basedOn w:val="1"/>
    <w:qFormat/>
    <w:uiPriority w:val="0"/>
    <w:pPr>
      <w:spacing w:line="560" w:lineRule="exact"/>
      <w:ind w:firstLine="640" w:firstLineChars="200"/>
    </w:pPr>
    <w:rPr>
      <w:rFonts w:eastAsia="方正仿宋简体"/>
      <w:sz w:val="32"/>
    </w:rPr>
  </w:style>
  <w:style w:type="character" w:customStyle="1" w:styleId="13">
    <w:name w:val="font31"/>
    <w:basedOn w:val="11"/>
    <w:qFormat/>
    <w:uiPriority w:val="0"/>
    <w:rPr>
      <w:rFonts w:hint="eastAsia" w:ascii="方正小标宋简体" w:hAnsi="方正小标宋简体" w:eastAsia="方正小标宋简体" w:cs="方正小标宋简体"/>
      <w:color w:val="000000"/>
      <w:sz w:val="36"/>
      <w:szCs w:val="36"/>
      <w:u w:val="none"/>
    </w:rPr>
  </w:style>
  <w:style w:type="paragraph" w:customStyle="1" w:styleId="1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3077</Words>
  <Characters>3204</Characters>
  <Lines>0</Lines>
  <Paragraphs>0</Paragraphs>
  <TotalTime>1</TotalTime>
  <ScaleCrop>false</ScaleCrop>
  <LinksUpToDate>false</LinksUpToDate>
  <CharactersWithSpaces>3307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2025-08-25T00:14:00Z</dcterms:created>
  <dc:creator>WPS_1744685313</dc:creator>
  <cp:lastModifiedBy>WPS_1744685313</cp:lastModifiedBy>
  <cp:lastPrinted>2025-08-26T02:06:00Z</cp:lastPrinted>
  <dcterms:modified xsi:type="dcterms:W3CDTF">2025-08-26T05:13:45Z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72EDFD38304E4D4E9EE9DA478B0D179D_13</vt:lpwstr>
  </property>
  <property fmtid="{D5CDD505-2E9C-101B-9397-08002B2CF9AE}" pid="4" name="KSOTemplateDocerSaveRecord">
    <vt:lpwstr>eyJoZGlkIjoiMDUxZTc5ZWM5YzVmYzcyN2ZiMGM2YmIyMGY4Y2MyNGUiLCJ1c2VySWQiOiIxNjk0MTgzNzU1In0=</vt:lpwstr>
  </property>
</Properties>
</file>