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2AF33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重庆市大渡口区卫生健康委员会</w:t>
      </w:r>
    </w:p>
    <w:p w14:paraId="0AC0B8A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小标宋_GBK" w:hAnsi="方正小标宋_GBK" w:eastAsia="方正小标宋_GBK" w:cs="方正小标宋_GBK"/>
          <w:w w:val="100"/>
          <w:kern w:val="2"/>
          <w:sz w:val="44"/>
          <w:szCs w:val="44"/>
          <w:lang w:eastAsia="zh-CN"/>
        </w:rPr>
        <w:t>关于征求《大渡口区结核病防治行动方案（2024—2035年）</w:t>
      </w:r>
      <w:bookmarkStart w:id="0" w:name="_GoBack"/>
      <w:bookmarkEnd w:id="0"/>
      <w:r>
        <w:rPr>
          <w:rFonts w:hint="eastAsia" w:ascii="方正小标宋_GBK" w:hAnsi="方正小标宋_GBK" w:eastAsia="方正小标宋_GBK" w:cs="方正小标宋_GBK"/>
          <w:w w:val="100"/>
          <w:kern w:val="2"/>
          <w:sz w:val="44"/>
          <w:szCs w:val="44"/>
          <w:lang w:eastAsia="zh-CN"/>
        </w:rPr>
        <w:t>（征求意见稿）》征求意见的公告</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p>
    <w:p w14:paraId="78701188">
      <w:pPr>
        <w:keepNext w:val="0"/>
        <w:keepLines w:val="0"/>
        <w:pageBreakBefore w:val="0"/>
        <w:widowControl w:val="0"/>
        <w:kinsoku/>
        <w:wordWrap/>
        <w:overflowPunct/>
        <w:topLinePunct w:val="0"/>
        <w:autoSpaceDE/>
        <w:autoSpaceDN/>
        <w:bidi w:val="0"/>
        <w:adjustRightInd/>
        <w:snapToGrid/>
        <w:spacing w:after="0" w:line="594" w:lineRule="exact"/>
        <w:ind w:left="0" w:leftChars="0" w:firstLine="632" w:firstLineChars="200"/>
        <w:jc w:val="both"/>
        <w:textAlignment w:val="auto"/>
        <w:rPr>
          <w:rFonts w:ascii="Microsoft JhengHei" w:hAnsi="Microsoft JhengHei" w:eastAsia="Microsoft JhengHei" w:cs="Microsoft JhengHei"/>
          <w:spacing w:val="0"/>
          <w:w w:val="100"/>
          <w:sz w:val="32"/>
          <w:szCs w:val="32"/>
        </w:rPr>
      </w:pPr>
    </w:p>
    <w:p w14:paraId="3A47D6DD">
      <w:pPr>
        <w:keepNext w:val="0"/>
        <w:keepLines w:val="0"/>
        <w:pageBreakBefore w:val="0"/>
        <w:widowControl w:val="0"/>
        <w:kinsoku/>
        <w:wordWrap/>
        <w:overflowPunct/>
        <w:topLinePunct w:val="0"/>
        <w:autoSpaceDE/>
        <w:autoSpaceDN/>
        <w:bidi w:val="0"/>
        <w:adjustRightInd/>
        <w:snapToGrid/>
        <w:spacing w:line="594" w:lineRule="exact"/>
        <w:ind w:left="0" w:leftChars="0" w:firstLine="63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0"/>
          <w:w w:val="100"/>
          <w:sz w:val="32"/>
          <w:szCs w:val="32"/>
        </w:rPr>
        <w:t>为</w:t>
      </w:r>
      <w:r>
        <w:rPr>
          <w:rFonts w:hint="eastAsia" w:ascii="方正仿宋_GBK" w:hAnsi="方正仿宋_GBK" w:eastAsia="方正仿宋_GBK" w:cs="方正仿宋_GBK"/>
          <w:spacing w:val="3"/>
          <w:w w:val="100"/>
          <w:sz w:val="32"/>
          <w:szCs w:val="32"/>
        </w:rPr>
        <w:t>深</w:t>
      </w:r>
      <w:r>
        <w:rPr>
          <w:rFonts w:hint="eastAsia" w:ascii="方正仿宋_GBK" w:hAnsi="方正仿宋_GBK" w:eastAsia="方正仿宋_GBK" w:cs="方正仿宋_GBK"/>
          <w:spacing w:val="0"/>
          <w:w w:val="100"/>
          <w:sz w:val="32"/>
          <w:szCs w:val="32"/>
        </w:rPr>
        <w:t>入学习贯彻党</w:t>
      </w:r>
      <w:r>
        <w:rPr>
          <w:rFonts w:hint="eastAsia" w:ascii="方正仿宋_GBK" w:hAnsi="方正仿宋_GBK" w:eastAsia="方正仿宋_GBK" w:cs="方正仿宋_GBK"/>
          <w:spacing w:val="3"/>
          <w:w w:val="100"/>
          <w:sz w:val="32"/>
          <w:szCs w:val="32"/>
        </w:rPr>
        <w:t>的</w:t>
      </w:r>
      <w:r>
        <w:rPr>
          <w:rFonts w:hint="eastAsia" w:ascii="方正仿宋_GBK" w:hAnsi="方正仿宋_GBK" w:eastAsia="方正仿宋_GBK" w:cs="方正仿宋_GBK"/>
          <w:spacing w:val="-1"/>
          <w:w w:val="100"/>
          <w:sz w:val="32"/>
          <w:szCs w:val="32"/>
        </w:rPr>
        <w:t>二</w:t>
      </w:r>
      <w:r>
        <w:rPr>
          <w:rFonts w:hint="eastAsia" w:ascii="方正仿宋_GBK" w:hAnsi="方正仿宋_GBK" w:eastAsia="方正仿宋_GBK" w:cs="方正仿宋_GBK"/>
          <w:spacing w:val="0"/>
          <w:w w:val="100"/>
          <w:sz w:val="32"/>
          <w:szCs w:val="32"/>
        </w:rPr>
        <w:t>十大和二十届二中、三中全会</w:t>
      </w:r>
      <w:r>
        <w:rPr>
          <w:rFonts w:hint="eastAsia" w:ascii="方正仿宋_GBK" w:hAnsi="方正仿宋_GBK" w:eastAsia="方正仿宋_GBK" w:cs="方正仿宋_GBK"/>
          <w:spacing w:val="3"/>
          <w:w w:val="100"/>
          <w:sz w:val="32"/>
          <w:szCs w:val="32"/>
        </w:rPr>
        <w:t>精</w:t>
      </w:r>
      <w:r>
        <w:rPr>
          <w:rFonts w:hint="eastAsia" w:ascii="方正仿宋_GBK" w:hAnsi="方正仿宋_GBK" w:eastAsia="方正仿宋_GBK" w:cs="方正仿宋_GBK"/>
          <w:spacing w:val="4"/>
          <w:w w:val="100"/>
          <w:sz w:val="32"/>
          <w:szCs w:val="32"/>
        </w:rPr>
        <w:t>神</w:t>
      </w:r>
      <w:r>
        <w:rPr>
          <w:rFonts w:hint="eastAsia" w:ascii="方正仿宋_GBK" w:hAnsi="方正仿宋_GBK" w:eastAsia="方正仿宋_GBK" w:cs="方正仿宋_GBK"/>
          <w:spacing w:val="0"/>
          <w:w w:val="100"/>
          <w:sz w:val="32"/>
          <w:szCs w:val="32"/>
        </w:rPr>
        <w:t xml:space="preserve">， </w:t>
      </w:r>
      <w:r>
        <w:rPr>
          <w:rFonts w:hint="eastAsia" w:ascii="方正仿宋_GBK" w:hAnsi="方正仿宋_GBK" w:eastAsia="方正仿宋_GBK" w:cs="方正仿宋_GBK"/>
          <w:spacing w:val="-3"/>
          <w:w w:val="100"/>
          <w:sz w:val="32"/>
          <w:szCs w:val="32"/>
        </w:rPr>
        <w:t>全面贯彻落实习近平总书记关于卫生健康工作的重要论述，确</w:t>
      </w:r>
      <w:r>
        <w:rPr>
          <w:rFonts w:hint="eastAsia" w:ascii="方正仿宋_GBK" w:hAnsi="方正仿宋_GBK" w:eastAsia="方正仿宋_GBK" w:cs="方正仿宋_GBK"/>
          <w:spacing w:val="0"/>
          <w:w w:val="100"/>
          <w:sz w:val="32"/>
          <w:szCs w:val="32"/>
        </w:rPr>
        <w:t xml:space="preserve">保 </w:t>
      </w:r>
      <w:r>
        <w:rPr>
          <w:rFonts w:hint="eastAsia" w:ascii="方正仿宋_GBK" w:hAnsi="方正仿宋_GBK" w:eastAsia="方正仿宋_GBK" w:cs="方正仿宋_GBK"/>
          <w:spacing w:val="-4"/>
          <w:w w:val="100"/>
          <w:sz w:val="32"/>
          <w:szCs w:val="32"/>
        </w:rPr>
        <w:t>终结结核病流行目标如期</w:t>
      </w:r>
      <w:r>
        <w:rPr>
          <w:rFonts w:hint="eastAsia" w:ascii="方正仿宋_GBK" w:hAnsi="方正仿宋_GBK" w:eastAsia="方正仿宋_GBK" w:cs="方正仿宋_GBK"/>
          <w:spacing w:val="-2"/>
          <w:w w:val="100"/>
          <w:sz w:val="32"/>
          <w:szCs w:val="32"/>
        </w:rPr>
        <w:t>实</w:t>
      </w:r>
      <w:r>
        <w:rPr>
          <w:rFonts w:hint="eastAsia" w:ascii="方正仿宋_GBK" w:hAnsi="方正仿宋_GBK" w:eastAsia="方正仿宋_GBK" w:cs="方正仿宋_GBK"/>
          <w:spacing w:val="-4"/>
          <w:w w:val="100"/>
          <w:sz w:val="32"/>
          <w:szCs w:val="32"/>
        </w:rPr>
        <w:t>现</w:t>
      </w: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4"/>
          <w:w w:val="100"/>
          <w:position w:val="1"/>
          <w:sz w:val="32"/>
          <w:szCs w:val="32"/>
        </w:rPr>
        <w:t>重庆市结核病防治行动方</w:t>
      </w:r>
      <w:r>
        <w:rPr>
          <w:rFonts w:hint="eastAsia" w:ascii="方正仿宋_GBK" w:hAnsi="方正仿宋_GBK" w:eastAsia="方正仿宋_GBK" w:cs="方正仿宋_GBK"/>
          <w:spacing w:val="0"/>
          <w:w w:val="100"/>
          <w:position w:val="1"/>
          <w:sz w:val="32"/>
          <w:szCs w:val="32"/>
        </w:rPr>
        <w:t>案</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20</w:t>
      </w:r>
      <w:r>
        <w:rPr>
          <w:rFonts w:hint="eastAsia" w:ascii="Times New Roman" w:hAnsi="Times New Roman" w:eastAsia="方正仿宋_GBK" w:cs="Times New Roman"/>
          <w:sz w:val="32"/>
          <w:szCs w:val="32"/>
          <w:lang w:val="en-US" w:eastAsia="zh-CN"/>
        </w:rPr>
        <w:t>35</w:t>
      </w:r>
      <w:r>
        <w:rPr>
          <w:rFonts w:hint="eastAsia" w:ascii="方正仿宋_GBK" w:hAnsi="方正仿宋_GBK" w:eastAsia="方正仿宋_GBK" w:cs="方正仿宋_GBK"/>
          <w:sz w:val="32"/>
          <w:szCs w:val="32"/>
          <w:lang w:eastAsia="zh-CN"/>
        </w:rPr>
        <w:t>年）》（渝府办发〔</w:t>
      </w: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sz w:val="32"/>
          <w:szCs w:val="32"/>
          <w:lang w:val="en-US" w:eastAsia="zh-CN"/>
        </w:rPr>
        <w:t>84</w:t>
      </w:r>
      <w:r>
        <w:rPr>
          <w:rFonts w:hint="eastAsia" w:ascii="方正仿宋_GBK" w:hAnsi="方正仿宋_GBK" w:eastAsia="方正仿宋_GBK" w:cs="方正仿宋_GBK"/>
          <w:sz w:val="32"/>
          <w:szCs w:val="32"/>
          <w:lang w:eastAsia="zh-CN"/>
        </w:rPr>
        <w:t>号）</w:t>
      </w:r>
      <w:r>
        <w:rPr>
          <w:rFonts w:hint="eastAsia" w:ascii="方正仿宋_GBK" w:hAnsi="方正仿宋_GBK" w:eastAsia="方正仿宋_GBK" w:cs="方正仿宋_GBK"/>
          <w:sz w:val="32"/>
          <w:szCs w:val="32"/>
          <w:lang w:val="en-US" w:eastAsia="zh-CN"/>
        </w:rPr>
        <w:t>要求</w:t>
      </w:r>
      <w:r>
        <w:rPr>
          <w:rFonts w:hint="eastAsia" w:ascii="方正仿宋_GBK" w:hAnsi="方正仿宋_GBK" w:eastAsia="方正仿宋_GBK" w:cs="方正仿宋_GBK"/>
          <w:spacing w:val="3"/>
          <w:w w:val="100"/>
          <w:kern w:val="0"/>
          <w:sz w:val="32"/>
          <w:szCs w:val="32"/>
          <w:lang w:val="en-US" w:eastAsia="zh-CN" w:bidi="ar-SA"/>
        </w:rPr>
        <w:t>。</w:t>
      </w:r>
      <w:r>
        <w:rPr>
          <w:rFonts w:hint="default" w:ascii="Times New Roman" w:hAnsi="Times New Roman" w:eastAsia="方正仿宋_GBK" w:cs="Times New Roman"/>
          <w:spacing w:val="3"/>
          <w:w w:val="100"/>
          <w:kern w:val="0"/>
          <w:sz w:val="32"/>
          <w:szCs w:val="32"/>
          <w:lang w:val="en-US" w:eastAsia="zh-CN" w:bidi="ar-SA"/>
        </w:rPr>
        <w:t>区卫生健康委办公室起草了《</w:t>
      </w:r>
      <w:r>
        <w:rPr>
          <w:rFonts w:hint="eastAsia" w:ascii="Times New Roman" w:hAnsi="Times New Roman" w:eastAsia="方正仿宋_GBK" w:cs="Times New Roman"/>
          <w:spacing w:val="3"/>
          <w:w w:val="100"/>
          <w:kern w:val="0"/>
          <w:sz w:val="32"/>
          <w:szCs w:val="32"/>
          <w:lang w:val="en-US" w:eastAsia="zh-CN" w:bidi="ar-SA"/>
        </w:rPr>
        <w:t>大渡口区</w:t>
      </w:r>
      <w:r>
        <w:rPr>
          <w:rFonts w:hint="eastAsia" w:ascii="方正仿宋_GBK" w:hAnsi="方正仿宋_GBK" w:eastAsia="方正仿宋_GBK" w:cs="方正仿宋_GBK"/>
          <w:w w:val="100"/>
          <w:kern w:val="2"/>
          <w:sz w:val="32"/>
          <w:szCs w:val="32"/>
          <w:lang w:eastAsia="zh-CN"/>
        </w:rPr>
        <w:t>结核病防治行动方案（</w:t>
      </w:r>
      <w:r>
        <w:rPr>
          <w:rFonts w:hint="default" w:ascii="Times New Roman" w:hAnsi="Times New Roman" w:eastAsia="方正仿宋_GBK" w:cs="Times New Roman"/>
          <w:w w:val="100"/>
          <w:kern w:val="2"/>
          <w:sz w:val="32"/>
          <w:szCs w:val="32"/>
          <w:lang w:eastAsia="zh-CN"/>
        </w:rPr>
        <w:t>2024</w:t>
      </w:r>
      <w:r>
        <w:rPr>
          <w:rFonts w:hint="eastAsia" w:ascii="方正仿宋_GBK" w:hAnsi="方正仿宋_GBK" w:eastAsia="方正仿宋_GBK" w:cs="方正仿宋_GBK"/>
          <w:w w:val="100"/>
          <w:kern w:val="2"/>
          <w:sz w:val="32"/>
          <w:szCs w:val="32"/>
          <w:lang w:eastAsia="zh-CN"/>
        </w:rPr>
        <w:t>—</w:t>
      </w:r>
      <w:r>
        <w:rPr>
          <w:rFonts w:hint="default" w:ascii="Times New Roman" w:hAnsi="Times New Roman" w:eastAsia="方正仿宋_GBK" w:cs="Times New Roman"/>
          <w:w w:val="100"/>
          <w:kern w:val="2"/>
          <w:sz w:val="32"/>
          <w:szCs w:val="32"/>
          <w:lang w:eastAsia="zh-CN"/>
        </w:rPr>
        <w:t>2035</w:t>
      </w:r>
      <w:r>
        <w:rPr>
          <w:rFonts w:hint="eastAsia" w:ascii="方正仿宋_GBK" w:hAnsi="方正仿宋_GBK" w:eastAsia="方正仿宋_GBK" w:cs="方正仿宋_GBK"/>
          <w:w w:val="100"/>
          <w:kern w:val="2"/>
          <w:sz w:val="32"/>
          <w:szCs w:val="32"/>
          <w:lang w:eastAsia="zh-CN"/>
        </w:rPr>
        <w:t>年）</w:t>
      </w:r>
      <w:r>
        <w:rPr>
          <w:rFonts w:hint="eastAsia" w:ascii="方正仿宋_GBK" w:hAnsi="方正仿宋_GBK" w:cs="方正仿宋_GBK"/>
          <w:w w:val="100"/>
          <w:kern w:val="2"/>
          <w:sz w:val="32"/>
          <w:szCs w:val="32"/>
          <w:lang w:eastAsia="zh-CN"/>
        </w:rPr>
        <w:t>（征求意见稿）》</w:t>
      </w:r>
      <w:r>
        <w:rPr>
          <w:rFonts w:hint="default" w:ascii="Times New Roman" w:hAnsi="Times New Roman" w:eastAsia="方正仿宋_GBK" w:cs="Times New Roman"/>
          <w:spacing w:val="3"/>
          <w:w w:val="100"/>
          <w:kern w:val="0"/>
          <w:sz w:val="32"/>
          <w:szCs w:val="32"/>
          <w:lang w:val="en-US" w:eastAsia="zh-CN" w:bidi="ar-SA"/>
        </w:rPr>
        <w:t>（详见附件）</w:t>
      </w:r>
      <w:r>
        <w:rPr>
          <w:rFonts w:hint="default" w:ascii="Times New Roman" w:hAnsi="Times New Roman" w:eastAsia="方正仿宋_GBK" w:cs="Times New Roman"/>
          <w:spacing w:val="0"/>
          <w:w w:val="100"/>
          <w:sz w:val="32"/>
          <w:szCs w:val="32"/>
          <w:lang w:eastAsia="zh-CN"/>
        </w:rPr>
        <w:t>，</w:t>
      </w:r>
      <w:r>
        <w:rPr>
          <w:rFonts w:hint="eastAsia" w:ascii="方正仿宋_GBK" w:hAnsi="方正仿宋_GBK" w:eastAsia="方正仿宋_GBK" w:cs="方正仿宋_GBK"/>
          <w:sz w:val="32"/>
          <w:szCs w:val="32"/>
        </w:rPr>
        <w:t>根据行政规范性文件制定程序，经征得相关部门意见建议，现将《</w:t>
      </w:r>
      <w:r>
        <w:rPr>
          <w:rFonts w:hint="eastAsia" w:ascii="方正仿宋_GBK" w:hAnsi="方正仿宋_GBK" w:cs="方正仿宋_GBK"/>
          <w:sz w:val="32"/>
          <w:szCs w:val="32"/>
          <w:lang w:val="en-US" w:eastAsia="zh-CN"/>
        </w:rPr>
        <w:t>行动方案</w:t>
      </w:r>
      <w:r>
        <w:rPr>
          <w:rFonts w:hint="eastAsia" w:ascii="方正仿宋_GBK" w:hAnsi="方正仿宋_GBK" w:cs="方正仿宋_GBK"/>
          <w:sz w:val="32"/>
          <w:szCs w:val="32"/>
          <w:lang w:eastAsia="zh-CN"/>
        </w:rPr>
        <w:t>（征求意见稿）》</w:t>
      </w:r>
      <w:r>
        <w:rPr>
          <w:rFonts w:hint="eastAsia" w:ascii="方正仿宋_GBK" w:hAnsi="方正仿宋_GBK" w:eastAsia="方正仿宋_GBK" w:cs="方正仿宋_GBK"/>
          <w:sz w:val="32"/>
          <w:szCs w:val="32"/>
        </w:rPr>
        <w:t>予以公布，公开征求社会各界的意见，欢迎社会各界人士提出意见建议。征求意见截止时间为公布之日起</w:t>
      </w:r>
      <w:r>
        <w:rPr>
          <w:rFonts w:hint="default"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lang w:val="en-US" w:eastAsia="zh-CN"/>
        </w:rPr>
        <w:t>天</w:t>
      </w:r>
      <w:r>
        <w:rPr>
          <w:rFonts w:hint="eastAsia" w:ascii="方正仿宋_GBK" w:hAnsi="方正仿宋_GBK" w:eastAsia="方正仿宋_GBK" w:cs="方正仿宋_GBK"/>
          <w:sz w:val="32"/>
          <w:szCs w:val="32"/>
        </w:rPr>
        <w:t>内。电子邮箱：</w:t>
      </w:r>
      <w:r>
        <w:rPr>
          <w:rFonts w:hint="default" w:ascii="Times New Roman" w:hAnsi="Times New Roman" w:eastAsia="方正仿宋_GBK" w:cs="Times New Roman"/>
          <w:sz w:val="32"/>
          <w:szCs w:val="32"/>
          <w:lang w:val="en-US" w:eastAsia="zh-CN"/>
        </w:rPr>
        <w:t>1051771864</w:t>
      </w:r>
      <w:r>
        <w:rPr>
          <w:rFonts w:hint="default" w:ascii="Times New Roman" w:hAnsi="Times New Roman" w:eastAsia="方正仿宋_GBK" w:cs="Times New Roman"/>
          <w:sz w:val="32"/>
          <w:szCs w:val="32"/>
        </w:rPr>
        <w:t>@qq.com</w:t>
      </w: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eastAsia="zh-CN"/>
        </w:rPr>
        <w:t>袁启芳</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冯陶赟</w:t>
      </w:r>
      <w:r>
        <w:rPr>
          <w:rFonts w:hint="eastAsia" w:ascii="方正仿宋_GBK" w:hAnsi="方正仿宋_GBK" w:eastAsia="方正仿宋_GBK" w:cs="方正仿宋_GBK"/>
          <w:sz w:val="32"/>
          <w:szCs w:val="32"/>
        </w:rPr>
        <w:t>，联系电话：</w:t>
      </w:r>
      <w:r>
        <w:rPr>
          <w:rFonts w:hint="default" w:ascii="Times New Roman" w:hAnsi="Times New Roman" w:eastAsia="方正仿宋_GBK" w:cs="Times New Roman"/>
          <w:sz w:val="32"/>
          <w:szCs w:val="32"/>
          <w:lang w:val="en-US" w:eastAsia="zh-CN"/>
        </w:rPr>
        <w:t>68933931</w:t>
      </w:r>
      <w:r>
        <w:rPr>
          <w:rFonts w:hint="eastAsia" w:ascii="方正仿宋_GBK" w:hAnsi="方正仿宋_GBK" w:eastAsia="方正仿宋_GBK" w:cs="方正仿宋_GBK"/>
          <w:sz w:val="32"/>
          <w:szCs w:val="32"/>
        </w:rPr>
        <w:t>。</w:t>
      </w:r>
    </w:p>
    <w:p w14:paraId="7430E0B7">
      <w:pPr>
        <w:keepNext w:val="0"/>
        <w:keepLines w:val="0"/>
        <w:pageBreakBefore w:val="0"/>
        <w:widowControl w:val="0"/>
        <w:kinsoku/>
        <w:wordWrap/>
        <w:overflowPunct/>
        <w:topLinePunct w:val="0"/>
        <w:autoSpaceDE/>
        <w:autoSpaceDN/>
        <w:bidi w:val="0"/>
        <w:adjustRightInd/>
        <w:snapToGrid/>
        <w:spacing w:line="594" w:lineRule="exact"/>
        <w:ind w:left="0" w:leftChars="0" w:firstLine="644" w:firstLineChars="200"/>
        <w:jc w:val="both"/>
        <w:textAlignment w:val="auto"/>
        <w:rPr>
          <w:rFonts w:hint="default" w:ascii="Times New Roman" w:hAnsi="Times New Roman" w:eastAsia="方正仿宋_GBK" w:cs="Times New Roman"/>
          <w:spacing w:val="3"/>
          <w:w w:val="100"/>
          <w:kern w:val="0"/>
          <w:sz w:val="32"/>
          <w:szCs w:val="32"/>
          <w:lang w:val="en-US" w:eastAsia="zh-CN" w:bidi="ar-SA"/>
        </w:rPr>
      </w:pPr>
    </w:p>
    <w:p w14:paraId="41E40247">
      <w:pPr>
        <w:keepNext w:val="0"/>
        <w:keepLines w:val="0"/>
        <w:pageBreakBefore w:val="0"/>
        <w:widowControl w:val="0"/>
        <w:kinsoku/>
        <w:wordWrap/>
        <w:overflowPunct/>
        <w:topLinePunct w:val="0"/>
        <w:autoSpaceDE/>
        <w:autoSpaceDN/>
        <w:bidi w:val="0"/>
        <w:adjustRightInd/>
        <w:snapToGrid/>
        <w:spacing w:line="594" w:lineRule="exact"/>
        <w:ind w:left="0" w:leftChars="0" w:firstLine="644"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pacing w:val="3"/>
          <w:w w:val="100"/>
          <w:kern w:val="0"/>
          <w:sz w:val="32"/>
          <w:szCs w:val="32"/>
          <w:lang w:val="en-US" w:eastAsia="zh-CN" w:bidi="ar-SA"/>
        </w:rPr>
        <w:t xml:space="preserve"> </w:t>
      </w:r>
      <w:r>
        <w:rPr>
          <w:rFonts w:hint="eastAsia" w:ascii="方正仿宋_GBK" w:hAnsi="方正仿宋_GBK" w:eastAsia="方正仿宋_GBK" w:cs="方正仿宋_GBK"/>
          <w:sz w:val="32"/>
          <w:szCs w:val="32"/>
        </w:rPr>
        <w:t>附件：</w:t>
      </w:r>
      <w:r>
        <w:rPr>
          <w:rFonts w:hint="eastAsia" w:ascii="Times New Roman" w:hAnsi="Times New Roman" w:eastAsia="方正仿宋_GBK" w:cs="Times New Roman"/>
          <w:spacing w:val="3"/>
          <w:w w:val="100"/>
          <w:kern w:val="0"/>
          <w:sz w:val="32"/>
          <w:szCs w:val="32"/>
          <w:lang w:val="en-US" w:eastAsia="zh-CN" w:bidi="ar-SA"/>
        </w:rPr>
        <w:t>大渡口区</w:t>
      </w:r>
      <w:r>
        <w:rPr>
          <w:rFonts w:hint="eastAsia" w:ascii="方正仿宋_GBK" w:hAnsi="方正仿宋_GBK" w:eastAsia="方正仿宋_GBK" w:cs="方正仿宋_GBK"/>
          <w:w w:val="100"/>
          <w:kern w:val="2"/>
          <w:sz w:val="32"/>
          <w:szCs w:val="32"/>
          <w:lang w:eastAsia="zh-CN"/>
        </w:rPr>
        <w:t>结核病防治行动方案（</w:t>
      </w:r>
      <w:r>
        <w:rPr>
          <w:rFonts w:hint="default" w:ascii="Times New Roman" w:hAnsi="Times New Roman" w:eastAsia="方正仿宋_GBK" w:cs="Times New Roman"/>
          <w:w w:val="100"/>
          <w:kern w:val="2"/>
          <w:sz w:val="32"/>
          <w:szCs w:val="32"/>
          <w:lang w:eastAsia="zh-CN"/>
        </w:rPr>
        <w:t>2024</w:t>
      </w:r>
      <w:r>
        <w:rPr>
          <w:rFonts w:hint="eastAsia" w:ascii="方正仿宋_GBK" w:hAnsi="方正仿宋_GBK" w:eastAsia="方正仿宋_GBK" w:cs="方正仿宋_GBK"/>
          <w:w w:val="100"/>
          <w:kern w:val="2"/>
          <w:sz w:val="32"/>
          <w:szCs w:val="32"/>
          <w:lang w:eastAsia="zh-CN"/>
        </w:rPr>
        <w:t>—</w:t>
      </w:r>
      <w:r>
        <w:rPr>
          <w:rFonts w:hint="default" w:ascii="Times New Roman" w:hAnsi="Times New Roman" w:eastAsia="方正仿宋_GBK" w:cs="Times New Roman"/>
          <w:w w:val="100"/>
          <w:kern w:val="2"/>
          <w:sz w:val="32"/>
          <w:szCs w:val="32"/>
          <w:lang w:eastAsia="zh-CN"/>
        </w:rPr>
        <w:t>2035</w:t>
      </w:r>
      <w:r>
        <w:rPr>
          <w:rFonts w:hint="eastAsia" w:ascii="方正仿宋_GBK" w:hAnsi="方正仿宋_GBK" w:eastAsia="方正仿宋_GBK" w:cs="方正仿宋_GBK"/>
          <w:w w:val="100"/>
          <w:kern w:val="2"/>
          <w:sz w:val="32"/>
          <w:szCs w:val="32"/>
          <w:lang w:eastAsia="zh-CN"/>
        </w:rPr>
        <w:t>年）</w:t>
      </w:r>
      <w:r>
        <w:rPr>
          <w:rFonts w:hint="default" w:ascii="Times New Roman" w:hAnsi="Times New Roman" w:eastAsia="方正仿宋_GBK" w:cs="Times New Roman"/>
          <w:spacing w:val="3"/>
          <w:w w:val="100"/>
          <w:kern w:val="0"/>
          <w:sz w:val="32"/>
          <w:szCs w:val="32"/>
          <w:lang w:val="en-US" w:eastAsia="zh-CN" w:bidi="ar-SA"/>
        </w:rPr>
        <w:t>（征求意见稿）</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w:t>
      </w:r>
    </w:p>
    <w:p w14:paraId="3974F59D">
      <w:pPr>
        <w:keepNext w:val="0"/>
        <w:keepLines w:val="0"/>
        <w:pageBreakBefore w:val="0"/>
        <w:widowControl w:val="0"/>
        <w:kinsoku/>
        <w:wordWrap/>
        <w:overflowPunct/>
        <w:topLinePunct w:val="0"/>
        <w:autoSpaceDE/>
        <w:autoSpaceDN/>
        <w:bidi w:val="0"/>
        <w:adjustRightInd/>
        <w:snapToGrid/>
        <w:spacing w:line="594" w:lineRule="exact"/>
        <w:ind w:left="0" w:leftChars="0" w:firstLine="632" w:firstLineChars="200"/>
        <w:jc w:val="both"/>
        <w:textAlignment w:val="auto"/>
        <w:rPr>
          <w:rFonts w:hint="eastAsia" w:ascii="方正仿宋_GBK" w:hAnsi="方正仿宋_GBK" w:eastAsia="方正仿宋_GBK" w:cs="方正仿宋_GBK"/>
          <w:sz w:val="32"/>
          <w:szCs w:val="32"/>
        </w:rPr>
      </w:pPr>
    </w:p>
    <w:p w14:paraId="3361BF30">
      <w:pPr>
        <w:keepNext w:val="0"/>
        <w:keepLines w:val="0"/>
        <w:pageBreakBefore w:val="0"/>
        <w:widowControl w:val="0"/>
        <w:kinsoku/>
        <w:wordWrap/>
        <w:overflowPunct/>
        <w:topLinePunct w:val="0"/>
        <w:autoSpaceDE/>
        <w:autoSpaceDN/>
        <w:bidi w:val="0"/>
        <w:adjustRightInd/>
        <w:snapToGrid/>
        <w:spacing w:line="594" w:lineRule="exact"/>
        <w:ind w:left="0" w:leftChars="0" w:firstLine="632" w:firstLineChars="200"/>
        <w:jc w:val="both"/>
        <w:textAlignment w:val="auto"/>
        <w:rPr>
          <w:rFonts w:hint="eastAsia" w:ascii="Times New Roman" w:hAnsi="Times New Roman" w:eastAsia="方正仿宋_GBK" w:cs="Times New Roman"/>
          <w:szCs w:val="32"/>
          <w:lang w:eastAsia="zh-CN"/>
        </w:rPr>
      </w:pPr>
      <w:r>
        <w:rPr>
          <w:rFonts w:hint="eastAsia" w:ascii="方正仿宋_GBK" w:hAnsi="方正仿宋_GBK" w:eastAsia="方正仿宋_GBK" w:cs="方正仿宋_GBK"/>
          <w:sz w:val="32"/>
          <w:szCs w:val="32"/>
        </w:rPr>
        <w:t>                  </w:t>
      </w:r>
      <w:r>
        <w:rPr>
          <w:rFonts w:hint="eastAsia" w:ascii="Times New Roman" w:hAnsi="Times New Roman" w:eastAsia="方正仿宋_GBK" w:cs="Times New Roman"/>
          <w:color w:val="000000"/>
          <w:sz w:val="32"/>
          <w:szCs w:val="32"/>
          <w:lang w:eastAsia="zh-CN"/>
        </w:rPr>
        <w:t>重庆市大渡口区卫生健康委员会办公室</w:t>
      </w:r>
    </w:p>
    <w:p w14:paraId="2DB283EA">
      <w:pPr>
        <w:keepNext w:val="0"/>
        <w:keepLines w:val="0"/>
        <w:pageBreakBefore w:val="0"/>
        <w:widowControl w:val="0"/>
        <w:kinsoku/>
        <w:wordWrap/>
        <w:overflowPunct/>
        <w:topLinePunct w:val="0"/>
        <w:autoSpaceDE/>
        <w:autoSpaceDN/>
        <w:bidi w:val="0"/>
        <w:adjustRightInd/>
        <w:snapToGrid/>
        <w:spacing w:line="594" w:lineRule="exact"/>
        <w:ind w:left="0" w:leftChars="0" w:firstLine="632"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cs="Times New Roman"/>
          <w:sz w:val="32"/>
          <w:szCs w:val="32"/>
          <w:lang w:val="en-US" w:eastAsia="zh-CN"/>
        </w:rPr>
        <w:t>5</w:t>
      </w:r>
      <w:r>
        <w:rPr>
          <w:rFonts w:hint="default" w:ascii="Times New Roman" w:hAnsi="Times New Roman" w:eastAsia="方正仿宋_GBK" w:cs="Times New Roman"/>
          <w:sz w:val="32"/>
          <w:szCs w:val="32"/>
        </w:rPr>
        <w:t>年</w:t>
      </w:r>
      <w:r>
        <w:rPr>
          <w:rFonts w:hint="eastAsia" w:cs="Times New Roman"/>
          <w:sz w:val="32"/>
          <w:szCs w:val="32"/>
          <w:highlight w:val="none"/>
          <w:lang w:val="en-US" w:eastAsia="zh-CN"/>
        </w:rPr>
        <w:t>1</w:t>
      </w:r>
      <w:r>
        <w:rPr>
          <w:rFonts w:hint="default" w:ascii="Times New Roman" w:hAnsi="Times New Roman" w:eastAsia="方正仿宋_GBK" w:cs="Times New Roman"/>
          <w:sz w:val="32"/>
          <w:szCs w:val="32"/>
        </w:rPr>
        <w:t>月</w:t>
      </w:r>
      <w:r>
        <w:rPr>
          <w:rFonts w:hint="eastAsia" w:cs="Times New Roman"/>
          <w:sz w:val="32"/>
          <w:szCs w:val="32"/>
          <w:highlight w:val="none"/>
          <w:lang w:val="en-US" w:eastAsia="zh-CN"/>
        </w:rPr>
        <w:t>6</w:t>
      </w:r>
      <w:r>
        <w:rPr>
          <w:rFonts w:hint="default" w:ascii="Times New Roman" w:hAnsi="Times New Roman" w:eastAsia="方正仿宋_GBK" w:cs="Times New Roman"/>
          <w:sz w:val="32"/>
          <w:szCs w:val="32"/>
        </w:rPr>
        <w:t>日</w:t>
      </w:r>
    </w:p>
    <w:p w14:paraId="42C1FACD">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14:paraId="6DF1C3EA">
      <w:pPr>
        <w:keepNext w:val="0"/>
        <w:keepLines w:val="0"/>
        <w:pageBreakBefore w:val="0"/>
        <w:widowControl w:val="0"/>
        <w:kinsoku/>
        <w:wordWrap/>
        <w:overflowPunct/>
        <w:topLinePunct/>
        <w:autoSpaceDE/>
        <w:autoSpaceDN/>
        <w:bidi w:val="0"/>
        <w:adjustRightInd w:val="0"/>
        <w:snapToGrid/>
        <w:spacing w:line="594" w:lineRule="exact"/>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rPr>
      </w:pPr>
      <w:r>
        <w:rPr>
          <w:rFonts w:hint="eastAsia" w:eastAsia="方正小标宋_GBK" w:cs="方正小标宋_GBK"/>
          <w:sz w:val="44"/>
          <w:szCs w:val="44"/>
          <w:lang w:eastAsia="zh-CN"/>
        </w:rPr>
        <w:t>大渡口区</w:t>
      </w:r>
      <w:r>
        <w:rPr>
          <w:rFonts w:hint="eastAsia" w:ascii="Times New Roman" w:hAnsi="Times New Roman" w:eastAsia="方正小标宋_GBK" w:cs="方正小标宋_GBK"/>
          <w:sz w:val="44"/>
          <w:szCs w:val="44"/>
        </w:rPr>
        <w:t>结核病防治行动方案</w:t>
      </w:r>
    </w:p>
    <w:p w14:paraId="799D2307">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0" w:firstLineChars="0"/>
        <w:jc w:val="center"/>
        <w:textAlignment w:val="auto"/>
        <w:outlineLvl w:val="9"/>
        <w:rPr>
          <w:rFonts w:hint="eastAsia" w:ascii="Times New Roman" w:hAnsi="Times New Roman"/>
        </w:rPr>
      </w:pPr>
      <w:r>
        <w:rPr>
          <w:rFonts w:hint="eastAsia" w:ascii="Times New Roman" w:hAnsi="Times New Roman"/>
        </w:rPr>
        <w:t>（202</w:t>
      </w:r>
      <w:r>
        <w:rPr>
          <w:rFonts w:hint="eastAsia"/>
          <w:lang w:val="en-US" w:eastAsia="zh-CN"/>
        </w:rPr>
        <w:t>4</w:t>
      </w:r>
      <w:r>
        <w:rPr>
          <w:rFonts w:hint="eastAsia" w:ascii="Times New Roman" w:hAnsi="Times New Roman"/>
        </w:rPr>
        <w:t>—2035年）</w:t>
      </w:r>
    </w:p>
    <w:p w14:paraId="6381A2A2">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（征求意见稿）</w:t>
      </w:r>
    </w:p>
    <w:p w14:paraId="57EADAA1">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default" w:ascii="Times New Roman" w:hAnsi="Times New Roman" w:eastAsia="方正仿宋_GBK"/>
          <w:lang w:val="en-US" w:eastAsia="zh-CN"/>
        </w:rPr>
      </w:pPr>
    </w:p>
    <w:p w14:paraId="39F66E93">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spacing w:val="0"/>
          <w:kern w:val="2"/>
          <w:sz w:val="32"/>
        </w:rPr>
      </w:pPr>
      <w:r>
        <w:rPr>
          <w:rFonts w:hint="eastAsia" w:ascii="Times New Roman" w:hAnsi="Times New Roman"/>
          <w:spacing w:val="0"/>
          <w:kern w:val="2"/>
          <w:sz w:val="32"/>
        </w:rPr>
        <w:t>为深入学习贯彻党的二十大和二十届二中、三中全会精神，全面贯彻落实习近平总书记关于卫生健康工作的重要论述，确保终结结核病流行目标如期实现，结合我</w:t>
      </w:r>
      <w:r>
        <w:rPr>
          <w:rFonts w:hint="eastAsia"/>
          <w:spacing w:val="0"/>
          <w:kern w:val="2"/>
          <w:sz w:val="32"/>
          <w:lang w:eastAsia="zh-CN"/>
        </w:rPr>
        <w:t>区</w:t>
      </w:r>
      <w:r>
        <w:rPr>
          <w:rFonts w:hint="eastAsia" w:ascii="Times New Roman" w:hAnsi="Times New Roman"/>
          <w:spacing w:val="0"/>
          <w:kern w:val="2"/>
          <w:sz w:val="32"/>
        </w:rPr>
        <w:t>实际，制定本方案。</w:t>
      </w:r>
    </w:p>
    <w:p w14:paraId="649C7F3A">
      <w:pPr>
        <w:pStyle w:val="3"/>
        <w:keepNext w:val="0"/>
        <w:keepLines w:val="0"/>
        <w:pageBreakBefore w:val="0"/>
        <w:widowControl w:val="0"/>
        <w:kinsoku/>
        <w:wordWrap/>
        <w:overflowPunct/>
        <w:topLinePunct w:val="0"/>
        <w:autoSpaceDE/>
        <w:autoSpaceDN/>
        <w:bidi w:val="0"/>
        <w:adjustRightInd w:val="0"/>
        <w:snapToGrid/>
        <w:spacing w:beforeLines="0" w:afterLines="0" w:line="594" w:lineRule="exact"/>
        <w:ind w:left="0" w:leftChars="0" w:firstLine="632" w:firstLineChars="200"/>
        <w:jc w:val="both"/>
        <w:textAlignment w:val="auto"/>
        <w:rPr>
          <w:rFonts w:hint="eastAsia" w:ascii="Times New Roman" w:hAnsi="Times New Roman" w:eastAsia="方正黑体_GBK"/>
          <w:spacing w:val="0"/>
          <w:kern w:val="2"/>
          <w:sz w:val="32"/>
          <w:lang w:eastAsia="zh-CN"/>
        </w:rPr>
      </w:pPr>
      <w:r>
        <w:rPr>
          <w:rFonts w:hint="eastAsia" w:ascii="Times New Roman" w:hAnsi="Times New Roman"/>
          <w:spacing w:val="0"/>
          <w:kern w:val="2"/>
          <w:sz w:val="32"/>
        </w:rPr>
        <w:t>一、工作目标</w:t>
      </w:r>
      <w:r>
        <w:rPr>
          <w:rFonts w:hint="eastAsia"/>
          <w:spacing w:val="0"/>
          <w:kern w:val="2"/>
          <w:sz w:val="32"/>
          <w:lang w:eastAsia="zh-CN"/>
        </w:rPr>
        <w:t>与时间安排</w:t>
      </w:r>
    </w:p>
    <w:p w14:paraId="66B5E22C">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spacing w:val="0"/>
          <w:kern w:val="2"/>
          <w:sz w:val="32"/>
        </w:rPr>
      </w:pPr>
      <w:r>
        <w:rPr>
          <w:rFonts w:hint="eastAsia"/>
          <w:spacing w:val="0"/>
          <w:kern w:val="2"/>
          <w:sz w:val="32"/>
          <w:lang w:val="en-US" w:eastAsia="zh-CN"/>
        </w:rPr>
        <w:t>到2030年，全区报告发病率</w:t>
      </w:r>
      <w:r>
        <w:rPr>
          <w:rFonts w:hint="eastAsia" w:ascii="Times New Roman" w:hAnsi="Times New Roman"/>
          <w:spacing w:val="0"/>
          <w:kern w:val="2"/>
          <w:sz w:val="32"/>
        </w:rPr>
        <w:t>较2023年下降45%</w:t>
      </w:r>
      <w:r>
        <w:rPr>
          <w:rFonts w:hint="eastAsia"/>
          <w:spacing w:val="0"/>
          <w:kern w:val="2"/>
          <w:sz w:val="32"/>
          <w:lang w:eastAsia="zh-CN"/>
        </w:rPr>
        <w:t>，降</w:t>
      </w:r>
      <w:r>
        <w:rPr>
          <w:rFonts w:hint="eastAsia" w:ascii="Times New Roman" w:hAnsi="Times New Roman"/>
          <w:spacing w:val="0"/>
          <w:kern w:val="2"/>
          <w:sz w:val="32"/>
        </w:rPr>
        <w:t>至24/10</w:t>
      </w:r>
      <w:r>
        <w:rPr>
          <w:rFonts w:hint="eastAsia"/>
          <w:spacing w:val="0"/>
          <w:kern w:val="2"/>
          <w:sz w:val="32"/>
          <w:lang w:eastAsia="zh-CN"/>
        </w:rPr>
        <w:t>万。</w:t>
      </w:r>
      <w:r>
        <w:rPr>
          <w:rFonts w:hint="eastAsia"/>
          <w:spacing w:val="0"/>
          <w:kern w:val="2"/>
          <w:sz w:val="32"/>
          <w:lang w:val="en-US" w:eastAsia="zh-CN"/>
        </w:rPr>
        <w:t>2035年报告发病率</w:t>
      </w:r>
      <w:r>
        <w:rPr>
          <w:rFonts w:hint="eastAsia" w:ascii="Times New Roman" w:hAnsi="Times New Roman"/>
          <w:spacing w:val="0"/>
          <w:kern w:val="2"/>
          <w:sz w:val="32"/>
        </w:rPr>
        <w:t>较2030年下降55%</w:t>
      </w:r>
      <w:r>
        <w:rPr>
          <w:rFonts w:hint="eastAsia"/>
          <w:spacing w:val="0"/>
          <w:kern w:val="2"/>
          <w:sz w:val="32"/>
          <w:lang w:eastAsia="zh-CN"/>
        </w:rPr>
        <w:t>，降</w:t>
      </w:r>
      <w:r>
        <w:rPr>
          <w:rFonts w:hint="eastAsia" w:ascii="Times New Roman" w:hAnsi="Times New Roman"/>
          <w:spacing w:val="0"/>
          <w:kern w:val="2"/>
          <w:sz w:val="32"/>
        </w:rPr>
        <w:t>至11/10</w:t>
      </w:r>
      <w:r>
        <w:rPr>
          <w:rFonts w:hint="eastAsia"/>
          <w:spacing w:val="0"/>
          <w:kern w:val="2"/>
          <w:sz w:val="32"/>
          <w:lang w:eastAsia="zh-CN"/>
        </w:rPr>
        <w:t>万。</w:t>
      </w:r>
    </w:p>
    <w:p w14:paraId="139F2D76">
      <w:pPr>
        <w:pStyle w:val="3"/>
        <w:keepNext w:val="0"/>
        <w:keepLines w:val="0"/>
        <w:pageBreakBefore w:val="0"/>
        <w:widowControl w:val="0"/>
        <w:kinsoku/>
        <w:wordWrap/>
        <w:overflowPunct/>
        <w:topLinePunct w:val="0"/>
        <w:autoSpaceDE/>
        <w:autoSpaceDN/>
        <w:bidi w:val="0"/>
        <w:adjustRightInd w:val="0"/>
        <w:snapToGrid/>
        <w:spacing w:beforeLines="0" w:afterLines="0" w:line="594" w:lineRule="exact"/>
        <w:ind w:left="0" w:leftChars="0" w:firstLine="632" w:firstLineChars="200"/>
        <w:jc w:val="both"/>
        <w:textAlignment w:val="auto"/>
        <w:rPr>
          <w:rFonts w:hint="eastAsia" w:ascii="Times New Roman" w:hAnsi="Times New Roman"/>
          <w:spacing w:val="0"/>
          <w:kern w:val="2"/>
          <w:sz w:val="32"/>
        </w:rPr>
      </w:pPr>
      <w:r>
        <w:rPr>
          <w:rFonts w:hint="eastAsia" w:ascii="Times New Roman" w:hAnsi="Times New Roman"/>
          <w:spacing w:val="0"/>
          <w:kern w:val="2"/>
          <w:sz w:val="32"/>
        </w:rPr>
        <w:t>二、防治策略</w:t>
      </w:r>
    </w:p>
    <w:p w14:paraId="7C69C5C3">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spacing w:val="0"/>
          <w:kern w:val="2"/>
          <w:sz w:val="32"/>
        </w:rPr>
      </w:pPr>
      <w:r>
        <w:rPr>
          <w:rFonts w:hint="eastAsia" w:ascii="Times New Roman" w:hAnsi="Times New Roman"/>
          <w:spacing w:val="0"/>
          <w:kern w:val="2"/>
          <w:sz w:val="32"/>
        </w:rPr>
        <w:t>紧紧围绕“2035年终结结核病流行”目标，</w:t>
      </w:r>
      <w:r>
        <w:rPr>
          <w:rFonts w:hint="eastAsia"/>
          <w:spacing w:val="0"/>
          <w:kern w:val="2"/>
          <w:sz w:val="32"/>
          <w:lang w:eastAsia="zh-CN"/>
        </w:rPr>
        <w:t>建立</w:t>
      </w:r>
      <w:r>
        <w:rPr>
          <w:rFonts w:hint="eastAsia" w:ascii="Times New Roman" w:hAnsi="Times New Roman"/>
          <w:spacing w:val="0"/>
          <w:kern w:val="2"/>
          <w:sz w:val="32"/>
        </w:rPr>
        <w:t>“党委领导、政府负责、部门履职、社会参与”的结核</w:t>
      </w:r>
      <w:r>
        <w:rPr>
          <w:rFonts w:hint="eastAsia"/>
          <w:spacing w:val="0"/>
          <w:kern w:val="2"/>
          <w:sz w:val="32"/>
          <w:lang w:eastAsia="zh-CN"/>
        </w:rPr>
        <w:t>病</w:t>
      </w:r>
      <w:r>
        <w:rPr>
          <w:rFonts w:hint="eastAsia" w:ascii="Times New Roman" w:hAnsi="Times New Roman"/>
          <w:spacing w:val="0"/>
          <w:kern w:val="2"/>
          <w:sz w:val="32"/>
        </w:rPr>
        <w:t>综合防治机制</w:t>
      </w:r>
      <w:r>
        <w:rPr>
          <w:rFonts w:hint="eastAsia"/>
          <w:spacing w:val="0"/>
          <w:kern w:val="2"/>
          <w:sz w:val="32"/>
          <w:lang w:eastAsia="zh-CN"/>
        </w:rPr>
        <w:t>，按照</w:t>
      </w:r>
      <w:r>
        <w:rPr>
          <w:rFonts w:hint="eastAsia" w:ascii="Times New Roman" w:hAnsi="Times New Roman"/>
          <w:spacing w:val="0"/>
          <w:kern w:val="2"/>
          <w:sz w:val="32"/>
        </w:rPr>
        <w:t>重庆市结核病疫情地区分类标准</w:t>
      </w:r>
      <w:r>
        <w:rPr>
          <w:rFonts w:hint="eastAsia"/>
          <w:spacing w:val="0"/>
          <w:kern w:val="2"/>
          <w:sz w:val="32"/>
          <w:lang w:eastAsia="zh-CN"/>
        </w:rPr>
        <w:t>，将我区各镇街</w:t>
      </w:r>
      <w:r>
        <w:rPr>
          <w:rFonts w:hint="eastAsia" w:ascii="Times New Roman" w:hAnsi="Times New Roman"/>
          <w:spacing w:val="0"/>
          <w:kern w:val="2"/>
          <w:sz w:val="32"/>
        </w:rPr>
        <w:t>动态划分</w:t>
      </w:r>
      <w:r>
        <w:rPr>
          <w:rFonts w:hint="eastAsia" w:ascii="Times New Roman" w:hAnsi="Times New Roman"/>
          <w:spacing w:val="0"/>
          <w:kern w:val="2"/>
          <w:sz w:val="32"/>
          <w:lang w:eastAsia="zh-CN"/>
        </w:rPr>
        <w:t>为</w:t>
      </w:r>
      <w:r>
        <w:rPr>
          <w:rFonts w:hint="eastAsia" w:ascii="Times New Roman" w:hAnsi="Times New Roman"/>
          <w:spacing w:val="0"/>
          <w:kern w:val="2"/>
          <w:sz w:val="32"/>
        </w:rPr>
        <w:t>高中低疫情</w:t>
      </w:r>
      <w:r>
        <w:rPr>
          <w:rFonts w:hint="eastAsia"/>
          <w:spacing w:val="0"/>
          <w:kern w:val="2"/>
          <w:sz w:val="32"/>
          <w:lang w:eastAsia="zh-CN"/>
        </w:rPr>
        <w:t>镇街</w:t>
      </w:r>
      <w:r>
        <w:rPr>
          <w:rFonts w:hint="eastAsia" w:ascii="Times New Roman" w:hAnsi="Times New Roman"/>
          <w:spacing w:val="0"/>
          <w:kern w:val="2"/>
          <w:sz w:val="32"/>
        </w:rPr>
        <w:t>，采取针对性防治措施。</w:t>
      </w:r>
    </w:p>
    <w:p w14:paraId="2C621A0A">
      <w:pPr>
        <w:pStyle w:val="3"/>
        <w:keepNext w:val="0"/>
        <w:keepLines w:val="0"/>
        <w:pageBreakBefore w:val="0"/>
        <w:widowControl w:val="0"/>
        <w:kinsoku/>
        <w:wordWrap/>
        <w:overflowPunct/>
        <w:topLinePunct w:val="0"/>
        <w:autoSpaceDE/>
        <w:autoSpaceDN/>
        <w:bidi w:val="0"/>
        <w:adjustRightInd w:val="0"/>
        <w:snapToGrid/>
        <w:spacing w:beforeLines="0" w:afterLines="0" w:line="594" w:lineRule="exact"/>
        <w:ind w:left="0" w:leftChars="0" w:firstLine="632" w:firstLineChars="200"/>
        <w:jc w:val="both"/>
        <w:textAlignment w:val="auto"/>
        <w:rPr>
          <w:rFonts w:hint="eastAsia" w:ascii="Times New Roman" w:hAnsi="Times New Roman"/>
          <w:spacing w:val="0"/>
          <w:kern w:val="2"/>
          <w:sz w:val="32"/>
        </w:rPr>
      </w:pPr>
      <w:r>
        <w:rPr>
          <w:rFonts w:hint="eastAsia" w:ascii="Times New Roman" w:hAnsi="Times New Roman"/>
          <w:spacing w:val="0"/>
          <w:kern w:val="2"/>
          <w:sz w:val="32"/>
        </w:rPr>
        <w:t>三、防治措施</w:t>
      </w:r>
    </w:p>
    <w:p w14:paraId="5FF49E7F">
      <w:pPr>
        <w:pStyle w:val="4"/>
        <w:keepNext w:val="0"/>
        <w:keepLines w:val="0"/>
        <w:pageBreakBefore w:val="0"/>
        <w:widowControl w:val="0"/>
        <w:kinsoku/>
        <w:wordWrap/>
        <w:overflowPunct/>
        <w:topLinePunct w:val="0"/>
        <w:autoSpaceDE/>
        <w:autoSpaceDN/>
        <w:bidi w:val="0"/>
        <w:adjustRightInd w:val="0"/>
        <w:snapToGrid/>
        <w:spacing w:beforeLines="0" w:afterLines="0" w:line="594" w:lineRule="exact"/>
        <w:ind w:left="0" w:leftChars="0" w:firstLine="632" w:firstLineChars="200"/>
        <w:jc w:val="both"/>
        <w:textAlignment w:val="auto"/>
        <w:rPr>
          <w:rFonts w:hint="eastAsia" w:ascii="Times New Roman" w:hAnsi="Times New Roman"/>
          <w:spacing w:val="0"/>
          <w:kern w:val="2"/>
          <w:sz w:val="32"/>
        </w:rPr>
      </w:pPr>
      <w:r>
        <w:rPr>
          <w:rFonts w:hint="eastAsia" w:ascii="Times New Roman" w:hAnsi="Times New Roman"/>
          <w:spacing w:val="0"/>
          <w:kern w:val="2"/>
          <w:sz w:val="32"/>
        </w:rPr>
        <w:t>（一）扩大筛查行动</w:t>
      </w:r>
    </w:p>
    <w:p w14:paraId="00E91EA4">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spacing w:val="0"/>
          <w:kern w:val="2"/>
          <w:sz w:val="32"/>
        </w:rPr>
      </w:pPr>
      <w:r>
        <w:rPr>
          <w:rFonts w:hint="eastAsia" w:ascii="Times New Roman" w:hAnsi="Times New Roman"/>
          <w:spacing w:val="0"/>
          <w:kern w:val="2"/>
          <w:sz w:val="32"/>
        </w:rPr>
        <w:t>1</w:t>
      </w:r>
      <w:r>
        <w:rPr>
          <w:rFonts w:hint="eastAsia"/>
          <w:spacing w:val="0"/>
          <w:kern w:val="2"/>
          <w:sz w:val="32"/>
          <w:lang w:val="en-US" w:eastAsia="zh-CN"/>
        </w:rPr>
        <w:t>.</w:t>
      </w:r>
      <w:r>
        <w:rPr>
          <w:rFonts w:hint="eastAsia" w:ascii="Times New Roman" w:hAnsi="Times New Roman"/>
          <w:spacing w:val="0"/>
          <w:kern w:val="2"/>
          <w:sz w:val="32"/>
        </w:rPr>
        <w:t>强化患者发现。</w:t>
      </w:r>
      <w:r>
        <w:rPr>
          <w:rFonts w:hint="eastAsia"/>
          <w:spacing w:val="0"/>
          <w:kern w:val="2"/>
          <w:sz w:val="32"/>
          <w:lang w:eastAsia="zh-CN"/>
        </w:rPr>
        <w:t>全区各</w:t>
      </w:r>
      <w:r>
        <w:rPr>
          <w:rFonts w:hint="eastAsia" w:ascii="Times New Roman" w:hAnsi="Times New Roman"/>
          <w:spacing w:val="0"/>
          <w:kern w:val="2"/>
          <w:sz w:val="32"/>
        </w:rPr>
        <w:t>医疗机构对咳嗽、咳痰超过2周的结核病可疑症状者，优先推荐使用分子生物学开展病原学检查</w:t>
      </w:r>
      <w:r>
        <w:rPr>
          <w:rFonts w:hint="eastAsia"/>
          <w:spacing w:val="0"/>
          <w:kern w:val="2"/>
          <w:sz w:val="32"/>
          <w:lang w:eastAsia="zh-CN"/>
        </w:rPr>
        <w:t>，</w:t>
      </w:r>
      <w:r>
        <w:rPr>
          <w:rFonts w:hint="eastAsia" w:ascii="方正仿宋_GBK" w:hAnsi="方正仿宋_GBK" w:eastAsia="方正仿宋_GBK" w:cs="方正仿宋_GBK"/>
          <w:spacing w:val="0"/>
          <w:w w:val="100"/>
          <w:kern w:val="2"/>
          <w:sz w:val="32"/>
          <w:szCs w:val="32"/>
          <w:lang w:val="en-US" w:eastAsia="zh-CN"/>
        </w:rPr>
        <w:t>做好随访追踪工作</w:t>
      </w:r>
      <w:r>
        <w:rPr>
          <w:rFonts w:hint="eastAsia" w:ascii="Times New Roman" w:hAnsi="Times New Roman"/>
          <w:spacing w:val="0"/>
          <w:kern w:val="2"/>
          <w:sz w:val="32"/>
        </w:rPr>
        <w:t>。到2030年，定点医疗机构对可疑症状者或疑似患者开展病原学检查率达到95%以上，对结核病患者开展分子生物学检测率达到85%以上。</w:t>
      </w:r>
      <w:r>
        <w:rPr>
          <w:rStyle w:val="18"/>
          <w:rFonts w:hint="eastAsia" w:ascii="Times New Roman" w:hAnsi="Times New Roman"/>
          <w:spacing w:val="0"/>
          <w:kern w:val="2"/>
          <w:sz w:val="32"/>
        </w:rPr>
        <w:t>（责任单位：各</w:t>
      </w:r>
      <w:r>
        <w:rPr>
          <w:rStyle w:val="18"/>
          <w:rFonts w:hint="eastAsia" w:eastAsia="方正楷体_GBK"/>
          <w:spacing w:val="0"/>
          <w:kern w:val="2"/>
          <w:sz w:val="32"/>
          <w:lang w:eastAsia="zh-CN"/>
        </w:rPr>
        <w:t>镇街</w:t>
      </w:r>
      <w:r>
        <w:rPr>
          <w:rStyle w:val="18"/>
          <w:rFonts w:hint="eastAsia" w:ascii="Times New Roman" w:hAnsi="Times New Roman"/>
          <w:spacing w:val="0"/>
          <w:kern w:val="2"/>
          <w:sz w:val="32"/>
        </w:rPr>
        <w:t>，</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卫生健康委）</w:t>
      </w:r>
    </w:p>
    <w:p w14:paraId="3E862F9D">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spacing w:val="0"/>
          <w:kern w:val="2"/>
          <w:sz w:val="32"/>
        </w:rPr>
      </w:pPr>
      <w:r>
        <w:rPr>
          <w:rFonts w:hint="eastAsia" w:ascii="Times New Roman" w:hAnsi="Times New Roman"/>
          <w:spacing w:val="0"/>
          <w:kern w:val="2"/>
          <w:sz w:val="32"/>
        </w:rPr>
        <w:t>2</w:t>
      </w:r>
      <w:r>
        <w:rPr>
          <w:rFonts w:hint="eastAsia"/>
          <w:spacing w:val="0"/>
          <w:kern w:val="2"/>
          <w:sz w:val="32"/>
          <w:lang w:val="en-US" w:eastAsia="zh-CN"/>
        </w:rPr>
        <w:t>.</w:t>
      </w:r>
      <w:r>
        <w:rPr>
          <w:rFonts w:hint="eastAsia" w:ascii="Times New Roman" w:hAnsi="Times New Roman"/>
          <w:spacing w:val="0"/>
          <w:kern w:val="2"/>
          <w:sz w:val="32"/>
        </w:rPr>
        <w:t>开展重点人群主动筛查。</w:t>
      </w:r>
    </w:p>
    <w:p w14:paraId="5EF9563B">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（1）结核病患者密切接触者。</w:t>
      </w:r>
      <w:r>
        <w:rPr>
          <w:rFonts w:hint="eastAsia"/>
          <w:spacing w:val="0"/>
          <w:kern w:val="2"/>
          <w:sz w:val="32"/>
          <w:lang w:eastAsia="zh-CN"/>
        </w:rPr>
        <w:t>区卫生健康委</w:t>
      </w:r>
      <w:r>
        <w:rPr>
          <w:rFonts w:hint="eastAsia" w:ascii="Times New Roman" w:hAnsi="Times New Roman"/>
          <w:spacing w:val="0"/>
          <w:kern w:val="2"/>
          <w:sz w:val="32"/>
        </w:rPr>
        <w:t>制定结核病患者流行病学调查和密切接触者筛查技术方案，</w:t>
      </w:r>
      <w:r>
        <w:rPr>
          <w:rFonts w:hint="eastAsia"/>
          <w:spacing w:val="0"/>
          <w:kern w:val="2"/>
          <w:sz w:val="32"/>
          <w:lang w:eastAsia="zh-CN"/>
        </w:rPr>
        <w:t>辖区基层医疗机构进行排查，对不</w:t>
      </w:r>
      <w:r>
        <w:rPr>
          <w:rFonts w:hint="eastAsia" w:ascii="Times New Roman" w:hAnsi="Times New Roman"/>
          <w:spacing w:val="0"/>
          <w:kern w:val="2"/>
          <w:sz w:val="32"/>
        </w:rPr>
        <w:t>配合筛查的密切接触者</w:t>
      </w:r>
      <w:r>
        <w:rPr>
          <w:rFonts w:hint="eastAsia"/>
          <w:spacing w:val="0"/>
          <w:kern w:val="2"/>
          <w:sz w:val="32"/>
          <w:lang w:eastAsia="zh-CN"/>
        </w:rPr>
        <w:t>，于</w:t>
      </w:r>
      <w:r>
        <w:rPr>
          <w:rFonts w:hint="eastAsia" w:ascii="Times New Roman" w:hAnsi="Times New Roman"/>
          <w:spacing w:val="0"/>
          <w:kern w:val="2"/>
          <w:sz w:val="32"/>
        </w:rPr>
        <w:t>5个工作日内</w:t>
      </w:r>
      <w:r>
        <w:rPr>
          <w:rFonts w:hint="eastAsia"/>
          <w:spacing w:val="0"/>
          <w:kern w:val="2"/>
          <w:sz w:val="32"/>
          <w:lang w:eastAsia="zh-CN"/>
        </w:rPr>
        <w:t>将</w:t>
      </w:r>
      <w:r>
        <w:rPr>
          <w:rFonts w:hint="eastAsia" w:ascii="Times New Roman" w:hAnsi="Times New Roman"/>
          <w:spacing w:val="0"/>
          <w:kern w:val="2"/>
          <w:sz w:val="32"/>
        </w:rPr>
        <w:t>信息发送至镇街，由镇街</w:t>
      </w:r>
      <w:r>
        <w:rPr>
          <w:rFonts w:hint="eastAsia"/>
          <w:spacing w:val="0"/>
          <w:kern w:val="2"/>
          <w:sz w:val="32"/>
          <w:lang w:eastAsia="zh-CN"/>
        </w:rPr>
        <w:t>负责</w:t>
      </w:r>
      <w:r>
        <w:rPr>
          <w:rFonts w:hint="eastAsia" w:ascii="Times New Roman" w:hAnsi="Times New Roman"/>
          <w:spacing w:val="0"/>
          <w:kern w:val="2"/>
          <w:sz w:val="32"/>
        </w:rPr>
        <w:t>动员</w:t>
      </w:r>
      <w:r>
        <w:rPr>
          <w:rFonts w:hint="eastAsia"/>
          <w:spacing w:val="0"/>
          <w:kern w:val="2"/>
          <w:sz w:val="32"/>
          <w:lang w:eastAsia="zh-CN"/>
        </w:rPr>
        <w:t>。</w:t>
      </w:r>
      <w:r>
        <w:rPr>
          <w:rFonts w:hint="eastAsia" w:ascii="Times New Roman" w:hAnsi="Times New Roman"/>
          <w:spacing w:val="0"/>
          <w:kern w:val="2"/>
          <w:sz w:val="32"/>
        </w:rPr>
        <w:t>所有密切接触者需在10个工作日内完成症状筛查和胸部X光片检查，其中聚集性疫情密切接触者还需开展结核感染筛查。到2027年，</w:t>
      </w:r>
      <w:r>
        <w:rPr>
          <w:rFonts w:hint="eastAsia"/>
          <w:spacing w:val="0"/>
          <w:kern w:val="2"/>
          <w:sz w:val="32"/>
          <w:lang w:val="en-US" w:eastAsia="zh-CN"/>
        </w:rPr>
        <w:t>我</w:t>
      </w:r>
      <w:r>
        <w:rPr>
          <w:rFonts w:hint="eastAsia"/>
          <w:spacing w:val="0"/>
          <w:kern w:val="2"/>
          <w:sz w:val="32"/>
          <w:lang w:eastAsia="zh-CN"/>
        </w:rPr>
        <w:t>区</w:t>
      </w:r>
      <w:r>
        <w:rPr>
          <w:rFonts w:hint="eastAsia" w:ascii="Times New Roman" w:hAnsi="Times New Roman"/>
          <w:spacing w:val="0"/>
          <w:kern w:val="2"/>
          <w:sz w:val="32"/>
        </w:rPr>
        <w:t>密切接触者胸部X光片检查率达到95%以上。学校内密切接触者按照学校结核病防控工作指南开展检查。</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各镇街、区</w:t>
      </w:r>
      <w:r>
        <w:rPr>
          <w:rStyle w:val="18"/>
          <w:rFonts w:hint="eastAsia" w:ascii="Times New Roman" w:hAnsi="Times New Roman"/>
          <w:spacing w:val="0"/>
          <w:kern w:val="2"/>
          <w:sz w:val="32"/>
        </w:rPr>
        <w:t>卫生健康委、</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教委）</w:t>
      </w:r>
    </w:p>
    <w:p w14:paraId="2E566246">
      <w:pPr>
        <w:keepNext w:val="0"/>
        <w:keepLines w:val="0"/>
        <w:pageBreakBefore w:val="0"/>
        <w:widowControl w:val="0"/>
        <w:kinsoku/>
        <w:wordWrap/>
        <w:overflowPunct/>
        <w:topLinePunct w:val="0"/>
        <w:autoSpaceDE/>
        <w:autoSpaceDN/>
        <w:bidi w:val="0"/>
        <w:adjustRightInd/>
        <w:snapToGrid/>
        <w:spacing w:line="594" w:lineRule="exact"/>
        <w:ind w:left="0" w:leftChars="0" w:right="0" w:firstLine="632" w:firstLineChars="200"/>
        <w:jc w:val="both"/>
        <w:textAlignment w:val="auto"/>
        <w:rPr>
          <w:rStyle w:val="18"/>
          <w:rFonts w:hint="default" w:ascii="Times New Roman" w:hAnsi="Times New Roman" w:cs="Times New Roman"/>
          <w:spacing w:val="0"/>
          <w:kern w:val="2"/>
          <w:sz w:val="32"/>
        </w:rPr>
      </w:pPr>
      <w:r>
        <w:rPr>
          <w:rFonts w:hint="eastAsia" w:ascii="Times New Roman" w:hAnsi="Times New Roman"/>
          <w:spacing w:val="0"/>
          <w:kern w:val="2"/>
          <w:sz w:val="32"/>
        </w:rPr>
        <w:t>（2）65岁以上老年人</w:t>
      </w:r>
      <w:r>
        <w:rPr>
          <w:rFonts w:hint="eastAsia"/>
          <w:spacing w:val="0"/>
          <w:kern w:val="2"/>
          <w:sz w:val="32"/>
          <w:lang w:eastAsia="zh-CN"/>
        </w:rPr>
        <w:t>。</w:t>
      </w:r>
      <w:r>
        <w:rPr>
          <w:rFonts w:hint="default" w:ascii="Times New Roman" w:hAnsi="Times New Roman" w:eastAsia="方正仿宋_GBK" w:cs="Times New Roman"/>
          <w:spacing w:val="0"/>
          <w:kern w:val="2"/>
          <w:sz w:val="32"/>
          <w:highlight w:val="none"/>
          <w:lang w:eastAsia="zh-CN"/>
        </w:rPr>
        <w:t>依托老年人体检，</w:t>
      </w:r>
      <w:r>
        <w:rPr>
          <w:rFonts w:hint="eastAsia" w:ascii="Times New Roman" w:hAnsi="Times New Roman" w:cs="Times New Roman"/>
          <w:spacing w:val="0"/>
          <w:kern w:val="2"/>
          <w:sz w:val="32"/>
          <w:highlight w:val="none"/>
          <w:lang w:eastAsia="zh-CN"/>
        </w:rPr>
        <w:t>对</w:t>
      </w:r>
      <w:r>
        <w:rPr>
          <w:rFonts w:hint="default" w:ascii="Times New Roman" w:hAnsi="Times New Roman" w:eastAsia="方正仿宋_GBK" w:cs="Times New Roman"/>
          <w:spacing w:val="0"/>
          <w:kern w:val="2"/>
          <w:sz w:val="32"/>
          <w:highlight w:val="none"/>
        </w:rPr>
        <w:t>65岁以上老年人实施全面网格化管理，由镇街网格员负责动员辖区所有65岁以上老年人</w:t>
      </w:r>
      <w:r>
        <w:rPr>
          <w:rFonts w:hint="default" w:ascii="Times New Roman" w:hAnsi="Times New Roman" w:eastAsia="方正仿宋_GBK" w:cs="Times New Roman"/>
          <w:spacing w:val="0"/>
          <w:kern w:val="2"/>
          <w:sz w:val="32"/>
          <w:szCs w:val="32"/>
          <w:highlight w:val="none"/>
        </w:rPr>
        <w:t>到辖区医疗卫生机构</w:t>
      </w:r>
      <w:r>
        <w:rPr>
          <w:rFonts w:hint="default" w:ascii="Times New Roman" w:hAnsi="Times New Roman" w:eastAsia="方正仿宋_GBK" w:cs="Times New Roman"/>
          <w:spacing w:val="0"/>
          <w:kern w:val="2"/>
          <w:sz w:val="32"/>
          <w:szCs w:val="32"/>
          <w:highlight w:val="none"/>
          <w:lang w:eastAsia="zh-CN"/>
        </w:rPr>
        <w:t>年度体检，</w:t>
      </w:r>
      <w:r>
        <w:rPr>
          <w:rFonts w:hint="eastAsia"/>
        </w:rPr>
        <w:t>在65岁以上老年人报告发病率大于300/10万的</w:t>
      </w:r>
      <w:r>
        <w:rPr>
          <w:rFonts w:hint="eastAsia"/>
          <w:lang w:eastAsia="zh-CN"/>
        </w:rPr>
        <w:t>镇街</w:t>
      </w:r>
      <w:r>
        <w:rPr>
          <w:rFonts w:hint="eastAsia"/>
        </w:rPr>
        <w:t>，</w:t>
      </w:r>
      <w:r>
        <w:rPr>
          <w:rFonts w:hint="eastAsia"/>
          <w:lang w:eastAsia="zh-CN"/>
        </w:rPr>
        <w:t>医疗机构</w:t>
      </w:r>
      <w:r>
        <w:rPr>
          <w:rFonts w:hint="eastAsia"/>
        </w:rPr>
        <w:t>每年对辖区所有 65 岁以上老年人开展胸部X光片检查</w:t>
      </w:r>
      <w:r>
        <w:rPr>
          <w:rFonts w:hint="eastAsia"/>
          <w:lang w:eastAsia="zh-CN"/>
        </w:rPr>
        <w:t>；</w:t>
      </w:r>
      <w:r>
        <w:rPr>
          <w:rFonts w:hint="eastAsia"/>
        </w:rPr>
        <w:t>在报告发病率大于150/10万且小于300/10万的</w:t>
      </w:r>
      <w:r>
        <w:rPr>
          <w:rFonts w:hint="eastAsia"/>
          <w:lang w:eastAsia="zh-CN"/>
        </w:rPr>
        <w:t>镇街</w:t>
      </w:r>
      <w:r>
        <w:rPr>
          <w:rFonts w:hint="eastAsia"/>
        </w:rPr>
        <w:t>，每年对其中7类重点人群〔既往结核病患者、糖尿病患者、HIV/AIDS患者、尘肺患者、使用免疫抑制剂者、长期吸烟者、营养不良者（BMI小于16）〕中的65岁以上老年人开展胸部X光片检查；在报告发病率小于150/10万的</w:t>
      </w:r>
      <w:r>
        <w:rPr>
          <w:rFonts w:hint="eastAsia"/>
          <w:lang w:eastAsia="zh-CN"/>
        </w:rPr>
        <w:t>镇街，医疗机构</w:t>
      </w:r>
      <w:r>
        <w:rPr>
          <w:rFonts w:hint="eastAsia"/>
        </w:rPr>
        <w:t>对有可疑症状的</w:t>
      </w:r>
      <w:r>
        <w:rPr>
          <w:rFonts w:hint="eastAsia"/>
          <w:lang w:val="en-US" w:eastAsia="zh-CN"/>
        </w:rPr>
        <w:t>6</w:t>
      </w:r>
      <w:r>
        <w:rPr>
          <w:rFonts w:hint="eastAsia"/>
        </w:rPr>
        <w:t>5岁以上老年人开展胸部X光片检查。</w:t>
      </w:r>
      <w:r>
        <w:rPr>
          <w:rStyle w:val="18"/>
          <w:rFonts w:hint="default" w:ascii="Times New Roman" w:hAnsi="Times New Roman" w:cs="Times New Roman"/>
          <w:spacing w:val="0"/>
          <w:kern w:val="2"/>
          <w:sz w:val="32"/>
          <w:highlight w:val="none"/>
        </w:rPr>
        <w:t>（</w:t>
      </w:r>
      <w:r>
        <w:rPr>
          <w:rStyle w:val="18"/>
          <w:rFonts w:hint="default" w:ascii="Times New Roman" w:hAnsi="Times New Roman" w:cs="Times New Roman"/>
          <w:spacing w:val="0"/>
          <w:kern w:val="2"/>
          <w:sz w:val="32"/>
        </w:rPr>
        <w:t>责任单位：</w:t>
      </w:r>
      <w:r>
        <w:rPr>
          <w:rStyle w:val="18"/>
          <w:rFonts w:hint="default" w:ascii="Times New Roman" w:hAnsi="Times New Roman" w:eastAsia="方正楷体_GBK" w:cs="Times New Roman"/>
          <w:spacing w:val="0"/>
          <w:kern w:val="2"/>
          <w:sz w:val="32"/>
          <w:lang w:eastAsia="zh-CN"/>
        </w:rPr>
        <w:t>各镇街、区</w:t>
      </w:r>
      <w:r>
        <w:rPr>
          <w:rStyle w:val="18"/>
          <w:rFonts w:hint="default" w:ascii="Times New Roman" w:hAnsi="Times New Roman" w:cs="Times New Roman"/>
          <w:spacing w:val="0"/>
          <w:kern w:val="2"/>
          <w:sz w:val="32"/>
        </w:rPr>
        <w:t>卫生健康委）</w:t>
      </w:r>
    </w:p>
    <w:p w14:paraId="5E94CB6D">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spacing w:val="0"/>
          <w:kern w:val="2"/>
          <w:sz w:val="32"/>
        </w:rPr>
      </w:pPr>
      <w:r>
        <w:rPr>
          <w:rFonts w:hint="eastAsia" w:ascii="Times New Roman" w:hAnsi="Times New Roman"/>
          <w:spacing w:val="0"/>
          <w:kern w:val="2"/>
          <w:sz w:val="32"/>
        </w:rPr>
        <w:t>（3）其他高风险人群。HIV/AIDS患者每年开展结核病可疑症状问诊和胸部X光片检查，检查率达到90%以上。每年对糖尿病患者、尘肺患者、长期使用免疫抑制剂者、慢性肾病患者</w:t>
      </w:r>
      <w:r>
        <w:rPr>
          <w:rFonts w:hint="eastAsia"/>
          <w:spacing w:val="0"/>
          <w:kern w:val="2"/>
          <w:sz w:val="32"/>
          <w:lang w:eastAsia="zh-CN"/>
        </w:rPr>
        <w:t>、慢性阻塞性肺疾病</w:t>
      </w:r>
      <w:r>
        <w:rPr>
          <w:rFonts w:hint="eastAsia" w:ascii="Times New Roman" w:hAnsi="Times New Roman"/>
          <w:spacing w:val="0"/>
          <w:kern w:val="2"/>
          <w:sz w:val="32"/>
        </w:rPr>
        <w:t>等高风险人群开展胸部X光片检查；高疫情</w:t>
      </w:r>
      <w:r>
        <w:rPr>
          <w:rFonts w:hint="eastAsia"/>
          <w:spacing w:val="0"/>
          <w:kern w:val="2"/>
          <w:sz w:val="32"/>
          <w:lang w:eastAsia="zh-CN"/>
        </w:rPr>
        <w:t>镇街</w:t>
      </w:r>
      <w:r>
        <w:rPr>
          <w:rFonts w:hint="eastAsia" w:ascii="Times New Roman" w:hAnsi="Times New Roman"/>
          <w:spacing w:val="0"/>
          <w:kern w:val="2"/>
          <w:sz w:val="32"/>
        </w:rPr>
        <w:t>由村（社区）动员辖区其他人群（不含65岁以上老年人），每2年开展1次结核病症状筛查。</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各镇街、区</w:t>
      </w:r>
      <w:r>
        <w:rPr>
          <w:rStyle w:val="18"/>
          <w:rFonts w:hint="eastAsia" w:ascii="Times New Roman" w:hAnsi="Times New Roman"/>
          <w:spacing w:val="0"/>
          <w:kern w:val="2"/>
          <w:sz w:val="32"/>
        </w:rPr>
        <w:t>卫生健康委）</w:t>
      </w:r>
    </w:p>
    <w:p w14:paraId="57700942">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spacing w:val="0"/>
          <w:kern w:val="2"/>
          <w:sz w:val="32"/>
        </w:rPr>
      </w:pPr>
      <w:r>
        <w:rPr>
          <w:rFonts w:hint="eastAsia" w:ascii="Times New Roman" w:hAnsi="Times New Roman"/>
          <w:spacing w:val="0"/>
          <w:kern w:val="2"/>
          <w:sz w:val="32"/>
        </w:rPr>
        <w:t>3</w:t>
      </w:r>
      <w:r>
        <w:rPr>
          <w:rFonts w:hint="eastAsia"/>
          <w:spacing w:val="0"/>
          <w:kern w:val="2"/>
          <w:sz w:val="32"/>
          <w:lang w:val="en-US" w:eastAsia="zh-CN"/>
        </w:rPr>
        <w:t>.</w:t>
      </w:r>
      <w:r>
        <w:rPr>
          <w:rFonts w:hint="eastAsia" w:ascii="Times New Roman" w:hAnsi="Times New Roman"/>
          <w:spacing w:val="0"/>
          <w:kern w:val="2"/>
          <w:sz w:val="32"/>
        </w:rPr>
        <w:t>落实重点场所主动筛查。</w:t>
      </w:r>
    </w:p>
    <w:p w14:paraId="71ED32FA">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1）学校。将结核病防控措施落实情况纳入学校年度工作目标内容，每年对幼儿园、小学及非寄宿制初中入学新生开展密切接触史和可疑症状问诊，对高中和寄宿制初中入学新生和高二学生开展结核感染检测，对大学入学新生开展胸部X光片检查，每年对所有教职员工开展胸部X光片检查。</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教委、</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卫生健康委）</w:t>
      </w:r>
    </w:p>
    <w:p w14:paraId="0C136CF2">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2）其他重点场所。监管场所的工作人员、羁押人群由区公安分局负责，养老机构、社会福利机构的从业人员由区民政局负责，精神病院的住院患者由区卫生健康委负责，每年开展相关人员胸部X光片检查。区民政局引导养老机构、社会福利机构的服务对象每年主动开展胸部X光片检查。区农业农村委负责做好规模养殖场员工入职和年度体检结核病筛查工作，加强人畜共患结核病监测。各镇街加强对流动人口聚集的区域（场所）开展结核病防控</w:t>
      </w:r>
      <w:r>
        <w:rPr>
          <w:rFonts w:hint="eastAsia"/>
          <w:spacing w:val="0"/>
          <w:kern w:val="2"/>
          <w:sz w:val="32"/>
          <w:lang w:eastAsia="zh-CN"/>
        </w:rPr>
        <w:t>，按照属地管理原则，将发现的流动人口患者纳入辖区内归口管理</w:t>
      </w:r>
      <w:r>
        <w:rPr>
          <w:rFonts w:hint="eastAsia" w:ascii="Times New Roman" w:hAnsi="Times New Roman"/>
          <w:spacing w:val="0"/>
          <w:kern w:val="2"/>
          <w:sz w:val="32"/>
        </w:rPr>
        <w:t>。</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各镇街、</w:t>
      </w:r>
      <w:r>
        <w:rPr>
          <w:rStyle w:val="18"/>
          <w:rFonts w:hint="eastAsia" w:eastAsia="方正楷体_GBK"/>
          <w:spacing w:val="0"/>
          <w:kern w:val="2"/>
          <w:sz w:val="32"/>
          <w:lang w:val="en-US" w:eastAsia="zh-CN"/>
        </w:rPr>
        <w:t>区</w:t>
      </w:r>
      <w:r>
        <w:rPr>
          <w:rStyle w:val="18"/>
          <w:rFonts w:hint="eastAsia" w:ascii="Times New Roman" w:hAnsi="Times New Roman"/>
          <w:spacing w:val="0"/>
          <w:kern w:val="2"/>
          <w:sz w:val="32"/>
        </w:rPr>
        <w:t>公安</w:t>
      </w:r>
      <w:r>
        <w:rPr>
          <w:rStyle w:val="18"/>
          <w:rFonts w:hint="eastAsia" w:eastAsia="方正楷体_GBK"/>
          <w:spacing w:val="0"/>
          <w:kern w:val="2"/>
          <w:sz w:val="32"/>
          <w:lang w:eastAsia="zh-CN"/>
        </w:rPr>
        <w:t>分</w:t>
      </w:r>
      <w:r>
        <w:rPr>
          <w:rStyle w:val="18"/>
          <w:rFonts w:hint="eastAsia" w:ascii="Times New Roman" w:hAnsi="Times New Roman"/>
          <w:spacing w:val="0"/>
          <w:kern w:val="2"/>
          <w:sz w:val="32"/>
        </w:rPr>
        <w:t>局、</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民政局、</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农业农村委、</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卫生健康委）</w:t>
      </w:r>
    </w:p>
    <w:p w14:paraId="2C5FC37D">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eastAsia="方正楷体_GBK" w:cs="方正楷体_GBK"/>
          <w:spacing w:val="0"/>
          <w:kern w:val="2"/>
          <w:sz w:val="32"/>
        </w:rPr>
      </w:pPr>
      <w:r>
        <w:rPr>
          <w:rFonts w:hint="eastAsia" w:ascii="Times New Roman" w:hAnsi="Times New Roman" w:eastAsia="方正楷体_GBK" w:cs="方正楷体_GBK"/>
          <w:spacing w:val="0"/>
          <w:kern w:val="2"/>
          <w:sz w:val="32"/>
        </w:rPr>
        <w:t>（二）规范治疗行动</w:t>
      </w:r>
    </w:p>
    <w:p w14:paraId="63470AAE">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1</w:t>
      </w:r>
      <w:r>
        <w:rPr>
          <w:rFonts w:hint="eastAsia"/>
          <w:spacing w:val="0"/>
          <w:kern w:val="2"/>
          <w:sz w:val="32"/>
          <w:lang w:val="en-US" w:eastAsia="zh-CN"/>
        </w:rPr>
        <w:t>.</w:t>
      </w:r>
      <w:r>
        <w:rPr>
          <w:rFonts w:hint="eastAsia"/>
          <w:spacing w:val="0"/>
          <w:kern w:val="2"/>
          <w:sz w:val="32"/>
          <w:lang w:eastAsia="zh-CN"/>
        </w:rPr>
        <w:t>及时转诊，</w:t>
      </w:r>
      <w:r>
        <w:rPr>
          <w:rFonts w:hint="eastAsia" w:ascii="Times New Roman" w:hAnsi="Times New Roman"/>
          <w:spacing w:val="0"/>
          <w:kern w:val="2"/>
          <w:sz w:val="32"/>
        </w:rPr>
        <w:t>定点收治。全</w:t>
      </w:r>
      <w:r>
        <w:rPr>
          <w:rFonts w:hint="eastAsia"/>
          <w:spacing w:val="0"/>
          <w:kern w:val="2"/>
          <w:sz w:val="32"/>
          <w:lang w:eastAsia="zh-CN"/>
        </w:rPr>
        <w:t>区</w:t>
      </w:r>
      <w:r>
        <w:rPr>
          <w:rFonts w:hint="eastAsia" w:ascii="Times New Roman" w:hAnsi="Times New Roman"/>
          <w:spacing w:val="0"/>
          <w:kern w:val="2"/>
          <w:sz w:val="32"/>
        </w:rPr>
        <w:t>各级各类医疗机构落实首诊医生负责制，发现结核病患者及时转诊</w:t>
      </w:r>
      <w:r>
        <w:rPr>
          <w:rFonts w:hint="eastAsia"/>
          <w:spacing w:val="0"/>
          <w:kern w:val="2"/>
          <w:sz w:val="32"/>
          <w:lang w:eastAsia="zh-CN"/>
        </w:rPr>
        <w:t>到定点医疗机构（重庆市结核病防治所）</w:t>
      </w:r>
      <w:r>
        <w:rPr>
          <w:rFonts w:hint="eastAsia" w:ascii="Times New Roman" w:hAnsi="Times New Roman"/>
          <w:spacing w:val="0"/>
          <w:kern w:val="2"/>
          <w:sz w:val="32"/>
        </w:rPr>
        <w:t>。</w:t>
      </w:r>
      <w:r>
        <w:rPr>
          <w:rFonts w:hint="eastAsia"/>
          <w:spacing w:val="0"/>
          <w:kern w:val="2"/>
          <w:sz w:val="32"/>
          <w:lang w:eastAsia="zh-CN"/>
        </w:rPr>
        <w:t>拒绝到定点医疗机构就诊的患者由镇街动员落实到位。</w:t>
      </w:r>
      <w:r>
        <w:rPr>
          <w:rFonts w:hint="eastAsia" w:ascii="Times New Roman" w:hAnsi="Times New Roman"/>
          <w:spacing w:val="0"/>
          <w:kern w:val="2"/>
          <w:sz w:val="32"/>
        </w:rPr>
        <w:t>到2027年，</w:t>
      </w:r>
      <w:r>
        <w:rPr>
          <w:rFonts w:hint="eastAsia"/>
          <w:spacing w:val="0"/>
          <w:kern w:val="2"/>
          <w:sz w:val="32"/>
          <w:lang w:eastAsia="zh-CN"/>
        </w:rPr>
        <w:t>我区</w:t>
      </w:r>
      <w:r>
        <w:rPr>
          <w:rFonts w:hint="eastAsia" w:ascii="Times New Roman" w:hAnsi="Times New Roman"/>
          <w:spacing w:val="0"/>
          <w:kern w:val="2"/>
          <w:sz w:val="32"/>
        </w:rPr>
        <w:t>非定点医疗机构结核病患者和疑似患者转诊到位率达到60%以上，结核病患者和疑似患者总体到位率达到95%以上。</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各镇街、区</w:t>
      </w:r>
      <w:r>
        <w:rPr>
          <w:rStyle w:val="18"/>
          <w:rFonts w:hint="eastAsia" w:ascii="Times New Roman" w:hAnsi="Times New Roman"/>
          <w:spacing w:val="0"/>
          <w:kern w:val="2"/>
          <w:sz w:val="32"/>
        </w:rPr>
        <w:t>卫生健康委）</w:t>
      </w:r>
    </w:p>
    <w:p w14:paraId="24E52393">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2</w:t>
      </w:r>
      <w:r>
        <w:rPr>
          <w:rFonts w:hint="eastAsia"/>
          <w:spacing w:val="0"/>
          <w:kern w:val="2"/>
          <w:sz w:val="32"/>
          <w:lang w:val="en-US" w:eastAsia="zh-CN"/>
        </w:rPr>
        <w:t>.</w:t>
      </w:r>
      <w:r>
        <w:rPr>
          <w:rFonts w:hint="eastAsia" w:ascii="Times New Roman" w:hAnsi="Times New Roman"/>
          <w:spacing w:val="0"/>
          <w:kern w:val="2"/>
          <w:sz w:val="32"/>
        </w:rPr>
        <w:t>实施传染期结核病患者定点住院治疗。</w:t>
      </w:r>
      <w:r>
        <w:rPr>
          <w:rFonts w:hint="eastAsia"/>
          <w:spacing w:val="0"/>
          <w:kern w:val="2"/>
          <w:sz w:val="32"/>
          <w:lang w:eastAsia="zh-CN"/>
        </w:rPr>
        <w:t>按照市级</w:t>
      </w:r>
      <w:r>
        <w:rPr>
          <w:rFonts w:hint="eastAsia" w:ascii="Times New Roman" w:hAnsi="Times New Roman"/>
          <w:spacing w:val="0"/>
          <w:kern w:val="2"/>
          <w:sz w:val="32"/>
        </w:rPr>
        <w:t>传染期结核病患者定点住院治疗指导方案，对传染期结核病患者实施</w:t>
      </w:r>
      <w:r>
        <w:rPr>
          <w:rFonts w:hint="eastAsia"/>
          <w:spacing w:val="0"/>
          <w:kern w:val="2"/>
          <w:sz w:val="32"/>
          <w:lang w:eastAsia="zh-CN"/>
        </w:rPr>
        <w:t>中心城区片区</w:t>
      </w:r>
      <w:r>
        <w:rPr>
          <w:rFonts w:hint="eastAsia" w:ascii="Times New Roman" w:hAnsi="Times New Roman"/>
          <w:spacing w:val="0"/>
          <w:kern w:val="2"/>
          <w:sz w:val="32"/>
        </w:rPr>
        <w:t>定点住院治疗。到2030年，</w:t>
      </w:r>
      <w:r>
        <w:rPr>
          <w:rFonts w:hint="eastAsia"/>
          <w:spacing w:val="0"/>
          <w:kern w:val="2"/>
          <w:sz w:val="32"/>
          <w:lang w:eastAsia="zh-CN"/>
        </w:rPr>
        <w:t>我区</w:t>
      </w:r>
      <w:r>
        <w:rPr>
          <w:rFonts w:hint="eastAsia" w:ascii="Times New Roman" w:hAnsi="Times New Roman"/>
          <w:spacing w:val="0"/>
          <w:kern w:val="2"/>
          <w:sz w:val="32"/>
        </w:rPr>
        <w:t>传染期结核病患者定点住院治疗率达到90%以上。</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卫生健康委、</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医保局）</w:t>
      </w:r>
    </w:p>
    <w:p w14:paraId="52B7142E">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3</w:t>
      </w:r>
      <w:r>
        <w:rPr>
          <w:rFonts w:hint="eastAsia"/>
          <w:spacing w:val="0"/>
          <w:kern w:val="2"/>
          <w:sz w:val="32"/>
          <w:lang w:val="en-US" w:eastAsia="zh-CN"/>
        </w:rPr>
        <w:t>.</w:t>
      </w:r>
      <w:r>
        <w:rPr>
          <w:rFonts w:hint="eastAsia" w:ascii="Times New Roman" w:hAnsi="Times New Roman"/>
          <w:spacing w:val="0"/>
          <w:kern w:val="2"/>
          <w:sz w:val="32"/>
        </w:rPr>
        <w:t>实施规范化诊疗。定点医疗机构对所有新诊断报告的结核病患者开展病原学检查并登记管理，病原学阳性检出率保持在60%以上；到2030年报告结核病患者登记率达到95%以上。到2027年，标准治疗方案使用率达到90%以上，固定剂量复合制剂使用比例达到85%以上。</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卫生健康委）</w:t>
      </w:r>
    </w:p>
    <w:p w14:paraId="3BA6DE5F">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4</w:t>
      </w:r>
      <w:r>
        <w:rPr>
          <w:rFonts w:hint="eastAsia"/>
          <w:spacing w:val="0"/>
          <w:kern w:val="2"/>
          <w:sz w:val="32"/>
          <w:lang w:val="en-US" w:eastAsia="zh-CN"/>
        </w:rPr>
        <w:t>.</w:t>
      </w:r>
      <w:r>
        <w:rPr>
          <w:rFonts w:hint="eastAsia" w:ascii="Times New Roman" w:hAnsi="Times New Roman"/>
          <w:spacing w:val="0"/>
          <w:kern w:val="2"/>
          <w:sz w:val="32"/>
        </w:rPr>
        <w:t>加强随访管理。</w:t>
      </w:r>
      <w:r>
        <w:rPr>
          <w:rFonts w:hint="eastAsia"/>
          <w:spacing w:val="0"/>
          <w:kern w:val="2"/>
          <w:sz w:val="32"/>
          <w:lang w:eastAsia="zh-CN"/>
        </w:rPr>
        <w:t>将家庭医生签约服务与国家基本公共卫生服务项目管理相结合，做好结核病患者健康管理服务。</w:t>
      </w:r>
      <w:r>
        <w:rPr>
          <w:rFonts w:hint="eastAsia" w:ascii="Times New Roman" w:hAnsi="Times New Roman"/>
          <w:spacing w:val="0"/>
          <w:kern w:val="2"/>
          <w:sz w:val="32"/>
        </w:rPr>
        <w:t>定点医疗机构要及时将结核病患者全程治疗信息反馈至基层医疗卫生机构或疾控机构，</w:t>
      </w:r>
      <w:r>
        <w:rPr>
          <w:rFonts w:hint="eastAsia" w:ascii="方正仿宋_GBK" w:hAnsi="方正仿宋_GBK" w:eastAsia="方正仿宋_GBK" w:cs="方正仿宋_GBK"/>
          <w:spacing w:val="0"/>
          <w:w w:val="100"/>
          <w:kern w:val="2"/>
          <w:sz w:val="32"/>
          <w:szCs w:val="32"/>
        </w:rPr>
        <w:t>基层医疗卫生机构</w:t>
      </w:r>
      <w:r>
        <w:rPr>
          <w:rFonts w:hint="eastAsia" w:ascii="方正仿宋_GBK" w:hAnsi="方正仿宋_GBK" w:eastAsia="方正仿宋_GBK" w:cs="方正仿宋_GBK"/>
          <w:spacing w:val="0"/>
          <w:w w:val="100"/>
          <w:kern w:val="2"/>
          <w:sz w:val="32"/>
          <w:szCs w:val="32"/>
          <w:lang w:val="en-US" w:eastAsia="zh-CN"/>
        </w:rPr>
        <w:t>结合反馈的患者信息对结核病患者加强管理</w:t>
      </w:r>
      <w:r>
        <w:rPr>
          <w:rFonts w:hint="eastAsia" w:ascii="方正仿宋_GBK" w:hAnsi="方正仿宋_GBK" w:cs="方正仿宋_GBK"/>
          <w:spacing w:val="0"/>
          <w:w w:val="100"/>
          <w:kern w:val="2"/>
          <w:sz w:val="32"/>
          <w:szCs w:val="32"/>
          <w:lang w:val="en-US" w:eastAsia="zh-CN"/>
        </w:rPr>
        <w:t>，经动员后仍不配合治疗的患者由基层医疗机构向所属镇街反馈，镇街共同上门动员，</w:t>
      </w:r>
      <w:r>
        <w:rPr>
          <w:rFonts w:hint="eastAsia" w:ascii="Times New Roman" w:hAnsi="Times New Roman"/>
          <w:spacing w:val="0"/>
          <w:kern w:val="2"/>
          <w:sz w:val="32"/>
        </w:rPr>
        <w:t>患者管理率、规范管理率和规则服药率保持在90%以上。加强</w:t>
      </w:r>
      <w:r>
        <w:rPr>
          <w:rFonts w:hint="eastAsia"/>
          <w:spacing w:val="0"/>
          <w:kern w:val="2"/>
          <w:sz w:val="32"/>
          <w:lang w:eastAsia="zh-CN"/>
        </w:rPr>
        <w:t>我区</w:t>
      </w:r>
      <w:r>
        <w:rPr>
          <w:rFonts w:hint="eastAsia" w:ascii="Times New Roman" w:hAnsi="Times New Roman"/>
          <w:spacing w:val="0"/>
          <w:kern w:val="2"/>
          <w:sz w:val="32"/>
        </w:rPr>
        <w:t>流动结核病患者的登记管理和随访，及时转出和转入，定点医疗机构</w:t>
      </w:r>
      <w:r>
        <w:rPr>
          <w:rFonts w:hint="eastAsia"/>
          <w:spacing w:val="0"/>
          <w:kern w:val="2"/>
          <w:sz w:val="32"/>
          <w:lang w:eastAsia="zh-CN"/>
        </w:rPr>
        <w:t>按</w:t>
      </w:r>
      <w:r>
        <w:rPr>
          <w:rFonts w:hint="eastAsia" w:ascii="Times New Roman" w:hAnsi="Times New Roman"/>
          <w:spacing w:val="0"/>
          <w:kern w:val="2"/>
          <w:sz w:val="32"/>
        </w:rPr>
        <w:t>规范出具休复学（课、工）诊断证明。</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各镇街、区</w:t>
      </w:r>
      <w:r>
        <w:rPr>
          <w:rStyle w:val="18"/>
          <w:rFonts w:hint="eastAsia" w:ascii="Times New Roman" w:hAnsi="Times New Roman"/>
          <w:spacing w:val="0"/>
          <w:kern w:val="2"/>
          <w:sz w:val="32"/>
        </w:rPr>
        <w:t>卫生健康委、</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教委）</w:t>
      </w:r>
    </w:p>
    <w:p w14:paraId="551FC041">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5</w:t>
      </w:r>
      <w:r>
        <w:rPr>
          <w:rFonts w:hint="eastAsia"/>
          <w:spacing w:val="0"/>
          <w:kern w:val="2"/>
          <w:sz w:val="32"/>
          <w:lang w:val="en-US" w:eastAsia="zh-CN"/>
        </w:rPr>
        <w:t>.</w:t>
      </w:r>
      <w:r>
        <w:rPr>
          <w:rFonts w:hint="eastAsia" w:ascii="Times New Roman" w:hAnsi="Times New Roman"/>
          <w:spacing w:val="0"/>
          <w:kern w:val="2"/>
          <w:sz w:val="32"/>
        </w:rPr>
        <w:t>提高诊疗服务可及性。在辖区基层医疗卫生机构设置延伸服务点，提供肝肾功能检查和取药服务，定点医疗机构提供技术指导。到2027年，该项诊疗服务全</w:t>
      </w:r>
      <w:r>
        <w:rPr>
          <w:rFonts w:hint="eastAsia"/>
          <w:spacing w:val="0"/>
          <w:kern w:val="2"/>
          <w:sz w:val="32"/>
          <w:lang w:eastAsia="zh-CN"/>
        </w:rPr>
        <w:t>区</w:t>
      </w:r>
      <w:r>
        <w:rPr>
          <w:rFonts w:hint="eastAsia" w:ascii="Times New Roman" w:hAnsi="Times New Roman"/>
          <w:spacing w:val="0"/>
          <w:kern w:val="2"/>
          <w:sz w:val="32"/>
        </w:rPr>
        <w:t>镇</w:t>
      </w:r>
      <w:r>
        <w:rPr>
          <w:rFonts w:hint="eastAsia"/>
          <w:spacing w:val="0"/>
          <w:kern w:val="2"/>
          <w:sz w:val="32"/>
          <w:lang w:eastAsia="zh-CN"/>
        </w:rPr>
        <w:t>街</w:t>
      </w:r>
      <w:r>
        <w:rPr>
          <w:rFonts w:hint="eastAsia" w:ascii="Times New Roman" w:hAnsi="Times New Roman"/>
          <w:spacing w:val="0"/>
          <w:kern w:val="2"/>
          <w:sz w:val="32"/>
        </w:rPr>
        <w:t>覆盖率达到70%以上。鼓励基层医疗卫生机构提供送医、送药上门或远程医疗服务，学校要安排专人负责休复学（课、工）、接受预防性治疗的学生、教职工服药管理，监管场所医疗机构要将出监（所）且正在治疗的结核病患者及时转至患者现住址的定点医疗机构继续实施治疗管理。</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卫生健康委、</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教委、</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公安</w:t>
      </w:r>
      <w:r>
        <w:rPr>
          <w:rStyle w:val="18"/>
          <w:rFonts w:hint="eastAsia" w:eastAsia="方正楷体_GBK"/>
          <w:spacing w:val="0"/>
          <w:kern w:val="2"/>
          <w:sz w:val="32"/>
          <w:lang w:eastAsia="zh-CN"/>
        </w:rPr>
        <w:t>分</w:t>
      </w:r>
      <w:r>
        <w:rPr>
          <w:rStyle w:val="18"/>
          <w:rFonts w:hint="eastAsia" w:ascii="Times New Roman" w:hAnsi="Times New Roman"/>
          <w:spacing w:val="0"/>
          <w:kern w:val="2"/>
          <w:sz w:val="32"/>
        </w:rPr>
        <w:t>局）</w:t>
      </w:r>
    </w:p>
    <w:p w14:paraId="29095449">
      <w:pPr>
        <w:pStyle w:val="4"/>
        <w:keepNext w:val="0"/>
        <w:keepLines w:val="0"/>
        <w:pageBreakBefore w:val="0"/>
        <w:widowControl w:val="0"/>
        <w:kinsoku/>
        <w:wordWrap/>
        <w:overflowPunct/>
        <w:topLinePunct w:val="0"/>
        <w:autoSpaceDE/>
        <w:autoSpaceDN/>
        <w:bidi w:val="0"/>
        <w:adjustRightInd w:val="0"/>
        <w:snapToGrid/>
        <w:spacing w:beforeLines="0" w:afterLines="0" w:line="594" w:lineRule="exact"/>
        <w:ind w:left="0" w:leftChars="0" w:firstLine="632" w:firstLineChars="200"/>
        <w:jc w:val="both"/>
        <w:textAlignment w:val="auto"/>
        <w:rPr>
          <w:rFonts w:hint="eastAsia" w:ascii="Times New Roman" w:hAnsi="Times New Roman"/>
          <w:spacing w:val="0"/>
          <w:kern w:val="2"/>
          <w:sz w:val="32"/>
        </w:rPr>
      </w:pPr>
      <w:r>
        <w:rPr>
          <w:rFonts w:hint="eastAsia" w:ascii="Times New Roman" w:hAnsi="Times New Roman"/>
          <w:spacing w:val="0"/>
          <w:kern w:val="2"/>
          <w:sz w:val="32"/>
        </w:rPr>
        <w:t>（三）遏制耐药结核行动</w:t>
      </w:r>
    </w:p>
    <w:p w14:paraId="6FF65D4B">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spacing w:val="0"/>
          <w:kern w:val="2"/>
          <w:sz w:val="32"/>
        </w:rPr>
      </w:pPr>
      <w:r>
        <w:rPr>
          <w:rFonts w:hint="eastAsia" w:ascii="Times New Roman" w:hAnsi="Times New Roman"/>
          <w:spacing w:val="0"/>
          <w:kern w:val="2"/>
          <w:sz w:val="32"/>
        </w:rPr>
        <w:t>1</w:t>
      </w:r>
      <w:r>
        <w:rPr>
          <w:rFonts w:hint="eastAsia"/>
          <w:spacing w:val="0"/>
          <w:kern w:val="2"/>
          <w:sz w:val="32"/>
          <w:lang w:val="en-US" w:eastAsia="zh-CN"/>
        </w:rPr>
        <w:t>.</w:t>
      </w:r>
      <w:r>
        <w:rPr>
          <w:rFonts w:hint="eastAsia" w:ascii="Times New Roman" w:hAnsi="Times New Roman"/>
          <w:spacing w:val="0"/>
          <w:kern w:val="2"/>
          <w:sz w:val="32"/>
        </w:rPr>
        <w:t>加大筛查、转诊及监测力度。定点医疗机构对结核病患者开展耐药筛查，耐药筛查率达到95%以上</w:t>
      </w:r>
      <w:r>
        <w:rPr>
          <w:rFonts w:hint="eastAsia"/>
          <w:spacing w:val="0"/>
          <w:kern w:val="2"/>
          <w:sz w:val="32"/>
          <w:lang w:eastAsia="zh-CN"/>
        </w:rPr>
        <w:t>；</w:t>
      </w:r>
      <w:r>
        <w:rPr>
          <w:rFonts w:hint="eastAsia" w:ascii="Times New Roman" w:hAnsi="Times New Roman"/>
          <w:spacing w:val="0"/>
          <w:kern w:val="2"/>
          <w:sz w:val="32"/>
        </w:rPr>
        <w:t>对发现的耐药结核病患者要及时转至耐药结核病定点医疗机构诊治，转诊率达到100%。</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卫生健康委）</w:t>
      </w:r>
    </w:p>
    <w:p w14:paraId="7BEA60C5">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2</w:t>
      </w:r>
      <w:r>
        <w:rPr>
          <w:rFonts w:hint="eastAsia"/>
          <w:spacing w:val="0"/>
          <w:kern w:val="2"/>
          <w:sz w:val="32"/>
          <w:lang w:val="en-US" w:eastAsia="zh-CN"/>
        </w:rPr>
        <w:t>.</w:t>
      </w:r>
      <w:r>
        <w:rPr>
          <w:rFonts w:hint="eastAsia" w:ascii="Times New Roman" w:hAnsi="Times New Roman"/>
          <w:spacing w:val="0"/>
          <w:kern w:val="2"/>
          <w:sz w:val="32"/>
        </w:rPr>
        <w:t>规范耐药结核病诊疗。到2027年，</w:t>
      </w:r>
      <w:r>
        <w:rPr>
          <w:rFonts w:hint="eastAsia"/>
          <w:spacing w:val="0"/>
          <w:kern w:val="2"/>
          <w:sz w:val="32"/>
          <w:lang w:eastAsia="zh-CN"/>
        </w:rPr>
        <w:t>我区</w:t>
      </w:r>
      <w:r>
        <w:rPr>
          <w:rFonts w:hint="eastAsia" w:ascii="Times New Roman" w:hAnsi="Times New Roman"/>
          <w:spacing w:val="0"/>
          <w:kern w:val="2"/>
          <w:sz w:val="32"/>
        </w:rPr>
        <w:t>耐药结核病患者定点治疗率达到90%以上，耐药结核病定点医疗机构对利福平耐药结核病患者初始治疗方案规范率达到90%以上；到2030年，</w:t>
      </w:r>
      <w:r>
        <w:rPr>
          <w:rFonts w:hint="eastAsia"/>
          <w:spacing w:val="0"/>
          <w:kern w:val="2"/>
          <w:sz w:val="32"/>
          <w:lang w:eastAsia="zh-CN"/>
        </w:rPr>
        <w:t>我区</w:t>
      </w:r>
      <w:r>
        <w:rPr>
          <w:rFonts w:hint="eastAsia" w:ascii="Times New Roman" w:hAnsi="Times New Roman"/>
          <w:spacing w:val="0"/>
          <w:kern w:val="2"/>
          <w:sz w:val="32"/>
        </w:rPr>
        <w:t>耐药结核病患者纳入治疗率达到95%以上，成功治疗率达到75%以上。</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卫生健康委）</w:t>
      </w:r>
    </w:p>
    <w:p w14:paraId="3E00487E">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rPr>
      </w:pPr>
      <w:r>
        <w:rPr>
          <w:rFonts w:hint="eastAsia" w:ascii="Times New Roman" w:hAnsi="Times New Roman"/>
          <w:spacing w:val="0"/>
          <w:kern w:val="2"/>
          <w:sz w:val="32"/>
        </w:rPr>
        <w:t>3</w:t>
      </w:r>
      <w:r>
        <w:rPr>
          <w:rFonts w:hint="eastAsia"/>
          <w:spacing w:val="0"/>
          <w:kern w:val="2"/>
          <w:sz w:val="32"/>
          <w:lang w:val="en-US" w:eastAsia="zh-CN"/>
        </w:rPr>
        <w:t>.</w:t>
      </w:r>
      <w:r>
        <w:rPr>
          <w:rFonts w:hint="eastAsia" w:ascii="Times New Roman" w:hAnsi="Times New Roman"/>
          <w:spacing w:val="0"/>
          <w:kern w:val="2"/>
          <w:sz w:val="32"/>
        </w:rPr>
        <w:t>落实耐药结核病患者管理。</w:t>
      </w:r>
      <w:r>
        <w:rPr>
          <w:rFonts w:hint="eastAsia"/>
          <w:spacing w:val="0"/>
          <w:kern w:val="2"/>
          <w:sz w:val="32"/>
          <w:lang w:eastAsia="zh-CN"/>
        </w:rPr>
        <w:t>做好耐药结核病患者闭环管理，</w:t>
      </w:r>
      <w:r>
        <w:rPr>
          <w:rFonts w:hint="eastAsia" w:ascii="Times New Roman" w:hAnsi="Times New Roman"/>
          <w:spacing w:val="0"/>
          <w:kern w:val="2"/>
          <w:sz w:val="32"/>
        </w:rPr>
        <w:t>耐药结核病定点医疗机构、患者现居住所在地疾控机构、基层医疗卫生机构要及时完成诊疗信息推送，确保全程信息及时反馈，基层医疗卫生机构按要求做好健康管理服务工作</w:t>
      </w:r>
      <w:r>
        <w:rPr>
          <w:rFonts w:hint="eastAsia"/>
          <w:spacing w:val="0"/>
          <w:kern w:val="2"/>
          <w:sz w:val="32"/>
          <w:lang w:eastAsia="zh-CN"/>
        </w:rPr>
        <w:t>。对失访、拒治、依从性低的耐药结核病患者，各镇街配合医疗机构做好管理</w:t>
      </w:r>
      <w:r>
        <w:rPr>
          <w:rFonts w:hint="eastAsia" w:ascii="Times New Roman" w:hAnsi="Times New Roman"/>
          <w:spacing w:val="0"/>
          <w:kern w:val="2"/>
          <w:sz w:val="32"/>
        </w:rPr>
        <w:t>。</w:t>
      </w:r>
      <w:r>
        <w:rPr>
          <w:rStyle w:val="18"/>
          <w:rFonts w:hint="eastAsia" w:ascii="Times New Roman" w:hAnsi="Times New Roman"/>
          <w:spacing w:val="0"/>
          <w:kern w:val="2"/>
          <w:sz w:val="32"/>
        </w:rPr>
        <w:t>（责</w:t>
      </w:r>
      <w:r>
        <w:rPr>
          <w:rFonts w:hint="eastAsia"/>
        </w:rPr>
        <w:t>任单位：</w:t>
      </w:r>
      <w:r>
        <w:rPr>
          <w:rFonts w:hint="eastAsia"/>
          <w:lang w:eastAsia="zh-CN"/>
        </w:rPr>
        <w:t>各镇街、区</w:t>
      </w:r>
      <w:r>
        <w:rPr>
          <w:rFonts w:hint="eastAsia"/>
        </w:rPr>
        <w:t>卫生健康委）</w:t>
      </w:r>
    </w:p>
    <w:p w14:paraId="5268B0BB">
      <w:pPr>
        <w:keepNext w:val="0"/>
        <w:keepLines w:val="0"/>
        <w:pageBreakBefore w:val="0"/>
        <w:widowControl w:val="0"/>
        <w:kinsoku/>
        <w:wordWrap/>
        <w:overflowPunct/>
        <w:topLinePunct w:val="0"/>
        <w:autoSpaceDE/>
        <w:autoSpaceDN/>
        <w:bidi w:val="0"/>
        <w:snapToGrid/>
        <w:spacing w:line="594" w:lineRule="exact"/>
        <w:ind w:left="0" w:leftChars="0" w:firstLine="632" w:firstLineChars="200"/>
        <w:jc w:val="both"/>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（四）患者关爱行动</w:t>
      </w:r>
    </w:p>
    <w:p w14:paraId="7105FAC8">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1</w:t>
      </w:r>
      <w:r>
        <w:rPr>
          <w:rFonts w:hint="eastAsia"/>
          <w:spacing w:val="0"/>
          <w:kern w:val="2"/>
          <w:sz w:val="32"/>
          <w:lang w:val="en-US" w:eastAsia="zh-CN"/>
        </w:rPr>
        <w:t>.</w:t>
      </w:r>
      <w:r>
        <w:rPr>
          <w:rFonts w:hint="eastAsia" w:ascii="Times New Roman" w:hAnsi="Times New Roman"/>
          <w:spacing w:val="0"/>
          <w:kern w:val="2"/>
          <w:sz w:val="32"/>
        </w:rPr>
        <w:t>加强医药保障。</w:t>
      </w:r>
      <w:r>
        <w:rPr>
          <w:rFonts w:hint="eastAsia" w:ascii="Times New Roman" w:hAnsi="Times New Roman"/>
          <w:spacing w:val="0"/>
          <w:kern w:val="2"/>
          <w:sz w:val="32"/>
          <w:highlight w:val="none"/>
        </w:rPr>
        <w:t>按照国家医疗保险目录管理有关规定，严格执行市局将符合条件的诊疗项目及药品纳入基本医疗保险支付范围，贯彻落实结核病（包括耐药结核病患者）基本医疗保险门诊、住院特殊病种支付限额相关政策。落实国家、市抗结核药品集中带量采购相关政策</w:t>
      </w:r>
      <w:r>
        <w:rPr>
          <w:rFonts w:hint="eastAsia"/>
          <w:spacing w:val="0"/>
          <w:kern w:val="2"/>
          <w:sz w:val="32"/>
          <w:highlight w:val="none"/>
          <w:lang w:eastAsia="zh-CN"/>
        </w:rPr>
        <w:t>，</w:t>
      </w:r>
      <w:r>
        <w:rPr>
          <w:rFonts w:hint="eastAsia" w:ascii="Times New Roman" w:hAnsi="Times New Roman"/>
          <w:spacing w:val="0"/>
          <w:kern w:val="2"/>
          <w:sz w:val="32"/>
          <w:highlight w:val="none"/>
        </w:rPr>
        <w:t>对治疗耐药结核病效果良好、但价格较为昂贵的二线抗结核药物不纳入药占比计算范围。</w:t>
      </w:r>
      <w:r>
        <w:rPr>
          <w:rStyle w:val="18"/>
          <w:rFonts w:hint="eastAsia" w:ascii="Times New Roman" w:hAnsi="Times New Roman"/>
          <w:spacing w:val="0"/>
          <w:kern w:val="2"/>
          <w:sz w:val="32"/>
          <w:highlight w:val="none"/>
        </w:rPr>
        <w:t>（</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医保局、</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卫生健康委）</w:t>
      </w:r>
    </w:p>
    <w:p w14:paraId="6D08BE74">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2</w:t>
      </w:r>
      <w:r>
        <w:rPr>
          <w:rFonts w:hint="eastAsia"/>
          <w:spacing w:val="0"/>
          <w:kern w:val="2"/>
          <w:sz w:val="32"/>
          <w:lang w:val="en-US" w:eastAsia="zh-CN"/>
        </w:rPr>
        <w:t>.</w:t>
      </w:r>
      <w:r>
        <w:rPr>
          <w:rFonts w:hint="eastAsia" w:ascii="Times New Roman" w:hAnsi="Times New Roman"/>
          <w:spacing w:val="0"/>
          <w:kern w:val="2"/>
          <w:sz w:val="32"/>
        </w:rPr>
        <w:t>开展其他救助。</w:t>
      </w:r>
      <w:r>
        <w:rPr>
          <w:rFonts w:hint="eastAsia"/>
          <w:spacing w:val="0"/>
          <w:kern w:val="2"/>
          <w:sz w:val="32"/>
          <w:lang w:eastAsia="zh-CN"/>
        </w:rPr>
        <w:t>区</w:t>
      </w:r>
      <w:r>
        <w:rPr>
          <w:rFonts w:hint="eastAsia" w:ascii="Times New Roman" w:hAnsi="Times New Roman"/>
          <w:spacing w:val="0"/>
          <w:kern w:val="2"/>
          <w:sz w:val="32"/>
        </w:rPr>
        <w:t>民政</w:t>
      </w:r>
      <w:r>
        <w:rPr>
          <w:rFonts w:hint="eastAsia"/>
          <w:spacing w:val="0"/>
          <w:kern w:val="2"/>
          <w:sz w:val="32"/>
          <w:lang w:eastAsia="zh-CN"/>
        </w:rPr>
        <w:t>局</w:t>
      </w:r>
      <w:r>
        <w:rPr>
          <w:rFonts w:hint="eastAsia" w:ascii="Times New Roman" w:hAnsi="Times New Roman"/>
          <w:spacing w:val="0"/>
          <w:kern w:val="2"/>
          <w:sz w:val="32"/>
        </w:rPr>
        <w:t>对符合条件的困难结核病患者实施最低生活保障。红十字会、慈善组织、社会组织等为符合条件的结核病患者开展慈善帮扶。探索设立专项慈善基金，对</w:t>
      </w:r>
      <w:r>
        <w:rPr>
          <w:rFonts w:hint="eastAsia"/>
          <w:spacing w:val="0"/>
          <w:kern w:val="2"/>
          <w:sz w:val="32"/>
          <w:lang w:eastAsia="zh-CN"/>
        </w:rPr>
        <w:t>家庭贫困</w:t>
      </w:r>
      <w:r>
        <w:rPr>
          <w:rFonts w:hint="eastAsia" w:ascii="Times New Roman" w:hAnsi="Times New Roman"/>
          <w:spacing w:val="0"/>
          <w:kern w:val="2"/>
          <w:sz w:val="32"/>
        </w:rPr>
        <w:t>的结核病患者予以救助。</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民政局、</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红十字会、</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卫生健康委）</w:t>
      </w:r>
    </w:p>
    <w:p w14:paraId="7B5D90F4">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3</w:t>
      </w:r>
      <w:r>
        <w:rPr>
          <w:rFonts w:hint="eastAsia"/>
          <w:spacing w:val="0"/>
          <w:kern w:val="2"/>
          <w:sz w:val="32"/>
          <w:lang w:val="en-US" w:eastAsia="zh-CN"/>
        </w:rPr>
        <w:t>.</w:t>
      </w:r>
      <w:r>
        <w:rPr>
          <w:rFonts w:hint="eastAsia" w:ascii="Times New Roman" w:hAnsi="Times New Roman"/>
          <w:spacing w:val="0"/>
          <w:kern w:val="2"/>
          <w:sz w:val="32"/>
        </w:rPr>
        <w:t>实施既往患者关怀计划。</w:t>
      </w:r>
      <w:r>
        <w:rPr>
          <w:rFonts w:hint="eastAsia"/>
          <w:spacing w:val="0"/>
          <w:kern w:val="2"/>
          <w:sz w:val="32"/>
          <w:lang w:val="en-US" w:eastAsia="zh-CN"/>
        </w:rPr>
        <w:t>各镇街</w:t>
      </w:r>
      <w:r>
        <w:rPr>
          <w:rFonts w:hint="eastAsia" w:ascii="Times New Roman" w:hAnsi="Times New Roman"/>
          <w:spacing w:val="0"/>
          <w:kern w:val="2"/>
          <w:sz w:val="32"/>
        </w:rPr>
        <w:t>每年对近5年内既往结核病患者及家属开展随访观察，对有症状者开展结核病检查。</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各镇街、区</w:t>
      </w:r>
      <w:r>
        <w:rPr>
          <w:rStyle w:val="18"/>
          <w:rFonts w:hint="eastAsia" w:ascii="Times New Roman" w:hAnsi="Times New Roman"/>
          <w:spacing w:val="0"/>
          <w:kern w:val="2"/>
          <w:sz w:val="32"/>
        </w:rPr>
        <w:t>卫生健康委）</w:t>
      </w:r>
    </w:p>
    <w:p w14:paraId="273C67D9">
      <w:pPr>
        <w:pStyle w:val="4"/>
        <w:keepNext w:val="0"/>
        <w:keepLines w:val="0"/>
        <w:pageBreakBefore w:val="0"/>
        <w:widowControl w:val="0"/>
        <w:kinsoku/>
        <w:wordWrap/>
        <w:overflowPunct/>
        <w:topLinePunct w:val="0"/>
        <w:autoSpaceDE/>
        <w:autoSpaceDN/>
        <w:bidi w:val="0"/>
        <w:adjustRightInd w:val="0"/>
        <w:snapToGrid/>
        <w:spacing w:beforeLines="0" w:afterLines="0" w:line="594" w:lineRule="exact"/>
        <w:ind w:left="0" w:leftChars="0" w:firstLine="632" w:firstLineChars="200"/>
        <w:jc w:val="both"/>
        <w:textAlignment w:val="auto"/>
        <w:rPr>
          <w:rFonts w:hint="eastAsia" w:ascii="Times New Roman" w:hAnsi="Times New Roman"/>
          <w:spacing w:val="0"/>
          <w:kern w:val="2"/>
          <w:sz w:val="32"/>
        </w:rPr>
      </w:pPr>
      <w:r>
        <w:rPr>
          <w:rFonts w:hint="eastAsia" w:ascii="Times New Roman" w:hAnsi="Times New Roman"/>
          <w:spacing w:val="0"/>
          <w:kern w:val="2"/>
          <w:sz w:val="32"/>
        </w:rPr>
        <w:t>（五）预防阻断行动</w:t>
      </w:r>
    </w:p>
    <w:p w14:paraId="0F9682AA">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1</w:t>
      </w:r>
      <w:r>
        <w:rPr>
          <w:rFonts w:hint="eastAsia"/>
          <w:spacing w:val="0"/>
          <w:kern w:val="2"/>
          <w:sz w:val="32"/>
          <w:lang w:val="en-US" w:eastAsia="zh-CN"/>
        </w:rPr>
        <w:t>.</w:t>
      </w:r>
      <w:r>
        <w:rPr>
          <w:rFonts w:hint="eastAsia" w:ascii="Times New Roman" w:hAnsi="Times New Roman"/>
          <w:spacing w:val="0"/>
          <w:kern w:val="2"/>
          <w:sz w:val="32"/>
        </w:rPr>
        <w:t>做好卡介苗预防接种。以住院分娩和预防接种证查验为抓手，全力推进0-3岁儿童卡介苗接种，预防婴幼儿结核性脑膜炎、血行播散性肺结核等重型肺结核病发生。切实加强0-6岁儿童基础疫苗接种和查漏补种，提高接种覆盖率和接种质量，确保应接尽接，筑牢免疫屏障</w:t>
      </w:r>
      <w:r>
        <w:rPr>
          <w:rFonts w:hint="eastAsia"/>
          <w:spacing w:val="0"/>
          <w:kern w:val="2"/>
          <w:sz w:val="32"/>
          <w:lang w:eastAsia="zh-CN"/>
        </w:rPr>
        <w:t>，</w:t>
      </w:r>
      <w:r>
        <w:rPr>
          <w:rFonts w:hint="eastAsia" w:ascii="Times New Roman" w:hAnsi="Times New Roman"/>
          <w:spacing w:val="0"/>
          <w:kern w:val="2"/>
          <w:sz w:val="32"/>
        </w:rPr>
        <w:t>新生儿预防接种率达到</w:t>
      </w:r>
      <w:r>
        <w:rPr>
          <w:rFonts w:hint="eastAsia"/>
          <w:spacing w:val="0"/>
          <w:kern w:val="2"/>
          <w:sz w:val="32"/>
          <w:lang w:val="en-US" w:eastAsia="zh-CN"/>
        </w:rPr>
        <w:t>98</w:t>
      </w:r>
      <w:r>
        <w:rPr>
          <w:rFonts w:hint="eastAsia" w:ascii="Times New Roman" w:hAnsi="Times New Roman"/>
          <w:spacing w:val="0"/>
          <w:kern w:val="2"/>
          <w:sz w:val="32"/>
        </w:rPr>
        <w:t>%，加强接种全程管理。</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卫生健康委）</w:t>
      </w:r>
    </w:p>
    <w:p w14:paraId="61EA34D9">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2</w:t>
      </w:r>
      <w:r>
        <w:rPr>
          <w:rFonts w:hint="eastAsia"/>
          <w:spacing w:val="0"/>
          <w:kern w:val="2"/>
          <w:sz w:val="32"/>
          <w:lang w:val="en-US" w:eastAsia="zh-CN"/>
        </w:rPr>
        <w:t>.</w:t>
      </w:r>
      <w:r>
        <w:rPr>
          <w:rFonts w:hint="eastAsia" w:ascii="Times New Roman" w:hAnsi="Times New Roman"/>
          <w:spacing w:val="0"/>
          <w:kern w:val="2"/>
          <w:sz w:val="32"/>
        </w:rPr>
        <w:t>开展预防性治疗。</w:t>
      </w:r>
      <w:r>
        <w:rPr>
          <w:rFonts w:hint="eastAsia"/>
          <w:spacing w:val="0"/>
          <w:kern w:val="2"/>
          <w:sz w:val="32"/>
          <w:lang w:eastAsia="zh-CN"/>
        </w:rPr>
        <w:t>按照市级要求</w:t>
      </w:r>
      <w:r>
        <w:rPr>
          <w:rFonts w:hint="eastAsia" w:ascii="Times New Roman" w:hAnsi="Times New Roman"/>
          <w:spacing w:val="0"/>
          <w:kern w:val="2"/>
          <w:sz w:val="32"/>
        </w:rPr>
        <w:t>规范设立结核潜伏感染者预防性治疗门诊。学校、养老机构、监所等重点场所和医疗卫生机构要劝导和动员符合条件的人员开展预防性治疗。到2030年，</w:t>
      </w:r>
      <w:r>
        <w:rPr>
          <w:rFonts w:hint="eastAsia"/>
          <w:spacing w:val="0"/>
          <w:kern w:val="2"/>
          <w:sz w:val="32"/>
          <w:lang w:eastAsia="zh-CN"/>
        </w:rPr>
        <w:t>我区</w:t>
      </w:r>
      <w:r>
        <w:rPr>
          <w:rFonts w:hint="eastAsia" w:ascii="Times New Roman" w:hAnsi="Times New Roman"/>
          <w:spacing w:val="0"/>
          <w:kern w:val="2"/>
          <w:sz w:val="32"/>
        </w:rPr>
        <w:t>预防性治疗接受率达到80%以上。</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各镇街、区</w:t>
      </w:r>
      <w:r>
        <w:rPr>
          <w:rStyle w:val="18"/>
          <w:rFonts w:hint="eastAsia" w:ascii="Times New Roman" w:hAnsi="Times New Roman"/>
          <w:spacing w:val="0"/>
          <w:kern w:val="2"/>
          <w:sz w:val="32"/>
        </w:rPr>
        <w:t>教委、</w:t>
      </w:r>
      <w:r>
        <w:rPr>
          <w:rStyle w:val="18"/>
          <w:rFonts w:hint="eastAsia" w:eastAsia="方正楷体_GBK"/>
          <w:spacing w:val="0"/>
          <w:kern w:val="2"/>
          <w:sz w:val="32"/>
          <w:lang w:eastAsia="zh-CN"/>
        </w:rPr>
        <w:t>区民政局、区</w:t>
      </w:r>
      <w:r>
        <w:rPr>
          <w:rStyle w:val="18"/>
          <w:rFonts w:hint="eastAsia" w:ascii="Times New Roman" w:hAnsi="Times New Roman"/>
          <w:spacing w:val="0"/>
          <w:kern w:val="2"/>
          <w:sz w:val="32"/>
        </w:rPr>
        <w:t>公安</w:t>
      </w:r>
      <w:r>
        <w:rPr>
          <w:rStyle w:val="18"/>
          <w:rFonts w:hint="eastAsia" w:eastAsia="方正楷体_GBK"/>
          <w:spacing w:val="0"/>
          <w:kern w:val="2"/>
          <w:sz w:val="32"/>
          <w:lang w:eastAsia="zh-CN"/>
        </w:rPr>
        <w:t>分</w:t>
      </w:r>
      <w:r>
        <w:rPr>
          <w:rStyle w:val="18"/>
          <w:rFonts w:hint="eastAsia" w:ascii="Times New Roman" w:hAnsi="Times New Roman"/>
          <w:spacing w:val="0"/>
          <w:kern w:val="2"/>
          <w:sz w:val="32"/>
        </w:rPr>
        <w:t>局、</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卫生健康委）</w:t>
      </w:r>
    </w:p>
    <w:p w14:paraId="2332FE86">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3</w:t>
      </w:r>
      <w:r>
        <w:rPr>
          <w:rFonts w:hint="eastAsia"/>
          <w:spacing w:val="0"/>
          <w:kern w:val="2"/>
          <w:sz w:val="32"/>
          <w:lang w:val="en-US" w:eastAsia="zh-CN"/>
        </w:rPr>
        <w:t>.</w:t>
      </w:r>
      <w:r>
        <w:rPr>
          <w:rFonts w:hint="eastAsia" w:ascii="Times New Roman" w:hAnsi="Times New Roman"/>
          <w:spacing w:val="0"/>
          <w:kern w:val="2"/>
          <w:sz w:val="32"/>
        </w:rPr>
        <w:t>强化感染控制。全</w:t>
      </w:r>
      <w:r>
        <w:rPr>
          <w:rFonts w:hint="eastAsia"/>
          <w:spacing w:val="0"/>
          <w:kern w:val="2"/>
          <w:sz w:val="32"/>
          <w:lang w:eastAsia="zh-CN"/>
        </w:rPr>
        <w:t>区</w:t>
      </w:r>
      <w:r>
        <w:rPr>
          <w:rFonts w:hint="eastAsia" w:ascii="Times New Roman" w:hAnsi="Times New Roman"/>
          <w:spacing w:val="0"/>
          <w:kern w:val="2"/>
          <w:sz w:val="32"/>
        </w:rPr>
        <w:t>各级各类医疗机构每年至少开展1次全院结核病感染控制培训，疾控机构要做好传染性结核病患者停工停课和复工复课的指导工作，建立“1+1”工作团队，由1名基层医疗卫生机构工作人员和1名镇街网格员，“包片”指导结核病患者做好家庭内感染控制工作。</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各镇街、区教委、区</w:t>
      </w:r>
      <w:r>
        <w:rPr>
          <w:rStyle w:val="18"/>
          <w:rFonts w:hint="eastAsia" w:ascii="Times New Roman" w:hAnsi="Times New Roman"/>
          <w:spacing w:val="0"/>
          <w:kern w:val="2"/>
          <w:sz w:val="32"/>
        </w:rPr>
        <w:t>卫生健康委）</w:t>
      </w:r>
    </w:p>
    <w:p w14:paraId="285D89CD">
      <w:pPr>
        <w:pStyle w:val="4"/>
        <w:keepNext w:val="0"/>
        <w:keepLines w:val="0"/>
        <w:pageBreakBefore w:val="0"/>
        <w:widowControl w:val="0"/>
        <w:kinsoku/>
        <w:wordWrap/>
        <w:overflowPunct/>
        <w:topLinePunct w:val="0"/>
        <w:autoSpaceDE/>
        <w:autoSpaceDN/>
        <w:bidi w:val="0"/>
        <w:adjustRightInd w:val="0"/>
        <w:snapToGrid/>
        <w:spacing w:beforeLines="0" w:afterLines="0" w:line="594" w:lineRule="exact"/>
        <w:ind w:left="0" w:leftChars="0" w:firstLine="632" w:firstLineChars="200"/>
        <w:jc w:val="both"/>
        <w:textAlignment w:val="auto"/>
        <w:rPr>
          <w:rFonts w:hint="eastAsia" w:ascii="Times New Roman" w:hAnsi="Times New Roman"/>
          <w:spacing w:val="0"/>
          <w:kern w:val="2"/>
          <w:sz w:val="32"/>
        </w:rPr>
      </w:pPr>
      <w:r>
        <w:rPr>
          <w:rFonts w:hint="eastAsia" w:ascii="Times New Roman" w:hAnsi="Times New Roman"/>
          <w:spacing w:val="0"/>
          <w:kern w:val="2"/>
          <w:sz w:val="32"/>
        </w:rPr>
        <w:t>（六）宣传普及行动</w:t>
      </w:r>
    </w:p>
    <w:p w14:paraId="43C3546C">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1</w:t>
      </w:r>
      <w:r>
        <w:rPr>
          <w:rFonts w:hint="eastAsia"/>
          <w:spacing w:val="0"/>
          <w:kern w:val="2"/>
          <w:sz w:val="32"/>
          <w:lang w:val="en-US" w:eastAsia="zh-CN"/>
        </w:rPr>
        <w:t>.</w:t>
      </w:r>
      <w:r>
        <w:rPr>
          <w:rFonts w:hint="eastAsia" w:ascii="Times New Roman" w:hAnsi="Times New Roman"/>
          <w:spacing w:val="0"/>
          <w:kern w:val="2"/>
          <w:sz w:val="32"/>
        </w:rPr>
        <w:t>提高大众健康意识。充分利用世界防治结核病日、世界卫生日、全民健康生活方式行动日等宣传日，利用传统媒体、新媒体和自媒体资源</w:t>
      </w:r>
      <w:r>
        <w:rPr>
          <w:rFonts w:hint="eastAsia"/>
          <w:spacing w:val="0"/>
          <w:kern w:val="2"/>
          <w:sz w:val="32"/>
          <w:lang w:eastAsia="zh-CN"/>
        </w:rPr>
        <w:t>，</w:t>
      </w:r>
      <w:r>
        <w:rPr>
          <w:rFonts w:hint="eastAsia" w:ascii="Times New Roman" w:hAnsi="Times New Roman"/>
          <w:spacing w:val="0"/>
          <w:kern w:val="2"/>
          <w:sz w:val="32"/>
        </w:rPr>
        <w:t>开展形式多样的结核病防治知识宣传活动</w:t>
      </w:r>
      <w:r>
        <w:rPr>
          <w:rFonts w:hint="eastAsia"/>
          <w:spacing w:val="0"/>
          <w:kern w:val="2"/>
          <w:sz w:val="32"/>
          <w:lang w:eastAsia="zh-CN"/>
        </w:rPr>
        <w:t>。</w:t>
      </w:r>
      <w:r>
        <w:rPr>
          <w:rFonts w:hint="eastAsia" w:ascii="Times New Roman" w:hAnsi="Times New Roman"/>
          <w:spacing w:val="0"/>
          <w:kern w:val="2"/>
          <w:sz w:val="32"/>
        </w:rPr>
        <w:t>学校以班级为单位，每学期至少开展1次结核病健康教育。</w:t>
      </w:r>
      <w:r>
        <w:rPr>
          <w:rFonts w:hint="eastAsia"/>
          <w:spacing w:val="0"/>
          <w:kern w:val="2"/>
          <w:sz w:val="32"/>
          <w:lang w:eastAsia="zh-CN"/>
        </w:rPr>
        <w:t>各镇街充分利用现有宣传平台（宣传栏、宣传展板等）进行结核病防治知识普及。</w:t>
      </w:r>
      <w:r>
        <w:rPr>
          <w:rFonts w:hint="eastAsia" w:ascii="Times New Roman" w:hAnsi="Times New Roman"/>
          <w:spacing w:val="0"/>
          <w:kern w:val="2"/>
          <w:sz w:val="32"/>
        </w:rPr>
        <w:t>到2027年，全</w:t>
      </w:r>
      <w:r>
        <w:rPr>
          <w:rFonts w:hint="eastAsia"/>
          <w:spacing w:val="0"/>
          <w:kern w:val="2"/>
          <w:sz w:val="32"/>
          <w:lang w:eastAsia="zh-CN"/>
        </w:rPr>
        <w:t>区</w:t>
      </w:r>
      <w:r>
        <w:rPr>
          <w:rFonts w:hint="eastAsia" w:ascii="Times New Roman" w:hAnsi="Times New Roman"/>
          <w:spacing w:val="0"/>
          <w:kern w:val="2"/>
          <w:sz w:val="32"/>
        </w:rPr>
        <w:t>公众结核病防治核心知识知晓率达到85%以上。</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各镇街、区</w:t>
      </w:r>
      <w:r>
        <w:rPr>
          <w:rStyle w:val="18"/>
          <w:rFonts w:hint="eastAsia" w:ascii="Times New Roman" w:hAnsi="Times New Roman"/>
          <w:spacing w:val="0"/>
          <w:kern w:val="2"/>
          <w:sz w:val="32"/>
        </w:rPr>
        <w:t>委宣传部、</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教委、</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卫生健康委）</w:t>
      </w:r>
    </w:p>
    <w:p w14:paraId="78BCF17C">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2</w:t>
      </w:r>
      <w:r>
        <w:rPr>
          <w:rFonts w:hint="eastAsia"/>
          <w:spacing w:val="0"/>
          <w:kern w:val="2"/>
          <w:sz w:val="32"/>
          <w:lang w:val="en-US" w:eastAsia="zh-CN"/>
        </w:rPr>
        <w:t>.</w:t>
      </w:r>
      <w:r>
        <w:rPr>
          <w:rFonts w:hint="eastAsia" w:ascii="Times New Roman" w:hAnsi="Times New Roman"/>
          <w:spacing w:val="0"/>
          <w:kern w:val="2"/>
          <w:sz w:val="32"/>
        </w:rPr>
        <w:t>开展志愿者宣传行动。</w:t>
      </w:r>
      <w:r>
        <w:rPr>
          <w:rFonts w:hint="eastAsia"/>
          <w:spacing w:val="0"/>
          <w:kern w:val="2"/>
          <w:sz w:val="32"/>
          <w:lang w:eastAsia="zh-CN"/>
        </w:rPr>
        <w:t>社会志愿者服务组织</w:t>
      </w:r>
      <w:r>
        <w:rPr>
          <w:rFonts w:hint="eastAsia" w:ascii="Times New Roman" w:hAnsi="Times New Roman"/>
          <w:spacing w:val="0"/>
          <w:kern w:val="2"/>
          <w:sz w:val="32"/>
        </w:rPr>
        <w:t>将结核病宣传纳入每年宣传计划，建立“1+8+N”的结核病防治知识志愿者宣传模式，成立区、镇街、学校结核病防治知识志愿者宣传队伍，实施“百千万志愿者结核病防治知识传播活动提升行动</w:t>
      </w:r>
      <w:r>
        <w:rPr>
          <w:rFonts w:hint="eastAsia"/>
          <w:spacing w:val="0"/>
          <w:kern w:val="2"/>
          <w:sz w:val="32"/>
          <w:lang w:eastAsia="zh-CN"/>
        </w:rPr>
        <w:t>”。社会志愿者服务组织</w:t>
      </w:r>
      <w:r>
        <w:rPr>
          <w:rFonts w:hint="eastAsia" w:ascii="Times New Roman" w:hAnsi="Times New Roman"/>
          <w:spacing w:val="0"/>
          <w:kern w:val="2"/>
          <w:sz w:val="32"/>
        </w:rPr>
        <w:t>每年至少开展2次结核病健康知识宣传“进社区、进企业、进医院、进校园、进家庭”的“五进”活动。</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委社会工作部、团</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委、</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红十字会、</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教委、</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卫生健康委）</w:t>
      </w:r>
    </w:p>
    <w:p w14:paraId="079A0A6B">
      <w:pPr>
        <w:pStyle w:val="4"/>
        <w:keepNext w:val="0"/>
        <w:keepLines w:val="0"/>
        <w:pageBreakBefore w:val="0"/>
        <w:widowControl w:val="0"/>
        <w:kinsoku/>
        <w:wordWrap/>
        <w:overflowPunct/>
        <w:topLinePunct w:val="0"/>
        <w:autoSpaceDE/>
        <w:autoSpaceDN/>
        <w:bidi w:val="0"/>
        <w:adjustRightInd w:val="0"/>
        <w:snapToGrid/>
        <w:spacing w:beforeLines="0" w:afterLines="0" w:line="594" w:lineRule="exact"/>
        <w:ind w:left="0" w:leftChars="0" w:firstLine="632" w:firstLineChars="200"/>
        <w:jc w:val="both"/>
        <w:textAlignment w:val="auto"/>
        <w:rPr>
          <w:rFonts w:hint="eastAsia" w:ascii="Times New Roman" w:hAnsi="Times New Roman"/>
          <w:spacing w:val="0"/>
          <w:kern w:val="2"/>
          <w:sz w:val="32"/>
        </w:rPr>
      </w:pPr>
      <w:r>
        <w:rPr>
          <w:rFonts w:hint="eastAsia" w:ascii="Times New Roman" w:hAnsi="Times New Roman"/>
          <w:spacing w:val="0"/>
          <w:kern w:val="2"/>
          <w:sz w:val="32"/>
        </w:rPr>
        <w:t>（七）能力提升行动</w:t>
      </w:r>
    </w:p>
    <w:p w14:paraId="080733D2">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1</w:t>
      </w:r>
      <w:r>
        <w:rPr>
          <w:rFonts w:hint="eastAsia"/>
          <w:spacing w:val="0"/>
          <w:kern w:val="2"/>
          <w:sz w:val="32"/>
          <w:lang w:val="en-US" w:eastAsia="zh-CN"/>
        </w:rPr>
        <w:t>.</w:t>
      </w:r>
      <w:r>
        <w:rPr>
          <w:rFonts w:hint="eastAsia" w:ascii="Times New Roman" w:hAnsi="Times New Roman"/>
          <w:spacing w:val="0"/>
          <w:kern w:val="2"/>
          <w:sz w:val="32"/>
        </w:rPr>
        <w:t>加强辖区定点医院建设。力争在2027年建成区级结核病定点医院。（</w:t>
      </w:r>
      <w:r>
        <w:rPr>
          <w:rFonts w:hint="eastAsia" w:ascii="方正楷体_GBK" w:hAnsi="方正楷体_GBK" w:eastAsia="方正楷体_GBK" w:cs="方正楷体_GBK"/>
          <w:spacing w:val="0"/>
          <w:kern w:val="2"/>
          <w:sz w:val="32"/>
          <w:szCs w:val="32"/>
        </w:rPr>
        <w:t>责任单位：区卫生健康委</w:t>
      </w:r>
      <w:r>
        <w:rPr>
          <w:rFonts w:hint="eastAsia" w:ascii="Times New Roman" w:hAnsi="Times New Roman"/>
          <w:spacing w:val="0"/>
          <w:kern w:val="2"/>
          <w:sz w:val="32"/>
        </w:rPr>
        <w:t>）</w:t>
      </w:r>
    </w:p>
    <w:p w14:paraId="3114337F">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2</w:t>
      </w:r>
      <w:r>
        <w:rPr>
          <w:rFonts w:hint="eastAsia"/>
          <w:spacing w:val="0"/>
          <w:kern w:val="2"/>
          <w:sz w:val="32"/>
          <w:lang w:val="en-US" w:eastAsia="zh-CN"/>
        </w:rPr>
        <w:t>.</w:t>
      </w:r>
      <w:r>
        <w:rPr>
          <w:rFonts w:hint="eastAsia" w:ascii="Times New Roman" w:hAnsi="Times New Roman"/>
          <w:spacing w:val="0"/>
          <w:kern w:val="2"/>
          <w:sz w:val="32"/>
        </w:rPr>
        <w:t>强化队伍建设。力争推荐1名业务骨干到高校进修。（</w:t>
      </w:r>
      <w:r>
        <w:rPr>
          <w:rFonts w:hint="eastAsia" w:ascii="方正楷体_GBK" w:hAnsi="方正楷体_GBK" w:eastAsia="方正楷体_GBK" w:cs="方正楷体_GBK"/>
          <w:spacing w:val="0"/>
          <w:kern w:val="2"/>
          <w:sz w:val="32"/>
        </w:rPr>
        <w:t>责任单位：区卫生健康委</w:t>
      </w:r>
      <w:r>
        <w:rPr>
          <w:rFonts w:hint="eastAsia" w:ascii="Times New Roman" w:hAnsi="Times New Roman"/>
          <w:spacing w:val="0"/>
          <w:kern w:val="2"/>
          <w:sz w:val="32"/>
        </w:rPr>
        <w:t>）</w:t>
      </w:r>
    </w:p>
    <w:p w14:paraId="2A1E1648">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3</w:t>
      </w:r>
      <w:r>
        <w:rPr>
          <w:rFonts w:hint="eastAsia"/>
          <w:spacing w:val="0"/>
          <w:kern w:val="2"/>
          <w:sz w:val="32"/>
          <w:lang w:val="en-US" w:eastAsia="zh-CN"/>
        </w:rPr>
        <w:t>.</w:t>
      </w:r>
      <w:r>
        <w:rPr>
          <w:rFonts w:hint="eastAsia" w:ascii="Times New Roman" w:hAnsi="Times New Roman"/>
          <w:spacing w:val="0"/>
          <w:kern w:val="2"/>
          <w:sz w:val="32"/>
        </w:rPr>
        <w:t>推进智能化服务。建立涵盖结核病全流程管理的数字化应用，推动结核病患者全程在线智能化服务</w:t>
      </w:r>
      <w:r>
        <w:rPr>
          <w:rFonts w:hint="eastAsia"/>
          <w:spacing w:val="0"/>
          <w:kern w:val="2"/>
          <w:sz w:val="32"/>
          <w:lang w:eastAsia="zh-CN"/>
        </w:rPr>
        <w:t>。</w:t>
      </w:r>
      <w:r>
        <w:rPr>
          <w:rFonts w:hint="eastAsia" w:ascii="Times New Roman" w:hAnsi="Times New Roman"/>
          <w:spacing w:val="0"/>
          <w:kern w:val="2"/>
          <w:sz w:val="32"/>
        </w:rPr>
        <w:t>利用远程会诊平台，推广“乡镇（街道）拍、区县阅”模式，探索使用人工智能数字化胸片诊断系统，提高结核病筛查质量和效率；鼓励配备便携式、移动式结核病筛查设施设备及移动体检车等，扩大筛查可及性。</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卫生健康委</w:t>
      </w:r>
      <w:r>
        <w:rPr>
          <w:rStyle w:val="18"/>
          <w:rFonts w:hint="eastAsia" w:eastAsia="方正楷体_GBK"/>
          <w:spacing w:val="0"/>
          <w:kern w:val="2"/>
          <w:sz w:val="32"/>
          <w:lang w:eastAsia="zh-CN"/>
        </w:rPr>
        <w:t>、区大数据发展局</w:t>
      </w:r>
      <w:r>
        <w:rPr>
          <w:rStyle w:val="18"/>
          <w:rFonts w:hint="eastAsia" w:ascii="Times New Roman" w:hAnsi="Times New Roman"/>
          <w:spacing w:val="0"/>
          <w:kern w:val="2"/>
          <w:sz w:val="32"/>
        </w:rPr>
        <w:t>）</w:t>
      </w:r>
    </w:p>
    <w:p w14:paraId="694B2617">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Style w:val="18"/>
          <w:rFonts w:hint="eastAsia" w:ascii="Times New Roman" w:hAnsi="Times New Roman"/>
          <w:spacing w:val="0"/>
          <w:kern w:val="2"/>
          <w:sz w:val="32"/>
        </w:rPr>
      </w:pPr>
      <w:r>
        <w:rPr>
          <w:rFonts w:hint="eastAsia" w:ascii="Times New Roman" w:hAnsi="Times New Roman"/>
          <w:spacing w:val="0"/>
          <w:kern w:val="2"/>
          <w:sz w:val="32"/>
        </w:rPr>
        <w:t>4</w:t>
      </w:r>
      <w:r>
        <w:rPr>
          <w:rFonts w:hint="eastAsia"/>
          <w:spacing w:val="0"/>
          <w:kern w:val="2"/>
          <w:sz w:val="32"/>
          <w:lang w:val="en-US" w:eastAsia="zh-CN"/>
        </w:rPr>
        <w:t>.</w:t>
      </w:r>
      <w:r>
        <w:rPr>
          <w:rFonts w:hint="eastAsia" w:ascii="Times New Roman" w:hAnsi="Times New Roman"/>
          <w:spacing w:val="0"/>
          <w:kern w:val="2"/>
          <w:sz w:val="32"/>
        </w:rPr>
        <w:t>推动科研创新。加强结核病预防和治疗专科（学科）建设，鼓励高校、科研院所、各级医疗卫生机构联合申报结核病防治科研项目，推动科研成果转化。力争到2030年，</w:t>
      </w:r>
      <w:r>
        <w:rPr>
          <w:rFonts w:hint="eastAsia"/>
          <w:spacing w:val="0"/>
          <w:kern w:val="2"/>
          <w:sz w:val="32"/>
          <w:lang w:eastAsia="zh-CN"/>
        </w:rPr>
        <w:t>我区</w:t>
      </w:r>
      <w:r>
        <w:rPr>
          <w:rFonts w:hint="eastAsia" w:ascii="Times New Roman" w:hAnsi="Times New Roman"/>
          <w:spacing w:val="0"/>
          <w:kern w:val="2"/>
          <w:sz w:val="32"/>
        </w:rPr>
        <w:t>建设结核病防治重点专科（学科）1个、国家级或市级重点课题达到1项、力争转化科研成果1项。</w:t>
      </w:r>
      <w:r>
        <w:rPr>
          <w:rStyle w:val="18"/>
          <w:rFonts w:hint="eastAsia" w:ascii="Times New Roman" w:hAnsi="Times New Roman"/>
          <w:spacing w:val="0"/>
          <w:kern w:val="2"/>
          <w:sz w:val="32"/>
        </w:rPr>
        <w:t>（责任单位：</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卫生健康委、</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科技局、</w:t>
      </w:r>
      <w:r>
        <w:rPr>
          <w:rStyle w:val="18"/>
          <w:rFonts w:hint="eastAsia" w:eastAsia="方正楷体_GBK"/>
          <w:spacing w:val="0"/>
          <w:kern w:val="2"/>
          <w:sz w:val="32"/>
          <w:lang w:eastAsia="zh-CN"/>
        </w:rPr>
        <w:t>区</w:t>
      </w:r>
      <w:r>
        <w:rPr>
          <w:rStyle w:val="18"/>
          <w:rFonts w:hint="eastAsia" w:ascii="Times New Roman" w:hAnsi="Times New Roman"/>
          <w:spacing w:val="0"/>
          <w:kern w:val="2"/>
          <w:sz w:val="32"/>
        </w:rPr>
        <w:t>教委）</w:t>
      </w:r>
    </w:p>
    <w:p w14:paraId="45FA458E">
      <w:pPr>
        <w:pStyle w:val="3"/>
        <w:keepNext w:val="0"/>
        <w:keepLines w:val="0"/>
        <w:pageBreakBefore w:val="0"/>
        <w:widowControl w:val="0"/>
        <w:kinsoku/>
        <w:wordWrap/>
        <w:overflowPunct/>
        <w:topLinePunct w:val="0"/>
        <w:autoSpaceDE/>
        <w:autoSpaceDN/>
        <w:bidi w:val="0"/>
        <w:adjustRightInd w:val="0"/>
        <w:snapToGrid/>
        <w:spacing w:beforeLines="0" w:afterLines="0" w:line="594" w:lineRule="exact"/>
        <w:ind w:left="0" w:leftChars="0" w:firstLine="632" w:firstLineChars="200"/>
        <w:jc w:val="both"/>
        <w:textAlignment w:val="auto"/>
        <w:rPr>
          <w:rFonts w:hint="eastAsia" w:ascii="Times New Roman" w:hAnsi="Times New Roman"/>
          <w:spacing w:val="0"/>
          <w:kern w:val="2"/>
          <w:sz w:val="32"/>
        </w:rPr>
      </w:pPr>
      <w:r>
        <w:rPr>
          <w:rFonts w:hint="eastAsia" w:ascii="Times New Roman" w:hAnsi="Times New Roman"/>
          <w:spacing w:val="0"/>
          <w:kern w:val="2"/>
          <w:sz w:val="32"/>
        </w:rPr>
        <w:t>四、组织实施</w:t>
      </w:r>
    </w:p>
    <w:p w14:paraId="1B2BD74C">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spacing w:val="0"/>
          <w:kern w:val="2"/>
          <w:sz w:val="32"/>
        </w:rPr>
      </w:pPr>
      <w:r>
        <w:rPr>
          <w:rStyle w:val="18"/>
          <w:rFonts w:hint="eastAsia" w:ascii="Times New Roman" w:hAnsi="Times New Roman"/>
          <w:spacing w:val="0"/>
          <w:kern w:val="2"/>
          <w:sz w:val="32"/>
        </w:rPr>
        <w:t>（一）落实主体责任。</w:t>
      </w:r>
      <w:r>
        <w:rPr>
          <w:rFonts w:hint="eastAsia" w:ascii="方正仿宋_GBK" w:hAnsi="方正仿宋_GBK" w:eastAsia="方正仿宋_GBK" w:cs="方正仿宋_GBK"/>
          <w:spacing w:val="0"/>
          <w:w w:val="100"/>
          <w:kern w:val="2"/>
          <w:sz w:val="32"/>
          <w:szCs w:val="32"/>
          <w:lang w:val="en-US" w:eastAsia="zh-CN"/>
        </w:rPr>
        <w:t>区政府将结核病防治工作纳入本区经济社会发展</w:t>
      </w:r>
      <w:r>
        <w:rPr>
          <w:rFonts w:hint="eastAsia" w:ascii="方正仿宋_GBK" w:hAnsi="方正仿宋_GBK" w:cs="方正仿宋_GBK"/>
          <w:spacing w:val="0"/>
          <w:w w:val="100"/>
          <w:kern w:val="2"/>
          <w:sz w:val="32"/>
          <w:szCs w:val="32"/>
          <w:lang w:val="en-US" w:eastAsia="zh-CN"/>
        </w:rPr>
        <w:t>规划</w:t>
      </w:r>
      <w:r>
        <w:rPr>
          <w:rFonts w:hint="eastAsia" w:ascii="方正仿宋_GBK" w:hAnsi="方正仿宋_GBK" w:eastAsia="方正仿宋_GBK" w:cs="方正仿宋_GBK"/>
          <w:spacing w:val="0"/>
          <w:w w:val="100"/>
          <w:kern w:val="2"/>
          <w:sz w:val="32"/>
          <w:szCs w:val="32"/>
          <w:lang w:val="en-US" w:eastAsia="zh-CN"/>
        </w:rPr>
        <w:t>，各部门和镇（街道）要制定本部门和辖区的结核病防治行动实施方案和计划，将目标任务落实到人，确保各项防控措施落地落实。同时确定项目负责人，统筹该项工作及对接辖区各部门和镇（街道）工作人员</w:t>
      </w:r>
      <w:r>
        <w:rPr>
          <w:rFonts w:hint="eastAsia" w:ascii="Times New Roman" w:hAnsi="Times New Roman"/>
          <w:spacing w:val="0"/>
          <w:kern w:val="2"/>
          <w:sz w:val="32"/>
        </w:rPr>
        <w:t>。</w:t>
      </w:r>
    </w:p>
    <w:p w14:paraId="7941AAF3">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spacing w:val="0"/>
          <w:kern w:val="2"/>
          <w:sz w:val="32"/>
        </w:rPr>
      </w:pPr>
      <w:r>
        <w:rPr>
          <w:rFonts w:hint="eastAsia" w:ascii="方正楷体_GBK" w:hAnsi="方正楷体_GBK" w:eastAsia="方正楷体_GBK" w:cs="方正楷体_GBK"/>
          <w:spacing w:val="0"/>
          <w:kern w:val="2"/>
          <w:sz w:val="32"/>
        </w:rPr>
        <w:t>（二）健全管理体系</w:t>
      </w:r>
      <w:r>
        <w:rPr>
          <w:rFonts w:hint="eastAsia"/>
          <w:spacing w:val="0"/>
          <w:kern w:val="2"/>
          <w:sz w:val="32"/>
          <w:lang w:eastAsia="zh-CN"/>
        </w:rPr>
        <w:t>。</w:t>
      </w:r>
      <w:r>
        <w:rPr>
          <w:rFonts w:hint="eastAsia" w:ascii="Times New Roman" w:hAnsi="Times New Roman"/>
          <w:spacing w:val="0"/>
          <w:kern w:val="2"/>
          <w:sz w:val="32"/>
        </w:rPr>
        <w:t>区卫生健康委进一步完善细化治疗转介流程，诊断病例住院或集中隔离治疗后，及时转介至患者所在镇街，落实定期上门面访服务，及时将结核</w:t>
      </w:r>
      <w:r>
        <w:rPr>
          <w:rFonts w:hint="eastAsia"/>
          <w:spacing w:val="0"/>
          <w:kern w:val="2"/>
          <w:sz w:val="32"/>
          <w:lang w:eastAsia="zh-CN"/>
        </w:rPr>
        <w:t>病</w:t>
      </w:r>
      <w:r>
        <w:rPr>
          <w:rFonts w:hint="eastAsia" w:ascii="Times New Roman" w:hAnsi="Times New Roman"/>
          <w:spacing w:val="0"/>
          <w:kern w:val="2"/>
          <w:sz w:val="32"/>
        </w:rPr>
        <w:t>患者纳入治疗管理，防止脱管漏管、脱治漏治。建立健全党政组织＋基层“网底”＋专业人员“三结合”的服务管理体系，因地制宜采取有力措施，将“包保”责任和“人盯人”机制落到实处。实行结核</w:t>
      </w:r>
      <w:r>
        <w:rPr>
          <w:rFonts w:hint="eastAsia"/>
          <w:spacing w:val="0"/>
          <w:kern w:val="2"/>
          <w:sz w:val="32"/>
          <w:lang w:eastAsia="zh-CN"/>
        </w:rPr>
        <w:t>病</w:t>
      </w:r>
      <w:r>
        <w:rPr>
          <w:rFonts w:hint="eastAsia" w:ascii="Times New Roman" w:hAnsi="Times New Roman"/>
          <w:spacing w:val="0"/>
          <w:kern w:val="2"/>
          <w:sz w:val="32"/>
        </w:rPr>
        <w:t>“l+N”管理模式</w:t>
      </w:r>
      <w:r>
        <w:rPr>
          <w:rFonts w:hint="eastAsia"/>
          <w:spacing w:val="0"/>
          <w:kern w:val="2"/>
          <w:sz w:val="32"/>
          <w:lang w:eastAsia="zh-CN"/>
        </w:rPr>
        <w:t>，即</w:t>
      </w:r>
      <w:r>
        <w:rPr>
          <w:rFonts w:hint="eastAsia" w:ascii="Times New Roman" w:hAnsi="Times New Roman"/>
          <w:spacing w:val="0"/>
          <w:kern w:val="2"/>
          <w:sz w:val="32"/>
        </w:rPr>
        <w:t>以村、社区为单位，实施1名镇街党政干部、1名疾控人员、1名镇（社区）卫生院医务人员、1名村医、1名村干部共同管理辖区N名病人，强化随访服务和后续规范治疗管理。镇街党委政府对长期流动在外、拒绝治疗及失访结核</w:t>
      </w:r>
      <w:r>
        <w:rPr>
          <w:rFonts w:hint="eastAsia"/>
          <w:spacing w:val="0"/>
          <w:kern w:val="2"/>
          <w:sz w:val="32"/>
          <w:lang w:eastAsia="zh-CN"/>
        </w:rPr>
        <w:t>病</w:t>
      </w:r>
      <w:r>
        <w:rPr>
          <w:rFonts w:hint="eastAsia" w:ascii="Times New Roman" w:hAnsi="Times New Roman"/>
          <w:spacing w:val="0"/>
          <w:kern w:val="2"/>
          <w:sz w:val="32"/>
        </w:rPr>
        <w:t>患者要进行核查追踪，动员其接受治疗管理，努力实现“应治尽治”。利用手机微信、电子药盒等手段，督促患者落实后续治疗措施，加强耐药监测，及时有效处置药品不良反应，做到规律、全程服药，实现病例从发现到疗程结束全程闭环管理，有效提高成功治疗率，减少耐药病例发生。</w:t>
      </w:r>
    </w:p>
    <w:p w14:paraId="53DD07D4">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spacing w:val="0"/>
          <w:kern w:val="2"/>
          <w:sz w:val="32"/>
        </w:rPr>
      </w:pPr>
      <w:r>
        <w:rPr>
          <w:rStyle w:val="18"/>
          <w:rFonts w:hint="eastAsia" w:ascii="Times New Roman" w:hAnsi="Times New Roman"/>
          <w:spacing w:val="0"/>
          <w:kern w:val="2"/>
          <w:sz w:val="32"/>
        </w:rPr>
        <w:t>（</w:t>
      </w:r>
      <w:r>
        <w:rPr>
          <w:rStyle w:val="18"/>
          <w:rFonts w:hint="eastAsia" w:eastAsia="方正楷体_GBK"/>
          <w:spacing w:val="0"/>
          <w:kern w:val="2"/>
          <w:sz w:val="32"/>
          <w:lang w:eastAsia="zh-CN"/>
        </w:rPr>
        <w:t>三</w:t>
      </w:r>
      <w:r>
        <w:rPr>
          <w:rStyle w:val="18"/>
          <w:rFonts w:hint="eastAsia" w:ascii="Times New Roman" w:hAnsi="Times New Roman"/>
          <w:spacing w:val="0"/>
          <w:kern w:val="2"/>
          <w:sz w:val="32"/>
        </w:rPr>
        <w:t>）加强经费保障。</w:t>
      </w:r>
      <w:r>
        <w:rPr>
          <w:rFonts w:hint="eastAsia" w:ascii="Times New Roman" w:hAnsi="Times New Roman"/>
          <w:spacing w:val="0"/>
          <w:kern w:val="2"/>
          <w:sz w:val="32"/>
        </w:rPr>
        <w:t>将结核病防治工作经费纳入</w:t>
      </w:r>
      <w:r>
        <w:rPr>
          <w:rFonts w:hint="eastAsia"/>
          <w:spacing w:val="0"/>
          <w:kern w:val="2"/>
          <w:sz w:val="32"/>
          <w:lang w:eastAsia="zh-CN"/>
        </w:rPr>
        <w:t>区</w:t>
      </w:r>
      <w:r>
        <w:rPr>
          <w:rFonts w:hint="eastAsia" w:ascii="Times New Roman" w:hAnsi="Times New Roman"/>
          <w:spacing w:val="0"/>
          <w:kern w:val="2"/>
          <w:sz w:val="32"/>
        </w:rPr>
        <w:t>级财政年度预算，保障各项防控措施顺利实施。区卫生健康</w:t>
      </w:r>
      <w:r>
        <w:rPr>
          <w:rFonts w:hint="eastAsia"/>
          <w:spacing w:val="0"/>
          <w:kern w:val="2"/>
          <w:sz w:val="32"/>
          <w:lang w:eastAsia="zh-CN"/>
        </w:rPr>
        <w:t>委</w:t>
      </w:r>
      <w:r>
        <w:rPr>
          <w:rFonts w:hint="eastAsia" w:ascii="Times New Roman" w:hAnsi="Times New Roman"/>
          <w:spacing w:val="0"/>
          <w:kern w:val="2"/>
          <w:sz w:val="32"/>
        </w:rPr>
        <w:t>会同</w:t>
      </w:r>
      <w:r>
        <w:rPr>
          <w:rFonts w:hint="eastAsia"/>
          <w:spacing w:val="0"/>
          <w:kern w:val="2"/>
          <w:sz w:val="32"/>
          <w:lang w:eastAsia="zh-CN"/>
        </w:rPr>
        <w:t>区</w:t>
      </w:r>
      <w:r>
        <w:rPr>
          <w:rFonts w:hint="eastAsia" w:ascii="Times New Roman" w:hAnsi="Times New Roman"/>
          <w:spacing w:val="0"/>
          <w:kern w:val="2"/>
          <w:sz w:val="32"/>
        </w:rPr>
        <w:t>财政</w:t>
      </w:r>
      <w:r>
        <w:rPr>
          <w:rFonts w:hint="eastAsia"/>
          <w:spacing w:val="0"/>
          <w:kern w:val="2"/>
          <w:sz w:val="32"/>
          <w:lang w:eastAsia="zh-CN"/>
        </w:rPr>
        <w:t>局</w:t>
      </w:r>
      <w:r>
        <w:rPr>
          <w:rFonts w:hint="eastAsia" w:ascii="Times New Roman" w:hAnsi="Times New Roman"/>
          <w:spacing w:val="0"/>
          <w:kern w:val="2"/>
          <w:sz w:val="32"/>
        </w:rPr>
        <w:t>、</w:t>
      </w:r>
      <w:r>
        <w:rPr>
          <w:rFonts w:hint="eastAsia"/>
          <w:spacing w:val="0"/>
          <w:kern w:val="2"/>
          <w:sz w:val="32"/>
          <w:lang w:eastAsia="zh-CN"/>
        </w:rPr>
        <w:t>区</w:t>
      </w:r>
      <w:r>
        <w:rPr>
          <w:rFonts w:hint="eastAsia" w:ascii="Times New Roman" w:hAnsi="Times New Roman"/>
          <w:spacing w:val="0"/>
          <w:kern w:val="2"/>
          <w:sz w:val="32"/>
        </w:rPr>
        <w:t>医保</w:t>
      </w:r>
      <w:r>
        <w:rPr>
          <w:rFonts w:hint="eastAsia"/>
          <w:spacing w:val="0"/>
          <w:kern w:val="2"/>
          <w:sz w:val="32"/>
          <w:lang w:eastAsia="zh-CN"/>
        </w:rPr>
        <w:t>局</w:t>
      </w:r>
      <w:r>
        <w:rPr>
          <w:rFonts w:hint="eastAsia" w:ascii="Times New Roman" w:hAnsi="Times New Roman"/>
          <w:spacing w:val="0"/>
          <w:kern w:val="2"/>
          <w:sz w:val="32"/>
        </w:rPr>
        <w:t>，统筹重大公共卫生项目、基本公共卫生服务项目开展结核病防治工作，做好基本医疗保障政策与公共卫生项目的统筹衔接，减轻结核病患者的经济负担。</w:t>
      </w:r>
    </w:p>
    <w:p w14:paraId="5E93D8B7">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方正楷体_GBK" w:hAnsi="方正楷体_GBK" w:eastAsia="方正楷体_GBK" w:cs="方正楷体_GBK"/>
          <w:spacing w:val="0"/>
          <w:kern w:val="2"/>
          <w:sz w:val="32"/>
          <w:lang w:eastAsia="zh-CN"/>
        </w:rPr>
      </w:pPr>
      <w:r>
        <w:rPr>
          <w:rFonts w:hint="eastAsia" w:ascii="方正楷体_GBK" w:hAnsi="方正楷体_GBK" w:eastAsia="方正楷体_GBK" w:cs="方正楷体_GBK"/>
          <w:spacing w:val="0"/>
          <w:kern w:val="2"/>
          <w:sz w:val="32"/>
          <w:lang w:eastAsia="zh-CN"/>
        </w:rPr>
        <w:t>（四）时间安排。</w:t>
      </w:r>
    </w:p>
    <w:p w14:paraId="6E78409C">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eastAsia="方正仿宋_GBK"/>
          <w:spacing w:val="0"/>
          <w:kern w:val="2"/>
          <w:sz w:val="32"/>
          <w:lang w:eastAsia="zh-CN"/>
        </w:rPr>
      </w:pPr>
      <w:r>
        <w:rPr>
          <w:rFonts w:hint="eastAsia" w:ascii="Times New Roman" w:hAnsi="Times New Roman"/>
          <w:spacing w:val="0"/>
          <w:kern w:val="2"/>
          <w:sz w:val="32"/>
        </w:rPr>
        <w:t>第一阶段：启动阶段（202</w:t>
      </w:r>
      <w:r>
        <w:rPr>
          <w:rFonts w:hint="eastAsia"/>
          <w:spacing w:val="0"/>
          <w:kern w:val="2"/>
          <w:sz w:val="32"/>
          <w:lang w:val="en-US" w:eastAsia="zh-CN"/>
        </w:rPr>
        <w:t>4</w:t>
      </w:r>
      <w:r>
        <w:rPr>
          <w:rFonts w:hint="eastAsia" w:ascii="Times New Roman" w:hAnsi="Times New Roman"/>
          <w:spacing w:val="0"/>
          <w:kern w:val="2"/>
          <w:sz w:val="32"/>
        </w:rPr>
        <w:t>年1</w:t>
      </w:r>
      <w:r>
        <w:rPr>
          <w:rFonts w:hint="eastAsia"/>
          <w:spacing w:val="0"/>
          <w:kern w:val="2"/>
          <w:sz w:val="32"/>
          <w:lang w:val="en-US" w:eastAsia="zh-CN"/>
        </w:rPr>
        <w:t>1</w:t>
      </w:r>
      <w:r>
        <w:rPr>
          <w:rFonts w:hint="eastAsia" w:ascii="Times New Roman" w:hAnsi="Times New Roman"/>
          <w:spacing w:val="0"/>
          <w:kern w:val="2"/>
          <w:sz w:val="32"/>
        </w:rPr>
        <w:t>月至</w:t>
      </w:r>
      <w:r>
        <w:rPr>
          <w:rFonts w:hint="eastAsia"/>
          <w:spacing w:val="0"/>
          <w:kern w:val="2"/>
          <w:sz w:val="32"/>
          <w:lang w:val="en-US" w:eastAsia="zh-CN"/>
        </w:rPr>
        <w:t>2025年</w:t>
      </w:r>
      <w:r>
        <w:rPr>
          <w:rFonts w:hint="eastAsia" w:ascii="Times New Roman" w:hAnsi="Times New Roman"/>
          <w:spacing w:val="0"/>
          <w:kern w:val="2"/>
          <w:sz w:val="32"/>
        </w:rPr>
        <w:t>6月）。全区全面启动社会动员、方案制定、机制建立、能力建设、资源筹备等工作，召开</w:t>
      </w:r>
      <w:r>
        <w:rPr>
          <w:rFonts w:hint="eastAsia"/>
          <w:spacing w:val="0"/>
          <w:kern w:val="2"/>
          <w:sz w:val="32"/>
          <w:lang w:eastAsia="zh-CN"/>
        </w:rPr>
        <w:t>结核病防治行动</w:t>
      </w:r>
      <w:r>
        <w:rPr>
          <w:rFonts w:hint="eastAsia" w:ascii="Times New Roman" w:hAnsi="Times New Roman"/>
          <w:spacing w:val="0"/>
          <w:kern w:val="2"/>
          <w:sz w:val="32"/>
        </w:rPr>
        <w:t>启动会</w:t>
      </w:r>
      <w:r>
        <w:rPr>
          <w:rFonts w:hint="eastAsia"/>
          <w:spacing w:val="0"/>
          <w:kern w:val="2"/>
          <w:sz w:val="32"/>
          <w:lang w:eastAsia="zh-CN"/>
        </w:rPr>
        <w:t>。</w:t>
      </w:r>
    </w:p>
    <w:p w14:paraId="4EC994CC">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eastAsia="方正仿宋_GBK"/>
          <w:spacing w:val="0"/>
          <w:kern w:val="2"/>
          <w:sz w:val="32"/>
          <w:lang w:eastAsia="zh-CN"/>
        </w:rPr>
      </w:pPr>
      <w:r>
        <w:rPr>
          <w:rFonts w:hint="eastAsia" w:ascii="Times New Roman" w:hAnsi="Times New Roman"/>
          <w:spacing w:val="0"/>
          <w:kern w:val="2"/>
          <w:sz w:val="32"/>
        </w:rPr>
        <w:t>第二阶段：全面实施阶段（2025年7月至2030年12月）。全</w:t>
      </w:r>
      <w:r>
        <w:rPr>
          <w:rFonts w:hint="eastAsia"/>
          <w:spacing w:val="0"/>
          <w:kern w:val="2"/>
          <w:sz w:val="32"/>
          <w:lang w:eastAsia="zh-CN"/>
        </w:rPr>
        <w:t>区</w:t>
      </w:r>
      <w:r>
        <w:rPr>
          <w:rFonts w:hint="eastAsia" w:ascii="Times New Roman" w:hAnsi="Times New Roman"/>
          <w:spacing w:val="0"/>
          <w:kern w:val="2"/>
          <w:sz w:val="32"/>
        </w:rPr>
        <w:t>集中资源、集中力量，全面实施</w:t>
      </w:r>
      <w:r>
        <w:rPr>
          <w:rFonts w:hint="eastAsia"/>
          <w:spacing w:val="0"/>
          <w:kern w:val="2"/>
          <w:sz w:val="32"/>
          <w:lang w:eastAsia="zh-CN"/>
        </w:rPr>
        <w:t>扩大筛查</w:t>
      </w:r>
      <w:r>
        <w:rPr>
          <w:rFonts w:hint="eastAsia" w:ascii="Times New Roman" w:hAnsi="Times New Roman"/>
          <w:spacing w:val="0"/>
          <w:kern w:val="2"/>
          <w:sz w:val="32"/>
        </w:rPr>
        <w:t>、</w:t>
      </w:r>
      <w:r>
        <w:rPr>
          <w:rFonts w:hint="eastAsia"/>
          <w:spacing w:val="0"/>
          <w:kern w:val="2"/>
          <w:sz w:val="32"/>
          <w:lang w:eastAsia="zh-CN"/>
        </w:rPr>
        <w:t>规范治疗</w:t>
      </w:r>
      <w:r>
        <w:rPr>
          <w:rFonts w:hint="eastAsia" w:ascii="Times New Roman" w:hAnsi="Times New Roman"/>
          <w:spacing w:val="0"/>
          <w:kern w:val="2"/>
          <w:sz w:val="32"/>
        </w:rPr>
        <w:t>、</w:t>
      </w:r>
      <w:r>
        <w:rPr>
          <w:rFonts w:hint="eastAsia"/>
          <w:spacing w:val="0"/>
          <w:kern w:val="2"/>
          <w:sz w:val="32"/>
          <w:lang w:eastAsia="zh-CN"/>
        </w:rPr>
        <w:t>遏制耐药结核</w:t>
      </w:r>
      <w:r>
        <w:rPr>
          <w:rFonts w:hint="eastAsia" w:ascii="Times New Roman" w:hAnsi="Times New Roman"/>
          <w:spacing w:val="0"/>
          <w:kern w:val="2"/>
          <w:sz w:val="32"/>
        </w:rPr>
        <w:t>、</w:t>
      </w:r>
      <w:r>
        <w:rPr>
          <w:rFonts w:hint="eastAsia"/>
          <w:spacing w:val="0"/>
          <w:kern w:val="2"/>
          <w:sz w:val="32"/>
          <w:lang w:eastAsia="zh-CN"/>
        </w:rPr>
        <w:t>患者关爱</w:t>
      </w:r>
      <w:r>
        <w:rPr>
          <w:rFonts w:hint="eastAsia" w:ascii="Times New Roman" w:hAnsi="Times New Roman"/>
          <w:spacing w:val="0"/>
          <w:kern w:val="2"/>
          <w:sz w:val="32"/>
        </w:rPr>
        <w:t>、</w:t>
      </w:r>
      <w:r>
        <w:rPr>
          <w:rFonts w:hint="eastAsia"/>
          <w:spacing w:val="0"/>
          <w:kern w:val="2"/>
          <w:sz w:val="32"/>
          <w:lang w:eastAsia="zh-CN"/>
        </w:rPr>
        <w:t>预防阻断、宣传普及、能力提升</w:t>
      </w:r>
      <w:r>
        <w:rPr>
          <w:rFonts w:hint="eastAsia" w:ascii="Times New Roman" w:hAnsi="Times New Roman"/>
          <w:spacing w:val="0"/>
          <w:kern w:val="2"/>
          <w:sz w:val="32"/>
        </w:rPr>
        <w:t>“</w:t>
      </w:r>
      <w:r>
        <w:rPr>
          <w:rFonts w:hint="eastAsia"/>
          <w:spacing w:val="0"/>
          <w:kern w:val="2"/>
          <w:sz w:val="32"/>
          <w:lang w:eastAsia="zh-CN"/>
        </w:rPr>
        <w:t>七</w:t>
      </w:r>
      <w:r>
        <w:rPr>
          <w:rFonts w:hint="eastAsia" w:ascii="Times New Roman" w:hAnsi="Times New Roman"/>
          <w:spacing w:val="0"/>
          <w:kern w:val="2"/>
          <w:sz w:val="32"/>
        </w:rPr>
        <w:t>大行动”。</w:t>
      </w:r>
      <w:r>
        <w:rPr>
          <w:rFonts w:hint="eastAsia"/>
          <w:spacing w:val="0"/>
          <w:kern w:val="2"/>
          <w:sz w:val="32"/>
          <w:lang w:eastAsia="zh-CN"/>
        </w:rPr>
        <w:t>到</w:t>
      </w:r>
      <w:r>
        <w:rPr>
          <w:rFonts w:hint="eastAsia"/>
          <w:spacing w:val="0"/>
          <w:kern w:val="2"/>
          <w:sz w:val="32"/>
          <w:lang w:val="en-US" w:eastAsia="zh-CN"/>
        </w:rPr>
        <w:t>2030年，全区报告发病率</w:t>
      </w:r>
      <w:r>
        <w:rPr>
          <w:rFonts w:hint="eastAsia" w:ascii="Times New Roman" w:hAnsi="Times New Roman"/>
          <w:spacing w:val="0"/>
          <w:kern w:val="2"/>
          <w:sz w:val="32"/>
        </w:rPr>
        <w:t>较2023年下降45%</w:t>
      </w:r>
      <w:r>
        <w:rPr>
          <w:rFonts w:hint="eastAsia"/>
          <w:spacing w:val="0"/>
          <w:kern w:val="2"/>
          <w:sz w:val="32"/>
          <w:lang w:eastAsia="zh-CN"/>
        </w:rPr>
        <w:t>，降</w:t>
      </w:r>
      <w:r>
        <w:rPr>
          <w:rFonts w:hint="eastAsia" w:ascii="Times New Roman" w:hAnsi="Times New Roman"/>
          <w:spacing w:val="0"/>
          <w:kern w:val="2"/>
          <w:sz w:val="32"/>
        </w:rPr>
        <w:t>至24/10</w:t>
      </w:r>
      <w:r>
        <w:rPr>
          <w:rFonts w:hint="eastAsia"/>
          <w:spacing w:val="0"/>
          <w:kern w:val="2"/>
          <w:sz w:val="32"/>
          <w:lang w:eastAsia="zh-CN"/>
        </w:rPr>
        <w:t>万。</w:t>
      </w:r>
    </w:p>
    <w:p w14:paraId="6BB47F29">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spacing w:val="0"/>
          <w:kern w:val="2"/>
          <w:sz w:val="32"/>
        </w:rPr>
      </w:pPr>
      <w:r>
        <w:rPr>
          <w:rFonts w:hint="eastAsia" w:ascii="Times New Roman" w:hAnsi="Times New Roman"/>
          <w:spacing w:val="0"/>
          <w:kern w:val="2"/>
          <w:sz w:val="32"/>
        </w:rPr>
        <w:t>第三阶段：巩固提升阶段（2031年1月至2035年6月）。全</w:t>
      </w:r>
      <w:r>
        <w:rPr>
          <w:rFonts w:hint="eastAsia"/>
          <w:spacing w:val="0"/>
          <w:kern w:val="2"/>
          <w:sz w:val="32"/>
          <w:lang w:eastAsia="zh-CN"/>
        </w:rPr>
        <w:t>区</w:t>
      </w:r>
      <w:r>
        <w:rPr>
          <w:rFonts w:hint="eastAsia" w:ascii="Times New Roman" w:hAnsi="Times New Roman"/>
          <w:spacing w:val="0"/>
          <w:kern w:val="2"/>
          <w:sz w:val="32"/>
        </w:rPr>
        <w:t>全面梳理行动工作任务，逐项开展查漏补缺，力争各项核心指标和目标任务达标。</w:t>
      </w:r>
    </w:p>
    <w:p w14:paraId="7234A383">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spacing w:val="0"/>
          <w:kern w:val="2"/>
          <w:sz w:val="32"/>
        </w:rPr>
      </w:pPr>
      <w:r>
        <w:rPr>
          <w:rFonts w:hint="eastAsia" w:ascii="Times New Roman" w:hAnsi="Times New Roman"/>
          <w:spacing w:val="0"/>
          <w:kern w:val="2"/>
          <w:sz w:val="32"/>
        </w:rPr>
        <w:t>第四阶段：终期评估阶段（2035年7月到12月）。开展结核</w:t>
      </w:r>
      <w:r>
        <w:rPr>
          <w:rFonts w:hint="eastAsia"/>
          <w:spacing w:val="0"/>
          <w:kern w:val="2"/>
          <w:sz w:val="32"/>
          <w:lang w:eastAsia="zh-CN"/>
        </w:rPr>
        <w:t>病</w:t>
      </w:r>
      <w:r>
        <w:rPr>
          <w:rFonts w:hint="eastAsia" w:ascii="Times New Roman" w:hAnsi="Times New Roman"/>
          <w:spacing w:val="0"/>
          <w:kern w:val="2"/>
          <w:sz w:val="32"/>
        </w:rPr>
        <w:t>综合防治工作效果评估，总结行动工作经验并持续推广实施，推进全</w:t>
      </w:r>
      <w:r>
        <w:rPr>
          <w:rFonts w:hint="eastAsia"/>
          <w:spacing w:val="0"/>
          <w:kern w:val="2"/>
          <w:sz w:val="32"/>
          <w:lang w:eastAsia="zh-CN"/>
        </w:rPr>
        <w:t>区结核病</w:t>
      </w:r>
      <w:r>
        <w:rPr>
          <w:rFonts w:hint="eastAsia" w:ascii="Times New Roman" w:hAnsi="Times New Roman"/>
          <w:spacing w:val="0"/>
          <w:kern w:val="2"/>
          <w:sz w:val="32"/>
        </w:rPr>
        <w:t>综合防治再上新台阶</w:t>
      </w:r>
      <w:r>
        <w:rPr>
          <w:rFonts w:hint="eastAsia"/>
          <w:spacing w:val="0"/>
          <w:kern w:val="2"/>
          <w:sz w:val="32"/>
          <w:lang w:eastAsia="zh-CN"/>
        </w:rPr>
        <w:t>。</w:t>
      </w:r>
      <w:r>
        <w:rPr>
          <w:rFonts w:hint="eastAsia"/>
          <w:spacing w:val="0"/>
          <w:kern w:val="2"/>
          <w:sz w:val="32"/>
          <w:lang w:val="en-US" w:eastAsia="zh-CN"/>
        </w:rPr>
        <w:t>2035年报告发病率</w:t>
      </w:r>
      <w:r>
        <w:rPr>
          <w:rFonts w:hint="eastAsia" w:ascii="Times New Roman" w:hAnsi="Times New Roman"/>
          <w:spacing w:val="0"/>
          <w:kern w:val="2"/>
          <w:sz w:val="32"/>
        </w:rPr>
        <w:t>较2030年下降55%</w:t>
      </w:r>
      <w:r>
        <w:rPr>
          <w:rFonts w:hint="eastAsia"/>
          <w:spacing w:val="0"/>
          <w:kern w:val="2"/>
          <w:sz w:val="32"/>
          <w:lang w:eastAsia="zh-CN"/>
        </w:rPr>
        <w:t>，降</w:t>
      </w:r>
      <w:r>
        <w:rPr>
          <w:rFonts w:hint="eastAsia" w:ascii="Times New Roman" w:hAnsi="Times New Roman"/>
          <w:spacing w:val="0"/>
          <w:kern w:val="2"/>
          <w:sz w:val="32"/>
        </w:rPr>
        <w:t>至11/10</w:t>
      </w:r>
      <w:r>
        <w:rPr>
          <w:rFonts w:hint="eastAsia"/>
          <w:spacing w:val="0"/>
          <w:kern w:val="2"/>
          <w:sz w:val="32"/>
          <w:lang w:eastAsia="zh-CN"/>
        </w:rPr>
        <w:t>万。</w:t>
      </w:r>
    </w:p>
    <w:p w14:paraId="48EC6FC9">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spacing w:val="0"/>
          <w:kern w:val="2"/>
          <w:sz w:val="32"/>
        </w:rPr>
      </w:pPr>
      <w:r>
        <w:rPr>
          <w:rStyle w:val="18"/>
          <w:rFonts w:hint="eastAsia" w:ascii="Times New Roman" w:hAnsi="Times New Roman"/>
          <w:spacing w:val="0"/>
          <w:kern w:val="2"/>
          <w:sz w:val="32"/>
        </w:rPr>
        <w:t>（</w:t>
      </w:r>
      <w:r>
        <w:rPr>
          <w:rStyle w:val="18"/>
          <w:rFonts w:hint="eastAsia" w:eastAsia="方正楷体_GBK"/>
          <w:spacing w:val="0"/>
          <w:kern w:val="2"/>
          <w:sz w:val="32"/>
          <w:lang w:eastAsia="zh-CN"/>
        </w:rPr>
        <w:t>五</w:t>
      </w:r>
      <w:r>
        <w:rPr>
          <w:rStyle w:val="18"/>
          <w:rFonts w:hint="eastAsia" w:ascii="Times New Roman" w:hAnsi="Times New Roman"/>
          <w:spacing w:val="0"/>
          <w:kern w:val="2"/>
          <w:sz w:val="32"/>
        </w:rPr>
        <w:t>）监督与评估。</w:t>
      </w:r>
      <w:r>
        <w:rPr>
          <w:rFonts w:hint="eastAsia"/>
          <w:spacing w:val="0"/>
          <w:kern w:val="2"/>
          <w:sz w:val="32"/>
          <w:lang w:eastAsia="zh-CN"/>
        </w:rPr>
        <w:t>区</w:t>
      </w:r>
      <w:r>
        <w:rPr>
          <w:rFonts w:hint="eastAsia" w:ascii="Times New Roman" w:hAnsi="Times New Roman"/>
          <w:spacing w:val="0"/>
          <w:kern w:val="2"/>
          <w:sz w:val="32"/>
        </w:rPr>
        <w:t>级</w:t>
      </w:r>
      <w:r>
        <w:rPr>
          <w:rFonts w:hint="eastAsia"/>
          <w:spacing w:val="0"/>
          <w:kern w:val="2"/>
          <w:sz w:val="32"/>
          <w:lang w:eastAsia="zh-CN"/>
        </w:rPr>
        <w:t>相</w:t>
      </w:r>
      <w:r>
        <w:rPr>
          <w:rFonts w:hint="eastAsia" w:ascii="Times New Roman" w:hAnsi="Times New Roman"/>
          <w:spacing w:val="0"/>
          <w:kern w:val="2"/>
          <w:sz w:val="32"/>
        </w:rPr>
        <w:t>关部门</w:t>
      </w:r>
      <w:r>
        <w:rPr>
          <w:rFonts w:hint="eastAsia"/>
          <w:spacing w:val="0"/>
          <w:kern w:val="2"/>
          <w:sz w:val="32"/>
          <w:lang w:eastAsia="zh-CN"/>
        </w:rPr>
        <w:t>各司其职</w:t>
      </w:r>
      <w:r>
        <w:rPr>
          <w:rFonts w:hint="eastAsia" w:ascii="Times New Roman" w:hAnsi="Times New Roman"/>
          <w:spacing w:val="0"/>
          <w:kern w:val="2"/>
          <w:sz w:val="32"/>
        </w:rPr>
        <w:t>，</w:t>
      </w:r>
      <w:r>
        <w:rPr>
          <w:rFonts w:hint="eastAsia"/>
          <w:spacing w:val="0"/>
          <w:kern w:val="2"/>
          <w:sz w:val="32"/>
          <w:lang w:eastAsia="zh-CN"/>
        </w:rPr>
        <w:t>加强业务指导和监督管理，</w:t>
      </w:r>
      <w:r>
        <w:rPr>
          <w:rFonts w:hint="eastAsia" w:ascii="Times New Roman" w:hAnsi="Times New Roman"/>
          <w:spacing w:val="0"/>
          <w:kern w:val="2"/>
          <w:sz w:val="32"/>
        </w:rPr>
        <w:t>及时协调解决本行动方案实施过程中的有关问题和困难。</w:t>
      </w:r>
      <w:r>
        <w:rPr>
          <w:rFonts w:hint="eastAsia"/>
          <w:spacing w:val="0"/>
          <w:kern w:val="2"/>
          <w:sz w:val="32"/>
          <w:lang w:eastAsia="zh-CN"/>
        </w:rPr>
        <w:t>区</w:t>
      </w:r>
      <w:r>
        <w:rPr>
          <w:rFonts w:hint="eastAsia" w:ascii="Times New Roman" w:hAnsi="Times New Roman"/>
          <w:spacing w:val="0"/>
          <w:kern w:val="2"/>
          <w:sz w:val="32"/>
        </w:rPr>
        <w:t>重大疾病防治专项组对本行动方案实施情况进行阶段性监督和评估，确保如期实现终结结核病流行目标。</w:t>
      </w:r>
    </w:p>
    <w:p w14:paraId="37FA3089">
      <w:pPr>
        <w:keepNext w:val="0"/>
        <w:keepLines w:val="0"/>
        <w:pageBreakBefore w:val="0"/>
        <w:widowControl w:val="0"/>
        <w:tabs>
          <w:tab w:val="left" w:pos="1820"/>
          <w:tab w:val="left" w:pos="2100"/>
        </w:tabs>
        <w:kinsoku/>
        <w:wordWrap/>
        <w:overflowPunct/>
        <w:topLinePunct w:val="0"/>
        <w:autoSpaceDE/>
        <w:autoSpaceDN/>
        <w:bidi w:val="0"/>
        <w:adjustRightInd w:val="0"/>
        <w:snapToGrid/>
        <w:spacing w:line="594" w:lineRule="exact"/>
        <w:ind w:left="0" w:leftChars="0" w:right="0" w:rightChars="0" w:firstLine="632" w:firstLineChars="200"/>
        <w:jc w:val="both"/>
        <w:textAlignment w:val="auto"/>
        <w:outlineLvl w:val="9"/>
        <w:rPr>
          <w:rFonts w:hint="eastAsia" w:ascii="Times New Roman" w:hAnsi="Times New Roman"/>
          <w:spacing w:val="0"/>
          <w:kern w:val="2"/>
          <w:sz w:val="32"/>
        </w:rPr>
      </w:pPr>
    </w:p>
    <w:p w14:paraId="462174F0">
      <w:pPr>
        <w:keepNext w:val="0"/>
        <w:keepLines w:val="0"/>
        <w:pageBreakBefore w:val="0"/>
        <w:widowControl w:val="0"/>
        <w:kinsoku/>
        <w:wordWrap/>
        <w:overflowPunct/>
        <w:topLinePunct w:val="0"/>
        <w:autoSpaceDE/>
        <w:autoSpaceDN/>
        <w:bidi w:val="0"/>
        <w:adjustRightInd w:val="0"/>
        <w:snapToGrid/>
        <w:spacing w:line="594" w:lineRule="exact"/>
        <w:ind w:left="2072" w:leftChars="197" w:right="0" w:rightChars="0" w:hanging="1450" w:hangingChars="459"/>
        <w:jc w:val="both"/>
        <w:textAlignment w:val="auto"/>
        <w:outlineLvl w:val="9"/>
        <w:rPr>
          <w:rFonts w:hint="eastAsia" w:ascii="Times New Roman" w:hAnsi="Times New Roman"/>
          <w:spacing w:val="-20"/>
          <w:kern w:val="2"/>
          <w:sz w:val="32"/>
        </w:rPr>
      </w:pPr>
      <w:r>
        <w:rPr>
          <w:rFonts w:hint="eastAsia" w:ascii="Times New Roman" w:hAnsi="Times New Roman"/>
          <w:spacing w:val="0"/>
          <w:kern w:val="2"/>
          <w:sz w:val="32"/>
        </w:rPr>
        <w:t>附件：</w:t>
      </w:r>
      <w:r>
        <w:rPr>
          <w:rFonts w:hint="eastAsia"/>
          <w:spacing w:val="0"/>
          <w:kern w:val="2"/>
          <w:sz w:val="32"/>
          <w:lang w:val="en-US" w:eastAsia="zh-CN"/>
        </w:rPr>
        <w:t>1.</w:t>
      </w:r>
      <w:r>
        <w:rPr>
          <w:rFonts w:hint="eastAsia"/>
          <w:spacing w:val="-28"/>
          <w:kern w:val="2"/>
          <w:sz w:val="32"/>
          <w:lang w:eastAsia="zh-CN"/>
        </w:rPr>
        <w:t>大渡口区</w:t>
      </w:r>
      <w:r>
        <w:rPr>
          <w:rFonts w:hint="eastAsia" w:ascii="Times New Roman" w:hAnsi="Times New Roman"/>
          <w:spacing w:val="-28"/>
          <w:kern w:val="2"/>
          <w:sz w:val="32"/>
        </w:rPr>
        <w:t>结核病防治行动方案（202</w:t>
      </w:r>
      <w:r>
        <w:rPr>
          <w:rFonts w:hint="eastAsia"/>
          <w:spacing w:val="-28"/>
          <w:kern w:val="2"/>
          <w:sz w:val="32"/>
          <w:lang w:val="en-US" w:eastAsia="zh-CN"/>
        </w:rPr>
        <w:t>4</w:t>
      </w:r>
      <w:r>
        <w:rPr>
          <w:rFonts w:hint="eastAsia" w:ascii="Times New Roman" w:hAnsi="Times New Roman"/>
          <w:spacing w:val="-28"/>
          <w:kern w:val="2"/>
          <w:sz w:val="32"/>
        </w:rPr>
        <w:t>—2035年）</w:t>
      </w:r>
      <w:r>
        <w:rPr>
          <w:rFonts w:hint="eastAsia"/>
          <w:spacing w:val="-28"/>
          <w:kern w:val="2"/>
          <w:sz w:val="32"/>
          <w:lang w:eastAsia="zh-CN"/>
        </w:rPr>
        <w:t>具</w:t>
      </w:r>
      <w:r>
        <w:rPr>
          <w:rFonts w:hint="eastAsia" w:ascii="Times New Roman" w:hAnsi="Times New Roman"/>
          <w:spacing w:val="-28"/>
          <w:kern w:val="2"/>
          <w:sz w:val="32"/>
        </w:rPr>
        <w:t>体工作目标</w:t>
      </w:r>
    </w:p>
    <w:p w14:paraId="7EB7E1B2">
      <w:pPr>
        <w:keepNext w:val="0"/>
        <w:keepLines w:val="0"/>
        <w:pageBreakBefore w:val="0"/>
        <w:widowControl w:val="0"/>
        <w:numPr>
          <w:ilvl w:val="-1"/>
          <w:numId w:val="0"/>
        </w:numPr>
        <w:kinsoku/>
        <w:wordWrap/>
        <w:overflowPunct/>
        <w:topLinePunct w:val="0"/>
        <w:autoSpaceDE/>
        <w:autoSpaceDN/>
        <w:bidi w:val="0"/>
        <w:adjustRightInd w:val="0"/>
        <w:snapToGrid/>
        <w:spacing w:after="0" w:line="594" w:lineRule="exact"/>
        <w:ind w:left="0" w:leftChars="0" w:firstLine="1580" w:firstLineChars="500"/>
        <w:jc w:val="both"/>
        <w:textAlignment w:val="auto"/>
        <w:outlineLvl w:val="9"/>
        <w:rPr>
          <w:rFonts w:hint="eastAsia" w:ascii="方正仿宋_GBK" w:hAnsi="方正仿宋_GBK" w:eastAsia="方正仿宋_GBK" w:cs="方正仿宋_GBK"/>
          <w:spacing w:val="0"/>
          <w:kern w:val="2"/>
          <w:sz w:val="32"/>
          <w:szCs w:val="32"/>
          <w:lang w:val="en-US" w:eastAsia="zh-CN"/>
        </w:rPr>
      </w:pPr>
      <w:r>
        <w:rPr>
          <w:rFonts w:hint="eastAsia"/>
          <w:spacing w:val="0"/>
          <w:kern w:val="2"/>
          <w:sz w:val="32"/>
          <w:lang w:val="en-US" w:eastAsia="zh-CN"/>
        </w:rPr>
        <w:t>2.</w:t>
      </w:r>
      <w:r>
        <w:rPr>
          <w:rFonts w:hint="eastAsia" w:ascii="Times New Roman" w:hAnsi="Times New Roman"/>
          <w:spacing w:val="0"/>
          <w:kern w:val="2"/>
          <w:sz w:val="32"/>
        </w:rPr>
        <w:t>重庆市结核病疫情地区分类标准和防治策略</w:t>
      </w:r>
    </w:p>
    <w:p w14:paraId="51FB1FC0">
      <w:pPr>
        <w:keepNext w:val="0"/>
        <w:keepLines w:val="0"/>
        <w:pageBreakBefore w:val="0"/>
        <w:widowControl w:val="0"/>
        <w:numPr>
          <w:ilvl w:val="-1"/>
          <w:numId w:val="0"/>
        </w:numPr>
        <w:kinsoku/>
        <w:wordWrap/>
        <w:overflowPunct/>
        <w:topLinePunct w:val="0"/>
        <w:autoSpaceDE/>
        <w:autoSpaceDN/>
        <w:bidi w:val="0"/>
        <w:adjustRightInd w:val="0"/>
        <w:snapToGrid/>
        <w:spacing w:after="0" w:line="594" w:lineRule="exact"/>
        <w:ind w:left="0" w:leftChars="0" w:firstLine="1580" w:firstLineChars="500"/>
        <w:jc w:val="both"/>
        <w:textAlignment w:val="auto"/>
        <w:outlineLvl w:val="9"/>
        <w:rPr>
          <w:rFonts w:hint="eastAsia" w:ascii="方正仿宋_GBK" w:hAnsi="方正仿宋_GBK" w:eastAsia="方正仿宋_GBK" w:cs="方正仿宋_GBK"/>
          <w:spacing w:val="-28"/>
          <w:kern w:val="0"/>
          <w:sz w:val="32"/>
          <w:szCs w:val="32"/>
          <w:lang w:val="en-US" w:eastAsia="zh-CN"/>
        </w:rPr>
      </w:pPr>
      <w:r>
        <w:rPr>
          <w:rFonts w:hint="default" w:ascii="Times New Roman" w:hAnsi="Times New Roman" w:cs="Times New Roman"/>
          <w:spacing w:val="0"/>
          <w:kern w:val="2"/>
          <w:sz w:val="32"/>
          <w:szCs w:val="32"/>
          <w:lang w:val="en-US" w:eastAsia="zh-CN"/>
        </w:rPr>
        <w:t>3.</w:t>
      </w:r>
      <w:r>
        <w:rPr>
          <w:rFonts w:hint="eastAsia" w:ascii="方正仿宋_GBK" w:hAnsi="方正仿宋_GBK" w:eastAsia="方正仿宋_GBK" w:cs="方正仿宋_GBK"/>
          <w:i w:val="0"/>
          <w:iCs w:val="0"/>
          <w:color w:val="000000"/>
          <w:spacing w:val="-28"/>
          <w:kern w:val="0"/>
          <w:sz w:val="32"/>
          <w:szCs w:val="32"/>
          <w:u w:val="none"/>
          <w:lang w:val="en-US" w:eastAsia="zh-CN" w:bidi="ar"/>
        </w:rPr>
        <w:t>大渡口区结核病防治行动方案各部门工作任务分解表</w:t>
      </w:r>
      <w:r>
        <w:rPr>
          <w:rFonts w:hint="eastAsia" w:ascii="方正仿宋_GBK" w:hAnsi="方正仿宋_GBK" w:cs="方正仿宋_GBK"/>
          <w:i w:val="0"/>
          <w:iCs w:val="0"/>
          <w:color w:val="000000"/>
          <w:spacing w:val="-28"/>
          <w:kern w:val="0"/>
          <w:sz w:val="32"/>
          <w:szCs w:val="32"/>
          <w:u w:val="none"/>
          <w:lang w:val="en-US" w:eastAsia="zh-CN" w:bidi="ar"/>
        </w:rPr>
        <w:t xml:space="preserve"> </w:t>
      </w:r>
    </w:p>
    <w:p w14:paraId="521CFB18">
      <w:pPr>
        <w:keepNext w:val="0"/>
        <w:keepLines w:val="0"/>
        <w:pageBreakBefore w:val="0"/>
        <w:widowControl w:val="0"/>
        <w:numPr>
          <w:ilvl w:val="-1"/>
          <w:numId w:val="0"/>
        </w:numPr>
        <w:kinsoku/>
        <w:wordWrap/>
        <w:overflowPunct/>
        <w:topLinePunct w:val="0"/>
        <w:autoSpaceDE/>
        <w:autoSpaceDN/>
        <w:bidi w:val="0"/>
        <w:adjustRightInd w:val="0"/>
        <w:snapToGrid/>
        <w:spacing w:after="0" w:line="594" w:lineRule="exact"/>
        <w:ind w:left="0" w:leftChars="0" w:firstLine="1580" w:firstLineChars="500"/>
        <w:jc w:val="both"/>
        <w:textAlignment w:val="auto"/>
        <w:outlineLvl w:val="9"/>
        <w:rPr>
          <w:rFonts w:hint="eastAsia" w:ascii="方正仿宋_GBK" w:hAnsi="方正仿宋_GBK" w:eastAsia="方正仿宋_GBK" w:cs="方正仿宋_GBK"/>
          <w:sz w:val="32"/>
          <w:szCs w:val="32"/>
          <w:lang w:val="en-US" w:eastAsia="zh-CN"/>
        </w:rPr>
      </w:pPr>
      <w:r>
        <w:rPr>
          <w:rFonts w:hint="default" w:ascii="Times New Roman" w:hAnsi="Times New Roman" w:cs="Times New Roman"/>
          <w:spacing w:val="0"/>
          <w:kern w:val="2"/>
          <w:sz w:val="32"/>
          <w:szCs w:val="32"/>
          <w:lang w:val="en-US" w:eastAsia="zh-CN"/>
        </w:rPr>
        <w:t>4</w:t>
      </w:r>
      <w:r>
        <w:rPr>
          <w:rFonts w:hint="eastAsia" w:ascii="方正仿宋_GBK" w:hAnsi="方正仿宋_GBK" w:cs="方正仿宋_GBK"/>
          <w:spacing w:val="0"/>
          <w:kern w:val="2"/>
          <w:sz w:val="32"/>
          <w:szCs w:val="32"/>
          <w:lang w:val="en-US" w:eastAsia="zh-CN"/>
        </w:rPr>
        <w:t>.</w:t>
      </w:r>
      <w:r>
        <w:rPr>
          <w:rFonts w:hint="eastAsia" w:ascii="方正仿宋_GBK" w:hAnsi="方正仿宋_GBK" w:eastAsia="方正仿宋_GBK" w:cs="方正仿宋_GBK"/>
          <w:spacing w:val="0"/>
          <w:kern w:val="2"/>
          <w:sz w:val="32"/>
          <w:szCs w:val="32"/>
          <w:lang w:val="en-US" w:eastAsia="zh-CN"/>
        </w:rPr>
        <w:t>大渡口区结核病防治工作部门联络人</w:t>
      </w:r>
    </w:p>
    <w:p w14:paraId="7463453C">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5F64196E">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0D0A048F">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47BE763D">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03F09EA4">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0BD28C0A">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22646713">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4A19091D">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1AA8B674">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59402F46">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09C9D845">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78C738E2">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7453B6FE">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21C6F045">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7E8FEA80">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2E106460">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22D59DB2">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33964E5E">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22CE949F">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26FD6FB7">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7E5A10ED">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35043315">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1F3AF776">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30FB6510">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p>
    <w:p w14:paraId="0E3DCF56">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Times New Roman" w:hAnsi="Times New Roman" w:eastAsia="方正黑体_GBK" w:cs="方正黑体_GBK"/>
        </w:rPr>
      </w:pPr>
      <w:r>
        <w:rPr>
          <w:rFonts w:hint="eastAsia" w:ascii="Times New Roman" w:hAnsi="Times New Roman" w:eastAsia="方正黑体_GBK" w:cs="方正黑体_GBK"/>
        </w:rPr>
        <w:t>附件1</w:t>
      </w:r>
    </w:p>
    <w:p w14:paraId="748CD4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ascii="Times New Roman" w:hAnsi="Times New Roman"/>
          <w:sz w:val="24"/>
          <w:szCs w:val="24"/>
        </w:rPr>
      </w:pPr>
    </w:p>
    <w:p w14:paraId="57B13B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rPr>
      </w:pPr>
      <w:r>
        <w:rPr>
          <w:rFonts w:hint="eastAsia" w:eastAsia="方正小标宋_GBK" w:cs="方正小标宋_GBK"/>
          <w:sz w:val="44"/>
          <w:szCs w:val="44"/>
          <w:lang w:eastAsia="zh-CN"/>
        </w:rPr>
        <w:t>大渡口区</w:t>
      </w:r>
      <w:r>
        <w:rPr>
          <w:rFonts w:hint="eastAsia" w:ascii="Times New Roman" w:hAnsi="Times New Roman" w:eastAsia="方正小标宋_GBK" w:cs="方正小标宋_GBK"/>
          <w:sz w:val="44"/>
          <w:szCs w:val="44"/>
        </w:rPr>
        <w:t>结核病防治行动方案</w:t>
      </w:r>
    </w:p>
    <w:p w14:paraId="1958597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（202</w:t>
      </w:r>
      <w:r>
        <w:rPr>
          <w:rFonts w:hint="eastAsia" w:eastAsia="方正小标宋_GBK" w:cs="方正小标宋_GBK"/>
          <w:sz w:val="44"/>
          <w:szCs w:val="44"/>
          <w:lang w:val="en-US" w:eastAsia="zh-CN"/>
        </w:rPr>
        <w:t>4</w:t>
      </w:r>
      <w:r>
        <w:rPr>
          <w:rFonts w:hint="eastAsia" w:ascii="Times New Roman" w:hAnsi="Times New Roman" w:eastAsia="方正小标宋_GBK" w:cs="方正小标宋_GBK"/>
          <w:sz w:val="44"/>
          <w:szCs w:val="44"/>
        </w:rPr>
        <w:t>—2035年）具体工作目标</w:t>
      </w:r>
    </w:p>
    <w:p w14:paraId="25FA638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ascii="Times New Roman" w:hAnsi="Times New Roman"/>
          <w:sz w:val="24"/>
          <w:szCs w:val="24"/>
        </w:rPr>
      </w:pP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797"/>
        <w:gridCol w:w="1500"/>
        <w:gridCol w:w="1550"/>
        <w:gridCol w:w="1247"/>
        <w:gridCol w:w="1155"/>
        <w:gridCol w:w="990"/>
        <w:gridCol w:w="855"/>
        <w:gridCol w:w="920"/>
      </w:tblGrid>
      <w:tr w14:paraId="48C6BE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97" w:type="dxa"/>
            <w:noWrap w:val="0"/>
            <w:tcMar>
              <w:top w:w="85" w:type="dxa"/>
              <w:left w:w="113" w:type="dxa"/>
              <w:bottom w:w="85" w:type="dxa"/>
              <w:right w:w="113" w:type="dxa"/>
            </w:tcMar>
            <w:vAlign w:val="center"/>
          </w:tcPr>
          <w:p w14:paraId="7ADB4FE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指标</w:t>
            </w:r>
          </w:p>
          <w:p w14:paraId="1A6DAF8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分类</w:t>
            </w:r>
          </w:p>
        </w:tc>
        <w:tc>
          <w:tcPr>
            <w:tcW w:w="3050" w:type="dxa"/>
            <w:gridSpan w:val="2"/>
            <w:noWrap w:val="0"/>
            <w:tcMar>
              <w:top w:w="85" w:type="dxa"/>
              <w:left w:w="113" w:type="dxa"/>
              <w:bottom w:w="85" w:type="dxa"/>
              <w:right w:w="113" w:type="dxa"/>
            </w:tcMar>
            <w:vAlign w:val="center"/>
          </w:tcPr>
          <w:p w14:paraId="5276919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指标名称</w:t>
            </w:r>
          </w:p>
        </w:tc>
        <w:tc>
          <w:tcPr>
            <w:tcW w:w="1247" w:type="dxa"/>
            <w:noWrap w:val="0"/>
            <w:tcMar>
              <w:top w:w="85" w:type="dxa"/>
              <w:left w:w="113" w:type="dxa"/>
              <w:bottom w:w="85" w:type="dxa"/>
              <w:right w:w="113" w:type="dxa"/>
            </w:tcMar>
            <w:vAlign w:val="center"/>
          </w:tcPr>
          <w:p w14:paraId="0EA214B5">
            <w:pPr>
              <w:keepNext w:val="0"/>
              <w:keepLines w:val="0"/>
              <w:pageBreakBefore w:val="0"/>
              <w:widowControl w:val="0"/>
              <w:kinsoku/>
              <w:wordWrap/>
              <w:overflowPunct/>
              <w:topLinePunct w:val="0"/>
              <w:autoSpaceDE/>
              <w:autoSpaceDN/>
              <w:bidi w:val="0"/>
              <w:adjustRightInd/>
              <w:snapToGrid/>
              <w:spacing w:line="300" w:lineRule="exact"/>
              <w:ind w:left="-158" w:leftChars="-50" w:right="-158" w:rightChars="-50"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2023</w:t>
            </w:r>
            <w:r>
              <w:rPr>
                <w:rFonts w:hint="eastAsia" w:ascii="方正仿宋_GBK" w:hAnsi="方正仿宋_GBK" w:eastAsia="方正仿宋_GBK" w:cs="方正仿宋_GBK"/>
                <w:sz w:val="22"/>
                <w:szCs w:val="22"/>
              </w:rPr>
              <w:t>年</w:t>
            </w:r>
          </w:p>
        </w:tc>
        <w:tc>
          <w:tcPr>
            <w:tcW w:w="1155" w:type="dxa"/>
            <w:noWrap w:val="0"/>
            <w:tcMar>
              <w:top w:w="85" w:type="dxa"/>
              <w:left w:w="113" w:type="dxa"/>
              <w:bottom w:w="85" w:type="dxa"/>
              <w:right w:w="113" w:type="dxa"/>
            </w:tcMar>
            <w:vAlign w:val="center"/>
          </w:tcPr>
          <w:p w14:paraId="4F4379CA">
            <w:pPr>
              <w:keepNext w:val="0"/>
              <w:keepLines w:val="0"/>
              <w:pageBreakBefore w:val="0"/>
              <w:widowControl w:val="0"/>
              <w:kinsoku/>
              <w:wordWrap/>
              <w:overflowPunct/>
              <w:topLinePunct w:val="0"/>
              <w:autoSpaceDE/>
              <w:autoSpaceDN/>
              <w:bidi w:val="0"/>
              <w:adjustRightInd/>
              <w:snapToGrid/>
              <w:spacing w:line="300" w:lineRule="exact"/>
              <w:ind w:left="-158" w:leftChars="-50" w:right="-158" w:rightChars="-50"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2025</w:t>
            </w:r>
            <w:r>
              <w:rPr>
                <w:rFonts w:hint="eastAsia" w:ascii="方正仿宋_GBK" w:hAnsi="方正仿宋_GBK" w:eastAsia="方正仿宋_GBK" w:cs="方正仿宋_GBK"/>
                <w:sz w:val="22"/>
                <w:szCs w:val="22"/>
              </w:rPr>
              <w:t>年</w:t>
            </w:r>
          </w:p>
        </w:tc>
        <w:tc>
          <w:tcPr>
            <w:tcW w:w="990" w:type="dxa"/>
            <w:noWrap w:val="0"/>
            <w:tcMar>
              <w:top w:w="85" w:type="dxa"/>
              <w:left w:w="113" w:type="dxa"/>
              <w:bottom w:w="85" w:type="dxa"/>
              <w:right w:w="113" w:type="dxa"/>
            </w:tcMar>
            <w:vAlign w:val="center"/>
          </w:tcPr>
          <w:p w14:paraId="56AE64C6">
            <w:pPr>
              <w:keepNext w:val="0"/>
              <w:keepLines w:val="0"/>
              <w:pageBreakBefore w:val="0"/>
              <w:widowControl w:val="0"/>
              <w:kinsoku/>
              <w:wordWrap/>
              <w:overflowPunct/>
              <w:topLinePunct w:val="0"/>
              <w:autoSpaceDE/>
              <w:autoSpaceDN/>
              <w:bidi w:val="0"/>
              <w:adjustRightInd/>
              <w:snapToGrid/>
              <w:spacing w:line="300" w:lineRule="exact"/>
              <w:ind w:left="-158" w:leftChars="-50" w:right="-158" w:rightChars="-50"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2027</w:t>
            </w:r>
            <w:r>
              <w:rPr>
                <w:rFonts w:hint="eastAsia" w:ascii="方正仿宋_GBK" w:hAnsi="方正仿宋_GBK" w:eastAsia="方正仿宋_GBK" w:cs="方正仿宋_GBK"/>
                <w:sz w:val="22"/>
                <w:szCs w:val="22"/>
              </w:rPr>
              <w:t>年</w:t>
            </w:r>
          </w:p>
        </w:tc>
        <w:tc>
          <w:tcPr>
            <w:tcW w:w="855" w:type="dxa"/>
            <w:noWrap w:val="0"/>
            <w:tcMar>
              <w:top w:w="85" w:type="dxa"/>
              <w:left w:w="113" w:type="dxa"/>
              <w:bottom w:w="85" w:type="dxa"/>
              <w:right w:w="113" w:type="dxa"/>
            </w:tcMar>
            <w:vAlign w:val="center"/>
          </w:tcPr>
          <w:p w14:paraId="68DF035A">
            <w:pPr>
              <w:keepNext w:val="0"/>
              <w:keepLines w:val="0"/>
              <w:pageBreakBefore w:val="0"/>
              <w:widowControl w:val="0"/>
              <w:kinsoku/>
              <w:wordWrap/>
              <w:overflowPunct/>
              <w:topLinePunct w:val="0"/>
              <w:autoSpaceDE/>
              <w:autoSpaceDN/>
              <w:bidi w:val="0"/>
              <w:adjustRightInd/>
              <w:snapToGrid/>
              <w:spacing w:line="300" w:lineRule="exact"/>
              <w:ind w:left="-158" w:leftChars="-50" w:right="-158" w:rightChars="-50"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2030</w:t>
            </w:r>
            <w:r>
              <w:rPr>
                <w:rFonts w:hint="eastAsia" w:ascii="方正仿宋_GBK" w:hAnsi="方正仿宋_GBK" w:eastAsia="方正仿宋_GBK" w:cs="方正仿宋_GBK"/>
                <w:sz w:val="22"/>
                <w:szCs w:val="22"/>
              </w:rPr>
              <w:t>年</w:t>
            </w:r>
          </w:p>
        </w:tc>
        <w:tc>
          <w:tcPr>
            <w:tcW w:w="920" w:type="dxa"/>
            <w:noWrap w:val="0"/>
            <w:tcMar>
              <w:top w:w="85" w:type="dxa"/>
              <w:left w:w="113" w:type="dxa"/>
              <w:bottom w:w="85" w:type="dxa"/>
              <w:right w:w="113" w:type="dxa"/>
            </w:tcMar>
            <w:vAlign w:val="center"/>
          </w:tcPr>
          <w:p w14:paraId="3464EC0D">
            <w:pPr>
              <w:keepNext w:val="0"/>
              <w:keepLines w:val="0"/>
              <w:pageBreakBefore w:val="0"/>
              <w:widowControl w:val="0"/>
              <w:kinsoku/>
              <w:wordWrap/>
              <w:overflowPunct/>
              <w:topLinePunct w:val="0"/>
              <w:autoSpaceDE/>
              <w:autoSpaceDN/>
              <w:bidi w:val="0"/>
              <w:adjustRightInd/>
              <w:snapToGrid/>
              <w:spacing w:line="300" w:lineRule="exact"/>
              <w:ind w:left="-158" w:leftChars="-50" w:right="-158" w:rightChars="-50"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203</w:t>
            </w:r>
            <w:r>
              <w:rPr>
                <w:rFonts w:hint="default" w:ascii="Times New Roman" w:hAnsi="Times New Roman" w:eastAsia="方正仿宋_GBK" w:cs="Times New Roman"/>
                <w:sz w:val="22"/>
                <w:szCs w:val="22"/>
                <w:lang w:val="en"/>
              </w:rPr>
              <w:t>5</w:t>
            </w:r>
            <w:r>
              <w:rPr>
                <w:rFonts w:hint="eastAsia" w:ascii="方正仿宋_GBK" w:hAnsi="方正仿宋_GBK" w:eastAsia="方正仿宋_GBK" w:cs="方正仿宋_GBK"/>
                <w:sz w:val="22"/>
                <w:szCs w:val="22"/>
              </w:rPr>
              <w:t>年</w:t>
            </w:r>
          </w:p>
        </w:tc>
      </w:tr>
      <w:tr w14:paraId="6EF2F2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97" w:type="dxa"/>
            <w:noWrap w:val="0"/>
            <w:tcMar>
              <w:top w:w="85" w:type="dxa"/>
              <w:left w:w="113" w:type="dxa"/>
              <w:bottom w:w="85" w:type="dxa"/>
              <w:right w:w="113" w:type="dxa"/>
            </w:tcMar>
            <w:vAlign w:val="center"/>
          </w:tcPr>
          <w:p w14:paraId="57D27EC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总体</w:t>
            </w:r>
          </w:p>
          <w:p w14:paraId="36189BE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目标</w:t>
            </w:r>
          </w:p>
        </w:tc>
        <w:tc>
          <w:tcPr>
            <w:tcW w:w="3050" w:type="dxa"/>
            <w:gridSpan w:val="2"/>
            <w:noWrap w:val="0"/>
            <w:tcMar>
              <w:top w:w="85" w:type="dxa"/>
              <w:left w:w="113" w:type="dxa"/>
              <w:bottom w:w="85" w:type="dxa"/>
              <w:right w:w="113" w:type="dxa"/>
            </w:tcMar>
            <w:vAlign w:val="center"/>
          </w:tcPr>
          <w:p w14:paraId="3E9980D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方正仿宋_GBK" w:hAnsi="方正仿宋_GBK" w:eastAsia="方正仿宋_GBK" w:cs="方正仿宋_GBK"/>
                <w:spacing w:val="-2"/>
                <w:sz w:val="22"/>
                <w:szCs w:val="22"/>
              </w:rPr>
            </w:pPr>
            <w:r>
              <w:rPr>
                <w:rFonts w:hint="eastAsia" w:ascii="方正仿宋_GBK" w:hAnsi="方正仿宋_GBK" w:eastAsia="方正仿宋_GBK" w:cs="方正仿宋_GBK"/>
                <w:spacing w:val="-2"/>
                <w:sz w:val="22"/>
                <w:szCs w:val="22"/>
              </w:rPr>
              <w:t>全</w:t>
            </w:r>
            <w:r>
              <w:rPr>
                <w:rFonts w:hint="eastAsia" w:ascii="方正仿宋_GBK" w:hAnsi="方正仿宋_GBK" w:eastAsia="方正仿宋_GBK" w:cs="方正仿宋_GBK"/>
                <w:spacing w:val="-2"/>
                <w:sz w:val="22"/>
                <w:szCs w:val="22"/>
                <w:lang w:eastAsia="zh-CN"/>
              </w:rPr>
              <w:t>区</w:t>
            </w:r>
            <w:r>
              <w:rPr>
                <w:rFonts w:hint="eastAsia" w:ascii="方正仿宋_GBK" w:hAnsi="方正仿宋_GBK" w:eastAsia="方正仿宋_GBK" w:cs="方正仿宋_GBK"/>
                <w:spacing w:val="-2"/>
                <w:sz w:val="22"/>
                <w:szCs w:val="22"/>
              </w:rPr>
              <w:t>结核病发病率（/</w:t>
            </w:r>
            <w:r>
              <w:rPr>
                <w:rFonts w:hint="default" w:ascii="Times New Roman" w:hAnsi="Times New Roman" w:eastAsia="方正仿宋_GBK" w:cs="Times New Roman"/>
                <w:spacing w:val="-2"/>
                <w:sz w:val="22"/>
                <w:szCs w:val="22"/>
              </w:rPr>
              <w:t>10</w:t>
            </w:r>
            <w:r>
              <w:rPr>
                <w:rFonts w:hint="eastAsia" w:ascii="方正仿宋_GBK" w:hAnsi="方正仿宋_GBK" w:eastAsia="方正仿宋_GBK" w:cs="方正仿宋_GBK"/>
                <w:spacing w:val="-2"/>
                <w:sz w:val="22"/>
                <w:szCs w:val="22"/>
              </w:rPr>
              <w:t>万）</w:t>
            </w:r>
          </w:p>
        </w:tc>
        <w:tc>
          <w:tcPr>
            <w:tcW w:w="1247" w:type="dxa"/>
            <w:noWrap w:val="0"/>
            <w:tcMar>
              <w:top w:w="85" w:type="dxa"/>
              <w:left w:w="113" w:type="dxa"/>
              <w:bottom w:w="85" w:type="dxa"/>
              <w:right w:w="113" w:type="dxa"/>
            </w:tcMar>
            <w:vAlign w:val="center"/>
          </w:tcPr>
          <w:p w14:paraId="45D9B6E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eastAsia="zh-CN"/>
              </w:rPr>
            </w:pPr>
            <w:r>
              <w:rPr>
                <w:rFonts w:hint="default" w:ascii="Times New Roman" w:hAnsi="Times New Roman" w:eastAsia="方正仿宋_GBK" w:cs="Times New Roman"/>
                <w:sz w:val="22"/>
                <w:szCs w:val="22"/>
              </w:rPr>
              <w:t>4</w:t>
            </w:r>
            <w:r>
              <w:rPr>
                <w:rFonts w:hint="default" w:ascii="Times New Roman" w:hAnsi="Times New Roman" w:eastAsia="方正仿宋_GBK" w:cs="Times New Roman"/>
                <w:sz w:val="22"/>
                <w:szCs w:val="22"/>
                <w:lang w:val="en-US" w:eastAsia="zh-CN"/>
              </w:rPr>
              <w:t>3</w:t>
            </w:r>
          </w:p>
        </w:tc>
        <w:tc>
          <w:tcPr>
            <w:tcW w:w="1155" w:type="dxa"/>
            <w:noWrap w:val="0"/>
            <w:tcMar>
              <w:top w:w="85" w:type="dxa"/>
              <w:left w:w="113" w:type="dxa"/>
              <w:bottom w:w="85" w:type="dxa"/>
              <w:right w:w="113" w:type="dxa"/>
            </w:tcMar>
            <w:vAlign w:val="center"/>
          </w:tcPr>
          <w:p w14:paraId="0CCA11B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eastAsia="zh-CN"/>
              </w:rPr>
            </w:pPr>
            <w:r>
              <w:rPr>
                <w:rFonts w:hint="default" w:ascii="Times New Roman" w:hAnsi="Times New Roman" w:eastAsia="方正仿宋_GBK" w:cs="Times New Roman"/>
                <w:sz w:val="22"/>
                <w:szCs w:val="22"/>
              </w:rPr>
              <w:t>4</w:t>
            </w:r>
            <w:r>
              <w:rPr>
                <w:rFonts w:hint="default" w:ascii="Times New Roman" w:hAnsi="Times New Roman" w:eastAsia="方正仿宋_GBK" w:cs="Times New Roman"/>
                <w:sz w:val="22"/>
                <w:szCs w:val="22"/>
                <w:lang w:val="en-US" w:eastAsia="zh-CN"/>
              </w:rPr>
              <w:t>2</w:t>
            </w:r>
          </w:p>
        </w:tc>
        <w:tc>
          <w:tcPr>
            <w:tcW w:w="990" w:type="dxa"/>
            <w:noWrap w:val="0"/>
            <w:tcMar>
              <w:top w:w="85" w:type="dxa"/>
              <w:left w:w="113" w:type="dxa"/>
              <w:bottom w:w="85" w:type="dxa"/>
              <w:right w:w="113" w:type="dxa"/>
            </w:tcMar>
            <w:vAlign w:val="center"/>
          </w:tcPr>
          <w:p w14:paraId="182BCB5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35</w:t>
            </w:r>
          </w:p>
        </w:tc>
        <w:tc>
          <w:tcPr>
            <w:tcW w:w="855" w:type="dxa"/>
            <w:noWrap w:val="0"/>
            <w:tcMar>
              <w:top w:w="85" w:type="dxa"/>
              <w:left w:w="113" w:type="dxa"/>
              <w:bottom w:w="85" w:type="dxa"/>
              <w:right w:w="113" w:type="dxa"/>
            </w:tcMar>
            <w:vAlign w:val="center"/>
          </w:tcPr>
          <w:p w14:paraId="38B56A6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eastAsia="zh-CN"/>
              </w:rPr>
            </w:pPr>
            <w:r>
              <w:rPr>
                <w:rFonts w:hint="default" w:ascii="Times New Roman" w:hAnsi="Times New Roman" w:eastAsia="方正仿宋_GBK" w:cs="Times New Roman"/>
                <w:sz w:val="22"/>
                <w:szCs w:val="22"/>
              </w:rPr>
              <w:t>2</w:t>
            </w:r>
            <w:r>
              <w:rPr>
                <w:rFonts w:hint="default" w:ascii="Times New Roman" w:hAnsi="Times New Roman" w:eastAsia="方正仿宋_GBK" w:cs="Times New Roman"/>
                <w:sz w:val="22"/>
                <w:szCs w:val="22"/>
                <w:lang w:val="en-US" w:eastAsia="zh-CN"/>
              </w:rPr>
              <w:t>4</w:t>
            </w:r>
          </w:p>
        </w:tc>
        <w:tc>
          <w:tcPr>
            <w:tcW w:w="920" w:type="dxa"/>
            <w:noWrap w:val="0"/>
            <w:tcMar>
              <w:top w:w="85" w:type="dxa"/>
              <w:left w:w="113" w:type="dxa"/>
              <w:bottom w:w="85" w:type="dxa"/>
              <w:right w:w="113" w:type="dxa"/>
            </w:tcMar>
            <w:vAlign w:val="center"/>
          </w:tcPr>
          <w:p w14:paraId="50A5426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eastAsia="zh-CN"/>
              </w:rPr>
            </w:pPr>
            <w:r>
              <w:rPr>
                <w:rFonts w:hint="default" w:ascii="Times New Roman" w:hAnsi="Times New Roman" w:eastAsia="方正仿宋_GBK" w:cs="Times New Roman"/>
                <w:sz w:val="22"/>
                <w:szCs w:val="22"/>
              </w:rPr>
              <w:t>1</w:t>
            </w:r>
            <w:r>
              <w:rPr>
                <w:rFonts w:hint="default" w:ascii="Times New Roman" w:hAnsi="Times New Roman" w:eastAsia="方正仿宋_GBK" w:cs="Times New Roman"/>
                <w:sz w:val="22"/>
                <w:szCs w:val="22"/>
                <w:lang w:val="en-US" w:eastAsia="zh-CN"/>
              </w:rPr>
              <w:t>1</w:t>
            </w:r>
          </w:p>
        </w:tc>
      </w:tr>
      <w:tr w14:paraId="77FA71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97" w:type="dxa"/>
            <w:vMerge w:val="restart"/>
            <w:noWrap w:val="0"/>
            <w:tcMar>
              <w:top w:w="85" w:type="dxa"/>
              <w:left w:w="113" w:type="dxa"/>
              <w:bottom w:w="85" w:type="dxa"/>
              <w:right w:w="113" w:type="dxa"/>
            </w:tcMar>
            <w:vAlign w:val="center"/>
          </w:tcPr>
          <w:p w14:paraId="1C753F7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患者</w:t>
            </w:r>
          </w:p>
          <w:p w14:paraId="6A8F113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发现</w:t>
            </w:r>
          </w:p>
        </w:tc>
        <w:tc>
          <w:tcPr>
            <w:tcW w:w="3050" w:type="dxa"/>
            <w:gridSpan w:val="2"/>
            <w:noWrap w:val="0"/>
            <w:tcMar>
              <w:top w:w="85" w:type="dxa"/>
              <w:left w:w="113" w:type="dxa"/>
              <w:bottom w:w="85" w:type="dxa"/>
              <w:right w:w="113" w:type="dxa"/>
            </w:tcMar>
            <w:vAlign w:val="center"/>
          </w:tcPr>
          <w:p w14:paraId="5D44460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方正仿宋_GBK" w:hAnsi="方正仿宋_GBK" w:eastAsia="方正仿宋_GBK" w:cs="方正仿宋_GBK"/>
                <w:spacing w:val="-2"/>
                <w:sz w:val="22"/>
                <w:szCs w:val="22"/>
              </w:rPr>
            </w:pPr>
            <w:r>
              <w:rPr>
                <w:rFonts w:hint="eastAsia" w:ascii="方正仿宋_GBK" w:hAnsi="方正仿宋_GBK" w:eastAsia="方正仿宋_GBK" w:cs="方正仿宋_GBK"/>
                <w:spacing w:val="-2"/>
                <w:sz w:val="22"/>
                <w:szCs w:val="22"/>
              </w:rPr>
              <w:t>报告</w:t>
            </w:r>
            <w:r>
              <w:rPr>
                <w:rFonts w:hint="eastAsia" w:ascii="方正仿宋_GBK" w:hAnsi="方正仿宋_GBK" w:eastAsia="方正仿宋_GBK" w:cs="方正仿宋_GBK"/>
                <w:spacing w:val="-2"/>
                <w:sz w:val="22"/>
                <w:szCs w:val="22"/>
                <w:lang w:eastAsia="zh-CN"/>
              </w:rPr>
              <w:t>结核病</w:t>
            </w:r>
            <w:r>
              <w:rPr>
                <w:rFonts w:hint="eastAsia" w:ascii="方正仿宋_GBK" w:hAnsi="方正仿宋_GBK" w:eastAsia="方正仿宋_GBK" w:cs="方正仿宋_GBK"/>
                <w:spacing w:val="-2"/>
                <w:sz w:val="22"/>
                <w:szCs w:val="22"/>
              </w:rPr>
              <w:t>患者登记率（%）</w:t>
            </w:r>
          </w:p>
        </w:tc>
        <w:tc>
          <w:tcPr>
            <w:tcW w:w="1247" w:type="dxa"/>
            <w:noWrap w:val="0"/>
            <w:tcMar>
              <w:top w:w="85" w:type="dxa"/>
              <w:left w:w="113" w:type="dxa"/>
              <w:bottom w:w="85" w:type="dxa"/>
              <w:right w:w="113" w:type="dxa"/>
            </w:tcMar>
            <w:vAlign w:val="center"/>
          </w:tcPr>
          <w:p w14:paraId="45E6338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lang w:eastAsia="zh-CN"/>
              </w:rPr>
              <w:t>—</w:t>
            </w:r>
          </w:p>
        </w:tc>
        <w:tc>
          <w:tcPr>
            <w:tcW w:w="1155" w:type="dxa"/>
            <w:noWrap w:val="0"/>
            <w:tcMar>
              <w:top w:w="85" w:type="dxa"/>
              <w:left w:w="113" w:type="dxa"/>
              <w:bottom w:w="85" w:type="dxa"/>
              <w:right w:w="113" w:type="dxa"/>
            </w:tcMar>
            <w:vAlign w:val="center"/>
          </w:tcPr>
          <w:p w14:paraId="4B8E4DF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90</w:t>
            </w:r>
          </w:p>
        </w:tc>
        <w:tc>
          <w:tcPr>
            <w:tcW w:w="990" w:type="dxa"/>
            <w:noWrap w:val="0"/>
            <w:tcMar>
              <w:top w:w="85" w:type="dxa"/>
              <w:left w:w="113" w:type="dxa"/>
              <w:bottom w:w="85" w:type="dxa"/>
              <w:right w:w="113" w:type="dxa"/>
            </w:tcMar>
            <w:vAlign w:val="center"/>
          </w:tcPr>
          <w:p w14:paraId="0EA6479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92</w:t>
            </w:r>
          </w:p>
        </w:tc>
        <w:tc>
          <w:tcPr>
            <w:tcW w:w="855" w:type="dxa"/>
            <w:noWrap w:val="0"/>
            <w:tcMar>
              <w:top w:w="85" w:type="dxa"/>
              <w:left w:w="113" w:type="dxa"/>
              <w:bottom w:w="85" w:type="dxa"/>
              <w:right w:w="113" w:type="dxa"/>
            </w:tcMar>
            <w:vAlign w:val="center"/>
          </w:tcPr>
          <w:p w14:paraId="31BEBF1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95</w:t>
            </w:r>
          </w:p>
        </w:tc>
        <w:tc>
          <w:tcPr>
            <w:tcW w:w="920" w:type="dxa"/>
            <w:noWrap w:val="0"/>
            <w:tcMar>
              <w:top w:w="85" w:type="dxa"/>
              <w:left w:w="113" w:type="dxa"/>
              <w:bottom w:w="85" w:type="dxa"/>
              <w:right w:w="113" w:type="dxa"/>
            </w:tcMar>
            <w:vAlign w:val="center"/>
          </w:tcPr>
          <w:p w14:paraId="3142EEB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val="en-US" w:eastAsia="zh-CN"/>
              </w:rPr>
            </w:pPr>
            <w:r>
              <w:rPr>
                <w:rFonts w:hint="default" w:ascii="Times New Roman" w:hAnsi="Times New Roman" w:eastAsia="方正仿宋_GBK" w:cs="Times New Roman"/>
                <w:sz w:val="22"/>
                <w:szCs w:val="22"/>
              </w:rPr>
              <w:t>95</w:t>
            </w:r>
          </w:p>
        </w:tc>
      </w:tr>
      <w:tr w14:paraId="4B2856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97" w:type="dxa"/>
            <w:vMerge w:val="continue"/>
            <w:noWrap w:val="0"/>
            <w:tcMar>
              <w:top w:w="85" w:type="dxa"/>
              <w:left w:w="113" w:type="dxa"/>
              <w:bottom w:w="85" w:type="dxa"/>
              <w:right w:w="113" w:type="dxa"/>
            </w:tcMar>
            <w:vAlign w:val="center"/>
          </w:tcPr>
          <w:p w14:paraId="5A4AD2A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p>
        </w:tc>
        <w:tc>
          <w:tcPr>
            <w:tcW w:w="3050" w:type="dxa"/>
            <w:gridSpan w:val="2"/>
            <w:noWrap w:val="0"/>
            <w:tcMar>
              <w:top w:w="85" w:type="dxa"/>
              <w:left w:w="113" w:type="dxa"/>
              <w:bottom w:w="85" w:type="dxa"/>
              <w:right w:w="113" w:type="dxa"/>
            </w:tcMar>
            <w:vAlign w:val="center"/>
          </w:tcPr>
          <w:p w14:paraId="4CF579F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spacing w:val="-2"/>
                <w:sz w:val="22"/>
                <w:szCs w:val="22"/>
              </w:rPr>
            </w:pPr>
            <w:r>
              <w:rPr>
                <w:rFonts w:hint="eastAsia" w:ascii="方正仿宋_GBK" w:hAnsi="方正仿宋_GBK" w:eastAsia="方正仿宋_GBK" w:cs="方正仿宋_GBK"/>
                <w:spacing w:val="-2"/>
                <w:sz w:val="22"/>
                <w:szCs w:val="22"/>
              </w:rPr>
              <w:t>可疑症状者或疑似患者的病原学检查率（%）</w:t>
            </w:r>
          </w:p>
        </w:tc>
        <w:tc>
          <w:tcPr>
            <w:tcW w:w="1247" w:type="dxa"/>
            <w:noWrap w:val="0"/>
            <w:tcMar>
              <w:top w:w="85" w:type="dxa"/>
              <w:left w:w="113" w:type="dxa"/>
              <w:bottom w:w="85" w:type="dxa"/>
              <w:right w:w="113" w:type="dxa"/>
            </w:tcMar>
            <w:vAlign w:val="center"/>
          </w:tcPr>
          <w:p w14:paraId="793BD69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lang w:eastAsia="zh-CN"/>
              </w:rPr>
              <w:t>—</w:t>
            </w:r>
          </w:p>
        </w:tc>
        <w:tc>
          <w:tcPr>
            <w:tcW w:w="1155" w:type="dxa"/>
            <w:noWrap w:val="0"/>
            <w:tcMar>
              <w:top w:w="85" w:type="dxa"/>
              <w:left w:w="113" w:type="dxa"/>
              <w:bottom w:w="85" w:type="dxa"/>
              <w:right w:w="113" w:type="dxa"/>
            </w:tcMar>
            <w:vAlign w:val="center"/>
          </w:tcPr>
          <w:p w14:paraId="2F793B4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90</w:t>
            </w:r>
          </w:p>
        </w:tc>
        <w:tc>
          <w:tcPr>
            <w:tcW w:w="990" w:type="dxa"/>
            <w:noWrap w:val="0"/>
            <w:tcMar>
              <w:top w:w="85" w:type="dxa"/>
              <w:left w:w="113" w:type="dxa"/>
              <w:bottom w:w="85" w:type="dxa"/>
              <w:right w:w="113" w:type="dxa"/>
            </w:tcMar>
            <w:vAlign w:val="center"/>
          </w:tcPr>
          <w:p w14:paraId="14D4987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92</w:t>
            </w:r>
          </w:p>
        </w:tc>
        <w:tc>
          <w:tcPr>
            <w:tcW w:w="855" w:type="dxa"/>
            <w:noWrap w:val="0"/>
            <w:tcMar>
              <w:top w:w="85" w:type="dxa"/>
              <w:left w:w="113" w:type="dxa"/>
              <w:bottom w:w="85" w:type="dxa"/>
              <w:right w:w="113" w:type="dxa"/>
            </w:tcMar>
            <w:vAlign w:val="center"/>
          </w:tcPr>
          <w:p w14:paraId="60190AC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95</w:t>
            </w:r>
          </w:p>
        </w:tc>
        <w:tc>
          <w:tcPr>
            <w:tcW w:w="920" w:type="dxa"/>
            <w:noWrap w:val="0"/>
            <w:tcMar>
              <w:top w:w="85" w:type="dxa"/>
              <w:left w:w="113" w:type="dxa"/>
              <w:bottom w:w="85" w:type="dxa"/>
              <w:right w:w="113" w:type="dxa"/>
            </w:tcMar>
            <w:vAlign w:val="center"/>
          </w:tcPr>
          <w:p w14:paraId="4B2D37D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val="en-US" w:eastAsia="zh-CN"/>
              </w:rPr>
            </w:pPr>
            <w:r>
              <w:rPr>
                <w:rFonts w:hint="default" w:ascii="Times New Roman" w:hAnsi="Times New Roman" w:eastAsia="方正仿宋_GBK" w:cs="Times New Roman"/>
                <w:sz w:val="22"/>
                <w:szCs w:val="22"/>
              </w:rPr>
              <w:t>95</w:t>
            </w:r>
          </w:p>
        </w:tc>
      </w:tr>
      <w:tr w14:paraId="047ADC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97" w:type="dxa"/>
            <w:vMerge w:val="continue"/>
            <w:noWrap w:val="0"/>
            <w:tcMar>
              <w:top w:w="85" w:type="dxa"/>
              <w:left w:w="113" w:type="dxa"/>
              <w:bottom w:w="85" w:type="dxa"/>
              <w:right w:w="113" w:type="dxa"/>
            </w:tcMar>
            <w:vAlign w:val="center"/>
          </w:tcPr>
          <w:p w14:paraId="0B568C9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p>
        </w:tc>
        <w:tc>
          <w:tcPr>
            <w:tcW w:w="3050" w:type="dxa"/>
            <w:gridSpan w:val="2"/>
            <w:noWrap w:val="0"/>
            <w:tcMar>
              <w:top w:w="85" w:type="dxa"/>
              <w:left w:w="113" w:type="dxa"/>
              <w:bottom w:w="85" w:type="dxa"/>
              <w:right w:w="113" w:type="dxa"/>
            </w:tcMar>
            <w:vAlign w:val="center"/>
          </w:tcPr>
          <w:p w14:paraId="5BF6BF8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spacing w:val="-2"/>
                <w:sz w:val="22"/>
                <w:szCs w:val="22"/>
              </w:rPr>
            </w:pPr>
            <w:r>
              <w:rPr>
                <w:rFonts w:hint="eastAsia" w:ascii="方正仿宋_GBK" w:hAnsi="方正仿宋_GBK" w:eastAsia="方正仿宋_GBK" w:cs="方正仿宋_GBK"/>
                <w:spacing w:val="-2"/>
                <w:sz w:val="22"/>
                <w:szCs w:val="22"/>
              </w:rPr>
              <w:t>入学新生、高二学生结核病检查率（%）</w:t>
            </w:r>
          </w:p>
        </w:tc>
        <w:tc>
          <w:tcPr>
            <w:tcW w:w="1247" w:type="dxa"/>
            <w:noWrap w:val="0"/>
            <w:tcMar>
              <w:top w:w="85" w:type="dxa"/>
              <w:left w:w="113" w:type="dxa"/>
              <w:bottom w:w="85" w:type="dxa"/>
              <w:right w:w="113" w:type="dxa"/>
            </w:tcMar>
            <w:vAlign w:val="center"/>
          </w:tcPr>
          <w:p w14:paraId="109D737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lang w:eastAsia="zh-CN"/>
              </w:rPr>
              <w:t>—</w:t>
            </w:r>
          </w:p>
        </w:tc>
        <w:tc>
          <w:tcPr>
            <w:tcW w:w="1155" w:type="dxa"/>
            <w:noWrap w:val="0"/>
            <w:tcMar>
              <w:top w:w="85" w:type="dxa"/>
              <w:left w:w="113" w:type="dxa"/>
              <w:bottom w:w="85" w:type="dxa"/>
              <w:right w:w="113" w:type="dxa"/>
            </w:tcMar>
            <w:vAlign w:val="center"/>
          </w:tcPr>
          <w:p w14:paraId="1A00F7A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90</w:t>
            </w:r>
          </w:p>
        </w:tc>
        <w:tc>
          <w:tcPr>
            <w:tcW w:w="990" w:type="dxa"/>
            <w:noWrap w:val="0"/>
            <w:tcMar>
              <w:top w:w="85" w:type="dxa"/>
              <w:left w:w="113" w:type="dxa"/>
              <w:bottom w:w="85" w:type="dxa"/>
              <w:right w:w="113" w:type="dxa"/>
            </w:tcMar>
            <w:vAlign w:val="center"/>
          </w:tcPr>
          <w:p w14:paraId="0332998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95</w:t>
            </w:r>
          </w:p>
        </w:tc>
        <w:tc>
          <w:tcPr>
            <w:tcW w:w="855" w:type="dxa"/>
            <w:noWrap w:val="0"/>
            <w:tcMar>
              <w:top w:w="85" w:type="dxa"/>
              <w:left w:w="113" w:type="dxa"/>
              <w:bottom w:w="85" w:type="dxa"/>
              <w:right w:w="113" w:type="dxa"/>
            </w:tcMar>
            <w:vAlign w:val="center"/>
          </w:tcPr>
          <w:p w14:paraId="6A5A67C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95</w:t>
            </w:r>
          </w:p>
        </w:tc>
        <w:tc>
          <w:tcPr>
            <w:tcW w:w="920" w:type="dxa"/>
            <w:noWrap w:val="0"/>
            <w:tcMar>
              <w:top w:w="85" w:type="dxa"/>
              <w:left w:w="113" w:type="dxa"/>
              <w:bottom w:w="85" w:type="dxa"/>
              <w:right w:w="113" w:type="dxa"/>
            </w:tcMar>
            <w:vAlign w:val="center"/>
          </w:tcPr>
          <w:p w14:paraId="02585D0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val="en-US" w:eastAsia="zh-CN"/>
              </w:rPr>
            </w:pPr>
            <w:r>
              <w:rPr>
                <w:rFonts w:hint="default" w:ascii="Times New Roman" w:hAnsi="Times New Roman" w:eastAsia="方正仿宋_GBK" w:cs="Times New Roman"/>
                <w:sz w:val="22"/>
                <w:szCs w:val="22"/>
              </w:rPr>
              <w:t>95</w:t>
            </w:r>
          </w:p>
        </w:tc>
      </w:tr>
      <w:tr w14:paraId="0D70A4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97" w:type="dxa"/>
            <w:vMerge w:val="continue"/>
            <w:noWrap w:val="0"/>
            <w:tcMar>
              <w:top w:w="85" w:type="dxa"/>
              <w:left w:w="113" w:type="dxa"/>
              <w:bottom w:w="85" w:type="dxa"/>
              <w:right w:w="113" w:type="dxa"/>
            </w:tcMar>
            <w:vAlign w:val="center"/>
          </w:tcPr>
          <w:p w14:paraId="15F7CFF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p>
        </w:tc>
        <w:tc>
          <w:tcPr>
            <w:tcW w:w="3050" w:type="dxa"/>
            <w:gridSpan w:val="2"/>
            <w:noWrap w:val="0"/>
            <w:tcMar>
              <w:top w:w="85" w:type="dxa"/>
              <w:left w:w="113" w:type="dxa"/>
              <w:bottom w:w="85" w:type="dxa"/>
              <w:right w:w="113" w:type="dxa"/>
            </w:tcMar>
            <w:vAlign w:val="center"/>
          </w:tcPr>
          <w:p w14:paraId="642E07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方正仿宋_GBK" w:hAnsi="方正仿宋_GBK" w:eastAsia="方正仿宋_GBK" w:cs="方正仿宋_GBK"/>
                <w:spacing w:val="-2"/>
                <w:sz w:val="22"/>
                <w:szCs w:val="22"/>
              </w:rPr>
            </w:pPr>
            <w:r>
              <w:rPr>
                <w:rFonts w:hint="eastAsia" w:ascii="方正仿宋_GBK" w:hAnsi="方正仿宋_GBK" w:eastAsia="方正仿宋_GBK" w:cs="方正仿宋_GBK"/>
                <w:spacing w:val="-2"/>
                <w:sz w:val="22"/>
                <w:szCs w:val="22"/>
              </w:rPr>
              <w:t>教职员工结核病检查率（%）</w:t>
            </w:r>
          </w:p>
        </w:tc>
        <w:tc>
          <w:tcPr>
            <w:tcW w:w="1247" w:type="dxa"/>
            <w:noWrap w:val="0"/>
            <w:tcMar>
              <w:top w:w="85" w:type="dxa"/>
              <w:left w:w="113" w:type="dxa"/>
              <w:bottom w:w="85" w:type="dxa"/>
              <w:right w:w="113" w:type="dxa"/>
            </w:tcMar>
            <w:vAlign w:val="center"/>
          </w:tcPr>
          <w:p w14:paraId="7E8FD50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lang w:eastAsia="zh-CN"/>
              </w:rPr>
              <w:t>—</w:t>
            </w:r>
          </w:p>
        </w:tc>
        <w:tc>
          <w:tcPr>
            <w:tcW w:w="1155" w:type="dxa"/>
            <w:noWrap w:val="0"/>
            <w:tcMar>
              <w:top w:w="85" w:type="dxa"/>
              <w:left w:w="113" w:type="dxa"/>
              <w:bottom w:w="85" w:type="dxa"/>
              <w:right w:w="113" w:type="dxa"/>
            </w:tcMar>
            <w:vAlign w:val="center"/>
          </w:tcPr>
          <w:p w14:paraId="2627127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100</w:t>
            </w:r>
          </w:p>
        </w:tc>
        <w:tc>
          <w:tcPr>
            <w:tcW w:w="990" w:type="dxa"/>
            <w:noWrap w:val="0"/>
            <w:tcMar>
              <w:top w:w="85" w:type="dxa"/>
              <w:left w:w="113" w:type="dxa"/>
              <w:bottom w:w="85" w:type="dxa"/>
              <w:right w:w="113" w:type="dxa"/>
            </w:tcMar>
            <w:vAlign w:val="center"/>
          </w:tcPr>
          <w:p w14:paraId="722E822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100</w:t>
            </w:r>
          </w:p>
        </w:tc>
        <w:tc>
          <w:tcPr>
            <w:tcW w:w="855" w:type="dxa"/>
            <w:noWrap w:val="0"/>
            <w:tcMar>
              <w:top w:w="85" w:type="dxa"/>
              <w:left w:w="113" w:type="dxa"/>
              <w:bottom w:w="85" w:type="dxa"/>
              <w:right w:w="113" w:type="dxa"/>
            </w:tcMar>
            <w:vAlign w:val="center"/>
          </w:tcPr>
          <w:p w14:paraId="2A6E2FA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100</w:t>
            </w:r>
          </w:p>
        </w:tc>
        <w:tc>
          <w:tcPr>
            <w:tcW w:w="920" w:type="dxa"/>
            <w:noWrap w:val="0"/>
            <w:tcMar>
              <w:top w:w="85" w:type="dxa"/>
              <w:left w:w="113" w:type="dxa"/>
              <w:bottom w:w="85" w:type="dxa"/>
              <w:right w:w="113" w:type="dxa"/>
            </w:tcMar>
            <w:vAlign w:val="center"/>
          </w:tcPr>
          <w:p w14:paraId="287BB60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100</w:t>
            </w:r>
          </w:p>
        </w:tc>
      </w:tr>
      <w:tr w14:paraId="7CCC53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97" w:type="dxa"/>
            <w:vMerge w:val="continue"/>
            <w:noWrap w:val="0"/>
            <w:tcMar>
              <w:top w:w="85" w:type="dxa"/>
              <w:left w:w="113" w:type="dxa"/>
              <w:bottom w:w="85" w:type="dxa"/>
              <w:right w:w="113" w:type="dxa"/>
            </w:tcMar>
            <w:vAlign w:val="center"/>
          </w:tcPr>
          <w:p w14:paraId="4184372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p>
        </w:tc>
        <w:tc>
          <w:tcPr>
            <w:tcW w:w="1500" w:type="dxa"/>
            <w:vMerge w:val="restart"/>
            <w:noWrap w:val="0"/>
            <w:tcMar>
              <w:top w:w="85" w:type="dxa"/>
              <w:left w:w="113" w:type="dxa"/>
              <w:bottom w:w="85" w:type="dxa"/>
              <w:right w:w="113" w:type="dxa"/>
            </w:tcMar>
            <w:vAlign w:val="center"/>
          </w:tcPr>
          <w:p w14:paraId="4752179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65</w:t>
            </w:r>
            <w:r>
              <w:rPr>
                <w:rFonts w:hint="eastAsia" w:ascii="方正仿宋_GBK" w:hAnsi="方正仿宋_GBK" w:eastAsia="方正仿宋_GBK" w:cs="方正仿宋_GBK"/>
                <w:sz w:val="22"/>
                <w:szCs w:val="22"/>
              </w:rPr>
              <w:t>岁以上老年人结核病检查率（%）</w:t>
            </w:r>
          </w:p>
        </w:tc>
        <w:tc>
          <w:tcPr>
            <w:tcW w:w="1550" w:type="dxa"/>
            <w:noWrap w:val="0"/>
            <w:tcMar>
              <w:top w:w="85" w:type="dxa"/>
              <w:left w:w="113" w:type="dxa"/>
              <w:bottom w:w="85" w:type="dxa"/>
              <w:right w:w="113" w:type="dxa"/>
            </w:tcMar>
            <w:vAlign w:val="center"/>
          </w:tcPr>
          <w:p w14:paraId="3723E2D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高疫情地区</w:t>
            </w:r>
          </w:p>
        </w:tc>
        <w:tc>
          <w:tcPr>
            <w:tcW w:w="1247" w:type="dxa"/>
            <w:noWrap w:val="0"/>
            <w:tcMar>
              <w:top w:w="85" w:type="dxa"/>
              <w:left w:w="113" w:type="dxa"/>
              <w:bottom w:w="85" w:type="dxa"/>
              <w:right w:w="113" w:type="dxa"/>
            </w:tcMar>
            <w:vAlign w:val="center"/>
          </w:tcPr>
          <w:p w14:paraId="64B4E91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lang w:eastAsia="zh-CN"/>
              </w:rPr>
              <w:t>—</w:t>
            </w:r>
          </w:p>
        </w:tc>
        <w:tc>
          <w:tcPr>
            <w:tcW w:w="1155" w:type="dxa"/>
            <w:noWrap w:val="0"/>
            <w:tcMar>
              <w:top w:w="85" w:type="dxa"/>
              <w:left w:w="113" w:type="dxa"/>
              <w:bottom w:w="85" w:type="dxa"/>
              <w:right w:w="113" w:type="dxa"/>
            </w:tcMar>
            <w:vAlign w:val="center"/>
          </w:tcPr>
          <w:p w14:paraId="3A1A8C9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80</w:t>
            </w:r>
          </w:p>
        </w:tc>
        <w:tc>
          <w:tcPr>
            <w:tcW w:w="990" w:type="dxa"/>
            <w:noWrap w:val="0"/>
            <w:tcMar>
              <w:top w:w="85" w:type="dxa"/>
              <w:left w:w="113" w:type="dxa"/>
              <w:bottom w:w="85" w:type="dxa"/>
              <w:right w:w="113" w:type="dxa"/>
            </w:tcMar>
            <w:vAlign w:val="center"/>
          </w:tcPr>
          <w:p w14:paraId="2D1ED6B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85</w:t>
            </w:r>
          </w:p>
        </w:tc>
        <w:tc>
          <w:tcPr>
            <w:tcW w:w="855" w:type="dxa"/>
            <w:noWrap w:val="0"/>
            <w:tcMar>
              <w:top w:w="85" w:type="dxa"/>
              <w:left w:w="113" w:type="dxa"/>
              <w:bottom w:w="85" w:type="dxa"/>
              <w:right w:w="113" w:type="dxa"/>
            </w:tcMar>
            <w:vAlign w:val="center"/>
          </w:tcPr>
          <w:p w14:paraId="00454CF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95</w:t>
            </w:r>
          </w:p>
        </w:tc>
        <w:tc>
          <w:tcPr>
            <w:tcW w:w="920" w:type="dxa"/>
            <w:noWrap w:val="0"/>
            <w:tcMar>
              <w:top w:w="85" w:type="dxa"/>
              <w:left w:w="113" w:type="dxa"/>
              <w:bottom w:w="85" w:type="dxa"/>
              <w:right w:w="113" w:type="dxa"/>
            </w:tcMar>
            <w:vAlign w:val="center"/>
          </w:tcPr>
          <w:p w14:paraId="6D560DB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val="en-US" w:eastAsia="zh-CN"/>
              </w:rPr>
            </w:pPr>
            <w:r>
              <w:rPr>
                <w:rFonts w:hint="default" w:ascii="Times New Roman" w:hAnsi="Times New Roman" w:eastAsia="方正仿宋_GBK" w:cs="Times New Roman"/>
                <w:sz w:val="22"/>
                <w:szCs w:val="22"/>
              </w:rPr>
              <w:t>95</w:t>
            </w:r>
          </w:p>
        </w:tc>
      </w:tr>
      <w:tr w14:paraId="0BF763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97" w:type="dxa"/>
            <w:vMerge w:val="continue"/>
            <w:noWrap w:val="0"/>
            <w:tcMar>
              <w:top w:w="85" w:type="dxa"/>
              <w:left w:w="113" w:type="dxa"/>
              <w:bottom w:w="85" w:type="dxa"/>
              <w:right w:w="113" w:type="dxa"/>
            </w:tcMar>
            <w:vAlign w:val="center"/>
          </w:tcPr>
          <w:p w14:paraId="330D7F2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p>
        </w:tc>
        <w:tc>
          <w:tcPr>
            <w:tcW w:w="1500" w:type="dxa"/>
            <w:vMerge w:val="continue"/>
            <w:noWrap w:val="0"/>
            <w:tcMar>
              <w:top w:w="85" w:type="dxa"/>
              <w:left w:w="113" w:type="dxa"/>
              <w:bottom w:w="85" w:type="dxa"/>
              <w:right w:w="113" w:type="dxa"/>
            </w:tcMar>
            <w:vAlign w:val="center"/>
          </w:tcPr>
          <w:p w14:paraId="6B4E640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sz w:val="22"/>
                <w:szCs w:val="22"/>
              </w:rPr>
            </w:pPr>
          </w:p>
        </w:tc>
        <w:tc>
          <w:tcPr>
            <w:tcW w:w="1550" w:type="dxa"/>
            <w:noWrap w:val="0"/>
            <w:tcMar>
              <w:top w:w="85" w:type="dxa"/>
              <w:left w:w="113" w:type="dxa"/>
              <w:bottom w:w="85" w:type="dxa"/>
              <w:right w:w="113" w:type="dxa"/>
            </w:tcMar>
            <w:vAlign w:val="center"/>
          </w:tcPr>
          <w:p w14:paraId="52FB660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中疫情地区</w:t>
            </w:r>
          </w:p>
        </w:tc>
        <w:tc>
          <w:tcPr>
            <w:tcW w:w="1247" w:type="dxa"/>
            <w:noWrap w:val="0"/>
            <w:tcMar>
              <w:top w:w="85" w:type="dxa"/>
              <w:left w:w="113" w:type="dxa"/>
              <w:bottom w:w="85" w:type="dxa"/>
              <w:right w:w="113" w:type="dxa"/>
            </w:tcMar>
            <w:vAlign w:val="center"/>
          </w:tcPr>
          <w:p w14:paraId="1E6E3B7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lang w:eastAsia="zh-CN"/>
              </w:rPr>
              <w:t>—</w:t>
            </w:r>
          </w:p>
        </w:tc>
        <w:tc>
          <w:tcPr>
            <w:tcW w:w="1155" w:type="dxa"/>
            <w:noWrap w:val="0"/>
            <w:tcMar>
              <w:top w:w="85" w:type="dxa"/>
              <w:left w:w="113" w:type="dxa"/>
              <w:bottom w:w="85" w:type="dxa"/>
              <w:right w:w="113" w:type="dxa"/>
            </w:tcMar>
            <w:vAlign w:val="center"/>
          </w:tcPr>
          <w:p w14:paraId="74F0678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70</w:t>
            </w:r>
          </w:p>
        </w:tc>
        <w:tc>
          <w:tcPr>
            <w:tcW w:w="990" w:type="dxa"/>
            <w:noWrap w:val="0"/>
            <w:tcMar>
              <w:top w:w="85" w:type="dxa"/>
              <w:left w:w="113" w:type="dxa"/>
              <w:bottom w:w="85" w:type="dxa"/>
              <w:right w:w="113" w:type="dxa"/>
            </w:tcMar>
            <w:vAlign w:val="center"/>
          </w:tcPr>
          <w:p w14:paraId="4AF7CB5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80</w:t>
            </w:r>
          </w:p>
        </w:tc>
        <w:tc>
          <w:tcPr>
            <w:tcW w:w="855" w:type="dxa"/>
            <w:noWrap w:val="0"/>
            <w:tcMar>
              <w:top w:w="85" w:type="dxa"/>
              <w:left w:w="113" w:type="dxa"/>
              <w:bottom w:w="85" w:type="dxa"/>
              <w:right w:w="113" w:type="dxa"/>
            </w:tcMar>
            <w:vAlign w:val="center"/>
          </w:tcPr>
          <w:p w14:paraId="283A436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90</w:t>
            </w:r>
          </w:p>
        </w:tc>
        <w:tc>
          <w:tcPr>
            <w:tcW w:w="920" w:type="dxa"/>
            <w:noWrap w:val="0"/>
            <w:tcMar>
              <w:top w:w="85" w:type="dxa"/>
              <w:left w:w="113" w:type="dxa"/>
              <w:bottom w:w="85" w:type="dxa"/>
              <w:right w:w="113" w:type="dxa"/>
            </w:tcMar>
            <w:vAlign w:val="center"/>
          </w:tcPr>
          <w:p w14:paraId="34B09D1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val="en-US" w:eastAsia="zh-CN"/>
              </w:rPr>
            </w:pPr>
            <w:r>
              <w:rPr>
                <w:rFonts w:hint="default" w:ascii="Times New Roman" w:hAnsi="Times New Roman" w:eastAsia="方正仿宋_GBK" w:cs="Times New Roman"/>
                <w:sz w:val="22"/>
                <w:szCs w:val="22"/>
              </w:rPr>
              <w:t>90</w:t>
            </w:r>
          </w:p>
        </w:tc>
      </w:tr>
      <w:tr w14:paraId="1011A7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97" w:type="dxa"/>
            <w:vMerge w:val="continue"/>
            <w:noWrap w:val="0"/>
            <w:tcMar>
              <w:top w:w="85" w:type="dxa"/>
              <w:left w:w="113" w:type="dxa"/>
              <w:bottom w:w="85" w:type="dxa"/>
              <w:right w:w="113" w:type="dxa"/>
            </w:tcMar>
            <w:vAlign w:val="center"/>
          </w:tcPr>
          <w:p w14:paraId="3E62EB0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p>
        </w:tc>
        <w:tc>
          <w:tcPr>
            <w:tcW w:w="1500" w:type="dxa"/>
            <w:vMerge w:val="continue"/>
            <w:noWrap w:val="0"/>
            <w:tcMar>
              <w:top w:w="85" w:type="dxa"/>
              <w:left w:w="113" w:type="dxa"/>
              <w:bottom w:w="85" w:type="dxa"/>
              <w:right w:w="113" w:type="dxa"/>
            </w:tcMar>
            <w:vAlign w:val="center"/>
          </w:tcPr>
          <w:p w14:paraId="557F7EC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sz w:val="22"/>
                <w:szCs w:val="22"/>
              </w:rPr>
            </w:pPr>
          </w:p>
        </w:tc>
        <w:tc>
          <w:tcPr>
            <w:tcW w:w="1550" w:type="dxa"/>
            <w:noWrap w:val="0"/>
            <w:tcMar>
              <w:top w:w="85" w:type="dxa"/>
              <w:left w:w="113" w:type="dxa"/>
              <w:bottom w:w="85" w:type="dxa"/>
              <w:right w:w="113" w:type="dxa"/>
            </w:tcMar>
            <w:vAlign w:val="center"/>
          </w:tcPr>
          <w:p w14:paraId="247044E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低疫情地区</w:t>
            </w:r>
          </w:p>
        </w:tc>
        <w:tc>
          <w:tcPr>
            <w:tcW w:w="1247" w:type="dxa"/>
            <w:noWrap w:val="0"/>
            <w:tcMar>
              <w:top w:w="85" w:type="dxa"/>
              <w:left w:w="113" w:type="dxa"/>
              <w:bottom w:w="85" w:type="dxa"/>
              <w:right w:w="113" w:type="dxa"/>
            </w:tcMar>
            <w:vAlign w:val="center"/>
          </w:tcPr>
          <w:p w14:paraId="48BF496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lang w:eastAsia="zh-CN"/>
              </w:rPr>
              <w:t>—</w:t>
            </w:r>
          </w:p>
        </w:tc>
        <w:tc>
          <w:tcPr>
            <w:tcW w:w="1155" w:type="dxa"/>
            <w:noWrap w:val="0"/>
            <w:tcMar>
              <w:top w:w="85" w:type="dxa"/>
              <w:left w:w="113" w:type="dxa"/>
              <w:bottom w:w="85" w:type="dxa"/>
              <w:right w:w="113" w:type="dxa"/>
            </w:tcMar>
            <w:vAlign w:val="center"/>
          </w:tcPr>
          <w:p w14:paraId="07F7E32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70</w:t>
            </w:r>
          </w:p>
        </w:tc>
        <w:tc>
          <w:tcPr>
            <w:tcW w:w="990" w:type="dxa"/>
            <w:noWrap w:val="0"/>
            <w:tcMar>
              <w:top w:w="85" w:type="dxa"/>
              <w:left w:w="113" w:type="dxa"/>
              <w:bottom w:w="85" w:type="dxa"/>
              <w:right w:w="113" w:type="dxa"/>
            </w:tcMar>
            <w:vAlign w:val="center"/>
          </w:tcPr>
          <w:p w14:paraId="7E67DA8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75</w:t>
            </w:r>
          </w:p>
        </w:tc>
        <w:tc>
          <w:tcPr>
            <w:tcW w:w="855" w:type="dxa"/>
            <w:noWrap w:val="0"/>
            <w:tcMar>
              <w:top w:w="85" w:type="dxa"/>
              <w:left w:w="113" w:type="dxa"/>
              <w:bottom w:w="85" w:type="dxa"/>
              <w:right w:w="113" w:type="dxa"/>
            </w:tcMar>
            <w:vAlign w:val="center"/>
          </w:tcPr>
          <w:p w14:paraId="3B81DD5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80</w:t>
            </w:r>
          </w:p>
        </w:tc>
        <w:tc>
          <w:tcPr>
            <w:tcW w:w="920" w:type="dxa"/>
            <w:noWrap w:val="0"/>
            <w:tcMar>
              <w:top w:w="85" w:type="dxa"/>
              <w:left w:w="113" w:type="dxa"/>
              <w:bottom w:w="85" w:type="dxa"/>
              <w:right w:w="113" w:type="dxa"/>
            </w:tcMar>
            <w:vAlign w:val="center"/>
          </w:tcPr>
          <w:p w14:paraId="2FEA9C3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val="en-US" w:eastAsia="zh-CN"/>
              </w:rPr>
            </w:pPr>
            <w:r>
              <w:rPr>
                <w:rFonts w:hint="default" w:ascii="Times New Roman" w:hAnsi="Times New Roman" w:eastAsia="方正仿宋_GBK" w:cs="Times New Roman"/>
                <w:sz w:val="22"/>
                <w:szCs w:val="22"/>
              </w:rPr>
              <w:t>80</w:t>
            </w:r>
          </w:p>
        </w:tc>
      </w:tr>
      <w:tr w14:paraId="08729B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97" w:type="dxa"/>
            <w:vMerge w:val="restart"/>
            <w:noWrap w:val="0"/>
            <w:tcMar>
              <w:top w:w="85" w:type="dxa"/>
              <w:left w:w="113" w:type="dxa"/>
              <w:bottom w:w="85" w:type="dxa"/>
              <w:right w:w="113" w:type="dxa"/>
            </w:tcMar>
            <w:vAlign w:val="center"/>
          </w:tcPr>
          <w:p w14:paraId="374170D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患者</w:t>
            </w:r>
          </w:p>
          <w:p w14:paraId="6D5DD15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治疗</w:t>
            </w:r>
          </w:p>
        </w:tc>
        <w:tc>
          <w:tcPr>
            <w:tcW w:w="3050" w:type="dxa"/>
            <w:gridSpan w:val="2"/>
            <w:noWrap w:val="0"/>
            <w:tcMar>
              <w:top w:w="85" w:type="dxa"/>
              <w:left w:w="113" w:type="dxa"/>
              <w:bottom w:w="85" w:type="dxa"/>
              <w:right w:w="113" w:type="dxa"/>
            </w:tcMar>
            <w:vAlign w:val="center"/>
          </w:tcPr>
          <w:p w14:paraId="5C011AE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spacing w:val="-3"/>
                <w:sz w:val="22"/>
                <w:szCs w:val="22"/>
              </w:rPr>
            </w:pPr>
            <w:r>
              <w:rPr>
                <w:rFonts w:hint="eastAsia" w:ascii="方正仿宋_GBK" w:hAnsi="方正仿宋_GBK" w:eastAsia="方正仿宋_GBK" w:cs="方正仿宋_GBK"/>
                <w:spacing w:val="-3"/>
                <w:sz w:val="22"/>
                <w:szCs w:val="22"/>
              </w:rPr>
              <w:t>传染期</w:t>
            </w:r>
            <w:r>
              <w:rPr>
                <w:rFonts w:hint="eastAsia" w:ascii="方正仿宋_GBK" w:hAnsi="方正仿宋_GBK" w:eastAsia="方正仿宋_GBK" w:cs="方正仿宋_GBK"/>
                <w:spacing w:val="-3"/>
                <w:sz w:val="22"/>
                <w:szCs w:val="22"/>
                <w:lang w:eastAsia="zh-CN"/>
              </w:rPr>
              <w:t>结核病</w:t>
            </w:r>
            <w:r>
              <w:rPr>
                <w:rFonts w:hint="eastAsia" w:ascii="方正仿宋_GBK" w:hAnsi="方正仿宋_GBK" w:eastAsia="方正仿宋_GBK" w:cs="方正仿宋_GBK"/>
                <w:spacing w:val="-3"/>
                <w:sz w:val="22"/>
                <w:szCs w:val="22"/>
              </w:rPr>
              <w:t>患者定点住院治疗率（%）</w:t>
            </w:r>
          </w:p>
        </w:tc>
        <w:tc>
          <w:tcPr>
            <w:tcW w:w="1247" w:type="dxa"/>
            <w:noWrap w:val="0"/>
            <w:tcMar>
              <w:top w:w="85" w:type="dxa"/>
              <w:left w:w="113" w:type="dxa"/>
              <w:bottom w:w="85" w:type="dxa"/>
              <w:right w:w="113" w:type="dxa"/>
            </w:tcMar>
            <w:vAlign w:val="center"/>
          </w:tcPr>
          <w:p w14:paraId="4FDE449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lang w:eastAsia="zh-CN"/>
              </w:rPr>
              <w:t>—</w:t>
            </w:r>
          </w:p>
        </w:tc>
        <w:tc>
          <w:tcPr>
            <w:tcW w:w="1155" w:type="dxa"/>
            <w:noWrap w:val="0"/>
            <w:tcMar>
              <w:top w:w="85" w:type="dxa"/>
              <w:left w:w="113" w:type="dxa"/>
              <w:bottom w:w="85" w:type="dxa"/>
              <w:right w:w="113" w:type="dxa"/>
            </w:tcMar>
            <w:vAlign w:val="center"/>
          </w:tcPr>
          <w:p w14:paraId="17F311B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70</w:t>
            </w:r>
          </w:p>
          <w:p w14:paraId="3E35488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（高疫</w:t>
            </w:r>
          </w:p>
          <w:p w14:paraId="2760077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情地区）</w:t>
            </w:r>
          </w:p>
        </w:tc>
        <w:tc>
          <w:tcPr>
            <w:tcW w:w="990" w:type="dxa"/>
            <w:noWrap w:val="0"/>
            <w:tcMar>
              <w:top w:w="85" w:type="dxa"/>
              <w:left w:w="113" w:type="dxa"/>
              <w:bottom w:w="85" w:type="dxa"/>
              <w:right w:w="113" w:type="dxa"/>
            </w:tcMar>
            <w:vAlign w:val="center"/>
          </w:tcPr>
          <w:p w14:paraId="6C3BC3D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70</w:t>
            </w:r>
          </w:p>
        </w:tc>
        <w:tc>
          <w:tcPr>
            <w:tcW w:w="855" w:type="dxa"/>
            <w:noWrap w:val="0"/>
            <w:tcMar>
              <w:top w:w="85" w:type="dxa"/>
              <w:left w:w="113" w:type="dxa"/>
              <w:bottom w:w="85" w:type="dxa"/>
              <w:right w:w="113" w:type="dxa"/>
            </w:tcMar>
            <w:vAlign w:val="center"/>
          </w:tcPr>
          <w:p w14:paraId="3D6DA1B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90</w:t>
            </w:r>
          </w:p>
        </w:tc>
        <w:tc>
          <w:tcPr>
            <w:tcW w:w="920" w:type="dxa"/>
            <w:noWrap w:val="0"/>
            <w:tcMar>
              <w:top w:w="85" w:type="dxa"/>
              <w:left w:w="113" w:type="dxa"/>
              <w:bottom w:w="85" w:type="dxa"/>
              <w:right w:w="113" w:type="dxa"/>
            </w:tcMar>
            <w:vAlign w:val="center"/>
          </w:tcPr>
          <w:p w14:paraId="7ECD70C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val="en-US" w:eastAsia="zh-CN"/>
              </w:rPr>
            </w:pPr>
            <w:r>
              <w:rPr>
                <w:rFonts w:hint="default" w:ascii="Times New Roman" w:hAnsi="Times New Roman" w:eastAsia="方正仿宋_GBK" w:cs="Times New Roman"/>
                <w:sz w:val="22"/>
                <w:szCs w:val="22"/>
              </w:rPr>
              <w:t>90</w:t>
            </w:r>
          </w:p>
        </w:tc>
      </w:tr>
      <w:tr w14:paraId="7E7F62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97" w:type="dxa"/>
            <w:vMerge w:val="continue"/>
            <w:noWrap w:val="0"/>
            <w:tcMar>
              <w:top w:w="85" w:type="dxa"/>
              <w:left w:w="113" w:type="dxa"/>
              <w:bottom w:w="85" w:type="dxa"/>
              <w:right w:w="113" w:type="dxa"/>
            </w:tcMar>
            <w:vAlign w:val="center"/>
          </w:tcPr>
          <w:p w14:paraId="3DAFECA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p>
        </w:tc>
        <w:tc>
          <w:tcPr>
            <w:tcW w:w="3050" w:type="dxa"/>
            <w:gridSpan w:val="2"/>
            <w:noWrap w:val="0"/>
            <w:tcMar>
              <w:top w:w="85" w:type="dxa"/>
              <w:left w:w="113" w:type="dxa"/>
              <w:bottom w:w="85" w:type="dxa"/>
              <w:right w:w="113" w:type="dxa"/>
            </w:tcMar>
            <w:vAlign w:val="center"/>
          </w:tcPr>
          <w:p w14:paraId="69F8735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方正仿宋_GBK" w:hAnsi="方正仿宋_GBK" w:eastAsia="方正仿宋_GBK" w:cs="方正仿宋_GBK"/>
                <w:spacing w:val="-3"/>
                <w:sz w:val="22"/>
                <w:szCs w:val="22"/>
              </w:rPr>
            </w:pPr>
            <w:r>
              <w:rPr>
                <w:rFonts w:hint="eastAsia" w:ascii="方正仿宋_GBK" w:hAnsi="方正仿宋_GBK" w:eastAsia="方正仿宋_GBK" w:cs="方正仿宋_GBK"/>
                <w:spacing w:val="-3"/>
                <w:sz w:val="22"/>
                <w:szCs w:val="22"/>
                <w:lang w:eastAsia="zh-CN"/>
              </w:rPr>
              <w:t>结核病</w:t>
            </w:r>
            <w:r>
              <w:rPr>
                <w:rFonts w:hint="eastAsia" w:ascii="方正仿宋_GBK" w:hAnsi="方正仿宋_GBK" w:eastAsia="方正仿宋_GBK" w:cs="方正仿宋_GBK"/>
                <w:spacing w:val="-3"/>
                <w:sz w:val="22"/>
                <w:szCs w:val="22"/>
              </w:rPr>
              <w:t>患者成功治疗率（%）</w:t>
            </w:r>
          </w:p>
        </w:tc>
        <w:tc>
          <w:tcPr>
            <w:tcW w:w="1247" w:type="dxa"/>
            <w:noWrap w:val="0"/>
            <w:tcMar>
              <w:top w:w="85" w:type="dxa"/>
              <w:left w:w="113" w:type="dxa"/>
              <w:bottom w:w="85" w:type="dxa"/>
              <w:right w:w="113" w:type="dxa"/>
            </w:tcMar>
            <w:vAlign w:val="center"/>
          </w:tcPr>
          <w:p w14:paraId="4B9292C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val="en-US" w:eastAsia="zh-CN"/>
              </w:rPr>
            </w:pPr>
            <w:r>
              <w:rPr>
                <w:rFonts w:hint="default" w:ascii="Times New Roman" w:hAnsi="Times New Roman" w:eastAsia="方正仿宋_GBK" w:cs="Times New Roman"/>
                <w:sz w:val="22"/>
                <w:szCs w:val="22"/>
              </w:rPr>
              <w:t>8</w:t>
            </w:r>
            <w:r>
              <w:rPr>
                <w:rFonts w:hint="default" w:ascii="Times New Roman" w:hAnsi="Times New Roman" w:eastAsia="方正仿宋_GBK" w:cs="Times New Roman"/>
                <w:sz w:val="22"/>
                <w:szCs w:val="22"/>
                <w:lang w:val="en-US" w:eastAsia="zh-CN"/>
              </w:rPr>
              <w:t>8</w:t>
            </w:r>
            <w:r>
              <w:rPr>
                <w:rFonts w:hint="eastAsia" w:ascii="方正仿宋_GBK" w:hAnsi="方正仿宋_GBK" w:eastAsia="方正仿宋_GBK" w:cs="方正仿宋_GBK"/>
                <w:sz w:val="22"/>
                <w:szCs w:val="22"/>
                <w:lang w:val="en-US" w:eastAsia="zh-CN"/>
              </w:rPr>
              <w:t>.</w:t>
            </w:r>
            <w:r>
              <w:rPr>
                <w:rFonts w:hint="default" w:ascii="Times New Roman" w:hAnsi="Times New Roman" w:eastAsia="方正仿宋_GBK" w:cs="Times New Roman"/>
                <w:sz w:val="22"/>
                <w:szCs w:val="22"/>
                <w:lang w:val="en-US" w:eastAsia="zh-CN"/>
              </w:rPr>
              <w:t>1</w:t>
            </w:r>
          </w:p>
        </w:tc>
        <w:tc>
          <w:tcPr>
            <w:tcW w:w="1155" w:type="dxa"/>
            <w:noWrap w:val="0"/>
            <w:tcMar>
              <w:top w:w="85" w:type="dxa"/>
              <w:left w:w="113" w:type="dxa"/>
              <w:bottom w:w="85" w:type="dxa"/>
              <w:right w:w="113" w:type="dxa"/>
            </w:tcMar>
            <w:vAlign w:val="center"/>
          </w:tcPr>
          <w:p w14:paraId="1859820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90</w:t>
            </w:r>
          </w:p>
        </w:tc>
        <w:tc>
          <w:tcPr>
            <w:tcW w:w="990" w:type="dxa"/>
            <w:noWrap w:val="0"/>
            <w:tcMar>
              <w:top w:w="85" w:type="dxa"/>
              <w:left w:w="113" w:type="dxa"/>
              <w:bottom w:w="85" w:type="dxa"/>
              <w:right w:w="113" w:type="dxa"/>
            </w:tcMar>
            <w:vAlign w:val="center"/>
          </w:tcPr>
          <w:p w14:paraId="714CC17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90</w:t>
            </w:r>
          </w:p>
        </w:tc>
        <w:tc>
          <w:tcPr>
            <w:tcW w:w="855" w:type="dxa"/>
            <w:noWrap w:val="0"/>
            <w:tcMar>
              <w:top w:w="85" w:type="dxa"/>
              <w:left w:w="113" w:type="dxa"/>
              <w:bottom w:w="85" w:type="dxa"/>
              <w:right w:w="113" w:type="dxa"/>
            </w:tcMar>
            <w:vAlign w:val="center"/>
          </w:tcPr>
          <w:p w14:paraId="2543B3C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90</w:t>
            </w:r>
          </w:p>
        </w:tc>
        <w:tc>
          <w:tcPr>
            <w:tcW w:w="920" w:type="dxa"/>
            <w:noWrap w:val="0"/>
            <w:tcMar>
              <w:top w:w="85" w:type="dxa"/>
              <w:left w:w="113" w:type="dxa"/>
              <w:bottom w:w="85" w:type="dxa"/>
              <w:right w:w="113" w:type="dxa"/>
            </w:tcMar>
            <w:vAlign w:val="center"/>
          </w:tcPr>
          <w:p w14:paraId="2B0BE99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val="en-US" w:eastAsia="zh-CN"/>
              </w:rPr>
            </w:pPr>
            <w:r>
              <w:rPr>
                <w:rFonts w:hint="default" w:ascii="Times New Roman" w:hAnsi="Times New Roman" w:eastAsia="方正仿宋_GBK" w:cs="Times New Roman"/>
                <w:sz w:val="22"/>
                <w:szCs w:val="22"/>
              </w:rPr>
              <w:t>90</w:t>
            </w:r>
          </w:p>
        </w:tc>
      </w:tr>
      <w:tr w14:paraId="004A79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97" w:type="dxa"/>
            <w:vMerge w:val="continue"/>
            <w:noWrap w:val="0"/>
            <w:tcMar>
              <w:top w:w="85" w:type="dxa"/>
              <w:left w:w="113" w:type="dxa"/>
              <w:bottom w:w="85" w:type="dxa"/>
              <w:right w:w="113" w:type="dxa"/>
            </w:tcMar>
            <w:vAlign w:val="center"/>
          </w:tcPr>
          <w:p w14:paraId="7696DAF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p>
        </w:tc>
        <w:tc>
          <w:tcPr>
            <w:tcW w:w="3050" w:type="dxa"/>
            <w:gridSpan w:val="2"/>
            <w:noWrap w:val="0"/>
            <w:tcMar>
              <w:top w:w="85" w:type="dxa"/>
              <w:left w:w="113" w:type="dxa"/>
              <w:bottom w:w="85" w:type="dxa"/>
              <w:right w:w="113" w:type="dxa"/>
            </w:tcMar>
            <w:vAlign w:val="center"/>
          </w:tcPr>
          <w:p w14:paraId="504EB37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spacing w:val="-3"/>
                <w:sz w:val="22"/>
                <w:szCs w:val="22"/>
              </w:rPr>
            </w:pPr>
            <w:r>
              <w:rPr>
                <w:rFonts w:hint="eastAsia" w:ascii="方正仿宋_GBK" w:hAnsi="方正仿宋_GBK" w:eastAsia="方正仿宋_GBK" w:cs="方正仿宋_GBK"/>
                <w:spacing w:val="-3"/>
                <w:sz w:val="22"/>
                <w:szCs w:val="22"/>
              </w:rPr>
              <w:t>利福平敏感</w:t>
            </w:r>
            <w:r>
              <w:rPr>
                <w:rFonts w:hint="eastAsia" w:ascii="方正仿宋_GBK" w:hAnsi="方正仿宋_GBK" w:eastAsia="方正仿宋_GBK" w:cs="方正仿宋_GBK"/>
                <w:spacing w:val="-3"/>
                <w:sz w:val="22"/>
                <w:szCs w:val="22"/>
                <w:lang w:eastAsia="zh-CN"/>
              </w:rPr>
              <w:t>结核病</w:t>
            </w:r>
            <w:r>
              <w:rPr>
                <w:rFonts w:hint="eastAsia" w:ascii="方正仿宋_GBK" w:hAnsi="方正仿宋_GBK" w:eastAsia="方正仿宋_GBK" w:cs="方正仿宋_GBK"/>
                <w:spacing w:val="-3"/>
                <w:sz w:val="22"/>
                <w:szCs w:val="22"/>
              </w:rPr>
              <w:t>患者标准治疗方案使用率（%）</w:t>
            </w:r>
          </w:p>
        </w:tc>
        <w:tc>
          <w:tcPr>
            <w:tcW w:w="1247" w:type="dxa"/>
            <w:noWrap w:val="0"/>
            <w:tcMar>
              <w:top w:w="85" w:type="dxa"/>
              <w:left w:w="113" w:type="dxa"/>
              <w:bottom w:w="85" w:type="dxa"/>
              <w:right w:w="113" w:type="dxa"/>
            </w:tcMar>
            <w:vAlign w:val="center"/>
          </w:tcPr>
          <w:p w14:paraId="1BFAEEE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eastAsia="zh-CN"/>
              </w:rPr>
              <w:t>—</w:t>
            </w:r>
          </w:p>
        </w:tc>
        <w:tc>
          <w:tcPr>
            <w:tcW w:w="1155" w:type="dxa"/>
            <w:noWrap w:val="0"/>
            <w:tcMar>
              <w:top w:w="85" w:type="dxa"/>
              <w:left w:w="113" w:type="dxa"/>
              <w:bottom w:w="85" w:type="dxa"/>
              <w:right w:w="113" w:type="dxa"/>
            </w:tcMar>
            <w:vAlign w:val="center"/>
          </w:tcPr>
          <w:p w14:paraId="031726D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90</w:t>
            </w:r>
          </w:p>
        </w:tc>
        <w:tc>
          <w:tcPr>
            <w:tcW w:w="990" w:type="dxa"/>
            <w:noWrap w:val="0"/>
            <w:tcMar>
              <w:top w:w="85" w:type="dxa"/>
              <w:left w:w="113" w:type="dxa"/>
              <w:bottom w:w="85" w:type="dxa"/>
              <w:right w:w="113" w:type="dxa"/>
            </w:tcMar>
            <w:vAlign w:val="center"/>
          </w:tcPr>
          <w:p w14:paraId="6E515AD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90</w:t>
            </w:r>
          </w:p>
        </w:tc>
        <w:tc>
          <w:tcPr>
            <w:tcW w:w="855" w:type="dxa"/>
            <w:noWrap w:val="0"/>
            <w:tcMar>
              <w:top w:w="85" w:type="dxa"/>
              <w:left w:w="113" w:type="dxa"/>
              <w:bottom w:w="85" w:type="dxa"/>
              <w:right w:w="113" w:type="dxa"/>
            </w:tcMar>
            <w:vAlign w:val="center"/>
          </w:tcPr>
          <w:p w14:paraId="7962E5B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90</w:t>
            </w:r>
          </w:p>
        </w:tc>
        <w:tc>
          <w:tcPr>
            <w:tcW w:w="920" w:type="dxa"/>
            <w:noWrap w:val="0"/>
            <w:tcMar>
              <w:top w:w="85" w:type="dxa"/>
              <w:left w:w="113" w:type="dxa"/>
              <w:bottom w:w="85" w:type="dxa"/>
              <w:right w:w="113" w:type="dxa"/>
            </w:tcMar>
            <w:vAlign w:val="center"/>
          </w:tcPr>
          <w:p w14:paraId="3217D8B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val="en-US" w:eastAsia="zh-CN"/>
              </w:rPr>
            </w:pPr>
            <w:r>
              <w:rPr>
                <w:rFonts w:hint="default" w:ascii="Times New Roman" w:hAnsi="Times New Roman" w:eastAsia="方正仿宋_GBK" w:cs="Times New Roman"/>
                <w:sz w:val="22"/>
                <w:szCs w:val="22"/>
              </w:rPr>
              <w:t>90</w:t>
            </w:r>
          </w:p>
        </w:tc>
      </w:tr>
      <w:tr w14:paraId="1D714D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97" w:type="dxa"/>
            <w:vMerge w:val="continue"/>
            <w:noWrap w:val="0"/>
            <w:tcMar>
              <w:top w:w="85" w:type="dxa"/>
              <w:left w:w="113" w:type="dxa"/>
              <w:bottom w:w="85" w:type="dxa"/>
              <w:right w:w="113" w:type="dxa"/>
            </w:tcMar>
            <w:vAlign w:val="center"/>
          </w:tcPr>
          <w:p w14:paraId="0BE7F40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p>
        </w:tc>
        <w:tc>
          <w:tcPr>
            <w:tcW w:w="3050" w:type="dxa"/>
            <w:gridSpan w:val="2"/>
            <w:noWrap w:val="0"/>
            <w:tcMar>
              <w:top w:w="85" w:type="dxa"/>
              <w:left w:w="113" w:type="dxa"/>
              <w:bottom w:w="85" w:type="dxa"/>
              <w:right w:w="113" w:type="dxa"/>
            </w:tcMar>
            <w:vAlign w:val="center"/>
          </w:tcPr>
          <w:p w14:paraId="7F9B0D3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spacing w:val="-3"/>
                <w:sz w:val="22"/>
                <w:szCs w:val="22"/>
              </w:rPr>
            </w:pPr>
            <w:r>
              <w:rPr>
                <w:rFonts w:hint="eastAsia" w:ascii="方正仿宋_GBK" w:hAnsi="方正仿宋_GBK" w:eastAsia="方正仿宋_GBK" w:cs="方正仿宋_GBK"/>
                <w:spacing w:val="-3"/>
                <w:sz w:val="22"/>
                <w:szCs w:val="22"/>
              </w:rPr>
              <w:t>利福平耐药</w:t>
            </w:r>
            <w:r>
              <w:rPr>
                <w:rFonts w:hint="eastAsia" w:ascii="方正仿宋_GBK" w:hAnsi="方正仿宋_GBK" w:eastAsia="方正仿宋_GBK" w:cs="方正仿宋_GBK"/>
                <w:spacing w:val="-3"/>
                <w:sz w:val="22"/>
                <w:szCs w:val="22"/>
                <w:lang w:eastAsia="zh-CN"/>
              </w:rPr>
              <w:t>结核病</w:t>
            </w:r>
            <w:r>
              <w:rPr>
                <w:rFonts w:hint="eastAsia" w:ascii="方正仿宋_GBK" w:hAnsi="方正仿宋_GBK" w:eastAsia="方正仿宋_GBK" w:cs="方正仿宋_GBK"/>
                <w:spacing w:val="-3"/>
                <w:sz w:val="22"/>
                <w:szCs w:val="22"/>
              </w:rPr>
              <w:t>患者成功治疗率（%）</w:t>
            </w:r>
          </w:p>
        </w:tc>
        <w:tc>
          <w:tcPr>
            <w:tcW w:w="1247" w:type="dxa"/>
            <w:noWrap w:val="0"/>
            <w:tcMar>
              <w:top w:w="85" w:type="dxa"/>
              <w:left w:w="113" w:type="dxa"/>
              <w:bottom w:w="85" w:type="dxa"/>
              <w:right w:w="113" w:type="dxa"/>
            </w:tcMar>
            <w:vAlign w:val="center"/>
          </w:tcPr>
          <w:p w14:paraId="545BFB6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eastAsia="zh-CN"/>
              </w:rPr>
              <w:t>—</w:t>
            </w:r>
          </w:p>
        </w:tc>
        <w:tc>
          <w:tcPr>
            <w:tcW w:w="1155" w:type="dxa"/>
            <w:noWrap w:val="0"/>
            <w:tcMar>
              <w:top w:w="85" w:type="dxa"/>
              <w:left w:w="113" w:type="dxa"/>
              <w:bottom w:w="85" w:type="dxa"/>
              <w:right w:w="113" w:type="dxa"/>
            </w:tcMar>
            <w:vAlign w:val="center"/>
          </w:tcPr>
          <w:p w14:paraId="583835C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65</w:t>
            </w:r>
          </w:p>
        </w:tc>
        <w:tc>
          <w:tcPr>
            <w:tcW w:w="990" w:type="dxa"/>
            <w:noWrap w:val="0"/>
            <w:tcMar>
              <w:top w:w="85" w:type="dxa"/>
              <w:left w:w="113" w:type="dxa"/>
              <w:bottom w:w="85" w:type="dxa"/>
              <w:right w:w="113" w:type="dxa"/>
            </w:tcMar>
            <w:vAlign w:val="center"/>
          </w:tcPr>
          <w:p w14:paraId="27AE068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70</w:t>
            </w:r>
          </w:p>
        </w:tc>
        <w:tc>
          <w:tcPr>
            <w:tcW w:w="855" w:type="dxa"/>
            <w:noWrap w:val="0"/>
            <w:tcMar>
              <w:top w:w="85" w:type="dxa"/>
              <w:left w:w="113" w:type="dxa"/>
              <w:bottom w:w="85" w:type="dxa"/>
              <w:right w:w="113" w:type="dxa"/>
            </w:tcMar>
            <w:vAlign w:val="center"/>
          </w:tcPr>
          <w:p w14:paraId="4BE31AF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75</w:t>
            </w:r>
          </w:p>
        </w:tc>
        <w:tc>
          <w:tcPr>
            <w:tcW w:w="920" w:type="dxa"/>
            <w:noWrap w:val="0"/>
            <w:tcMar>
              <w:top w:w="85" w:type="dxa"/>
              <w:left w:w="113" w:type="dxa"/>
              <w:bottom w:w="85" w:type="dxa"/>
              <w:right w:w="113" w:type="dxa"/>
            </w:tcMar>
            <w:vAlign w:val="center"/>
          </w:tcPr>
          <w:p w14:paraId="6B2D92F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val="en-US" w:eastAsia="zh-CN"/>
              </w:rPr>
            </w:pPr>
            <w:r>
              <w:rPr>
                <w:rFonts w:hint="default" w:ascii="Times New Roman" w:hAnsi="Times New Roman" w:eastAsia="方正仿宋_GBK" w:cs="Times New Roman"/>
                <w:sz w:val="22"/>
                <w:szCs w:val="22"/>
              </w:rPr>
              <w:t>75</w:t>
            </w:r>
          </w:p>
        </w:tc>
      </w:tr>
      <w:tr w14:paraId="59AE96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97" w:type="dxa"/>
            <w:noWrap w:val="0"/>
            <w:tcMar>
              <w:top w:w="85" w:type="dxa"/>
              <w:left w:w="113" w:type="dxa"/>
              <w:bottom w:w="85" w:type="dxa"/>
              <w:right w:w="113" w:type="dxa"/>
            </w:tcMar>
            <w:vAlign w:val="center"/>
          </w:tcPr>
          <w:p w14:paraId="6E4D157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预防性治疗</w:t>
            </w:r>
          </w:p>
        </w:tc>
        <w:tc>
          <w:tcPr>
            <w:tcW w:w="3050" w:type="dxa"/>
            <w:gridSpan w:val="2"/>
            <w:noWrap w:val="0"/>
            <w:tcMar>
              <w:top w:w="85" w:type="dxa"/>
              <w:left w:w="113" w:type="dxa"/>
              <w:bottom w:w="85" w:type="dxa"/>
              <w:right w:w="113" w:type="dxa"/>
            </w:tcMar>
            <w:vAlign w:val="center"/>
          </w:tcPr>
          <w:p w14:paraId="49FE251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spacing w:val="-3"/>
                <w:sz w:val="22"/>
                <w:szCs w:val="22"/>
              </w:rPr>
            </w:pPr>
            <w:r>
              <w:rPr>
                <w:rFonts w:hint="eastAsia" w:ascii="方正仿宋_GBK" w:hAnsi="方正仿宋_GBK" w:eastAsia="方正仿宋_GBK" w:cs="方正仿宋_GBK"/>
                <w:spacing w:val="-3"/>
                <w:sz w:val="22"/>
                <w:szCs w:val="22"/>
              </w:rPr>
              <w:t>密切接触者预防性治疗接受率（%）</w:t>
            </w:r>
          </w:p>
        </w:tc>
        <w:tc>
          <w:tcPr>
            <w:tcW w:w="1247" w:type="dxa"/>
            <w:noWrap w:val="0"/>
            <w:tcMar>
              <w:top w:w="85" w:type="dxa"/>
              <w:left w:w="113" w:type="dxa"/>
              <w:bottom w:w="85" w:type="dxa"/>
              <w:right w:w="113" w:type="dxa"/>
            </w:tcMar>
            <w:vAlign w:val="center"/>
          </w:tcPr>
          <w:p w14:paraId="222466B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eastAsia="zh-CN"/>
              </w:rPr>
              <w:t>—</w:t>
            </w:r>
          </w:p>
        </w:tc>
        <w:tc>
          <w:tcPr>
            <w:tcW w:w="1155" w:type="dxa"/>
            <w:noWrap w:val="0"/>
            <w:tcMar>
              <w:top w:w="85" w:type="dxa"/>
              <w:left w:w="113" w:type="dxa"/>
              <w:bottom w:w="85" w:type="dxa"/>
              <w:right w:w="113" w:type="dxa"/>
            </w:tcMar>
            <w:vAlign w:val="center"/>
          </w:tcPr>
          <w:p w14:paraId="4F9746A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40</w:t>
            </w:r>
          </w:p>
        </w:tc>
        <w:tc>
          <w:tcPr>
            <w:tcW w:w="990" w:type="dxa"/>
            <w:noWrap w:val="0"/>
            <w:tcMar>
              <w:top w:w="85" w:type="dxa"/>
              <w:left w:w="113" w:type="dxa"/>
              <w:bottom w:w="85" w:type="dxa"/>
              <w:right w:w="113" w:type="dxa"/>
            </w:tcMar>
            <w:vAlign w:val="center"/>
          </w:tcPr>
          <w:p w14:paraId="7A0FEDE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60</w:t>
            </w:r>
          </w:p>
        </w:tc>
        <w:tc>
          <w:tcPr>
            <w:tcW w:w="855" w:type="dxa"/>
            <w:noWrap w:val="0"/>
            <w:tcMar>
              <w:top w:w="85" w:type="dxa"/>
              <w:left w:w="113" w:type="dxa"/>
              <w:bottom w:w="85" w:type="dxa"/>
              <w:right w:w="113" w:type="dxa"/>
            </w:tcMar>
            <w:vAlign w:val="center"/>
          </w:tcPr>
          <w:p w14:paraId="324BBD7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22"/>
                <w:szCs w:val="22"/>
              </w:rPr>
              <w:t>80</w:t>
            </w:r>
          </w:p>
        </w:tc>
        <w:tc>
          <w:tcPr>
            <w:tcW w:w="920" w:type="dxa"/>
            <w:noWrap w:val="0"/>
            <w:tcMar>
              <w:top w:w="85" w:type="dxa"/>
              <w:left w:w="113" w:type="dxa"/>
              <w:bottom w:w="85" w:type="dxa"/>
              <w:right w:w="113" w:type="dxa"/>
            </w:tcMar>
            <w:vAlign w:val="center"/>
          </w:tcPr>
          <w:p w14:paraId="472D816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仿宋_GBK" w:hAnsi="方正仿宋_GBK" w:eastAsia="方正仿宋_GBK" w:cs="方正仿宋_GBK"/>
                <w:sz w:val="22"/>
                <w:szCs w:val="22"/>
                <w:lang w:val="en-US" w:eastAsia="zh-CN"/>
              </w:rPr>
            </w:pPr>
            <w:r>
              <w:rPr>
                <w:rFonts w:hint="default" w:ascii="Times New Roman" w:hAnsi="Times New Roman" w:eastAsia="方正仿宋_GBK" w:cs="Times New Roman"/>
                <w:sz w:val="22"/>
                <w:szCs w:val="22"/>
              </w:rPr>
              <w:t>80</w:t>
            </w:r>
          </w:p>
        </w:tc>
      </w:tr>
    </w:tbl>
    <w:p w14:paraId="20C9225C">
      <w:pPr>
        <w:keepNext w:val="0"/>
        <w:keepLines w:val="0"/>
        <w:pageBreakBefore w:val="0"/>
        <w:widowControl w:val="0"/>
        <w:kinsoku/>
        <w:wordWrap/>
        <w:overflowPunct/>
        <w:topLinePunct w:val="0"/>
        <w:autoSpaceDE/>
        <w:autoSpaceDN/>
        <w:bidi w:val="0"/>
        <w:adjustRightInd w:val="0"/>
        <w:snapToGrid/>
        <w:spacing w:line="240" w:lineRule="auto"/>
        <w:ind w:right="0" w:rightChars="0"/>
        <w:jc w:val="both"/>
        <w:textAlignment w:val="auto"/>
        <w:outlineLvl w:val="9"/>
        <w:rPr>
          <w:rFonts w:hint="eastAsia" w:ascii="Times New Roman" w:hAnsi="Times New Roman"/>
        </w:rPr>
      </w:pPr>
      <w:r>
        <w:rPr>
          <w:rFonts w:hint="eastAsia" w:ascii="Times New Roman" w:hAnsi="Times New Roman"/>
        </w:rPr>
        <w:br w:type="page"/>
      </w:r>
      <w:r>
        <w:rPr>
          <w:rFonts w:hint="eastAsia" w:ascii="Times New Roman" w:hAnsi="Times New Roman" w:eastAsia="方正黑体_GBK" w:cs="方正黑体_GBK"/>
        </w:rPr>
        <w:t>附件2</w:t>
      </w:r>
    </w:p>
    <w:p w14:paraId="46D04CAE">
      <w:pPr>
        <w:pStyle w:val="2"/>
        <w:rPr>
          <w:rFonts w:hint="eastAsia" w:ascii="Times New Roman" w:hAnsi="Times New Roman"/>
        </w:rPr>
      </w:pPr>
      <w:r>
        <w:rPr>
          <w:rFonts w:hint="eastAsia" w:ascii="Times New Roman" w:hAnsi="Times New Roman"/>
        </w:rPr>
        <w:t>重庆市结核病疫情地区</w:t>
      </w:r>
    </w:p>
    <w:p w14:paraId="62279659">
      <w:pPr>
        <w:pStyle w:val="2"/>
        <w:rPr>
          <w:rFonts w:hint="eastAsia" w:ascii="Times New Roman" w:hAnsi="Times New Roman"/>
        </w:rPr>
      </w:pPr>
      <w:r>
        <w:rPr>
          <w:rFonts w:hint="eastAsia" w:ascii="Times New Roman" w:hAnsi="Times New Roman"/>
        </w:rPr>
        <w:t>分类标准和防治策略</w:t>
      </w:r>
    </w:p>
    <w:p w14:paraId="348D0E73">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Times New Roman" w:hAnsi="Times New Roman"/>
        </w:rPr>
      </w:pPr>
    </w:p>
    <w:p w14:paraId="6FE1F489">
      <w:pPr>
        <w:pStyle w:val="3"/>
        <w:ind w:left="0" w:leftChars="0" w:firstLine="632" w:firstLineChars="200"/>
        <w:rPr>
          <w:rFonts w:hint="eastAsia" w:ascii="Times New Roman" w:hAnsi="Times New Roman"/>
          <w:sz w:val="32"/>
          <w:szCs w:val="32"/>
        </w:rPr>
      </w:pPr>
      <w:r>
        <w:rPr>
          <w:rFonts w:hint="eastAsia" w:ascii="Times New Roman" w:hAnsi="Times New Roman"/>
          <w:sz w:val="32"/>
          <w:szCs w:val="32"/>
        </w:rPr>
        <w:t>一、分类标准</w:t>
      </w:r>
    </w:p>
    <w:p w14:paraId="400C2C07">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4" w:firstLineChars="200"/>
        <w:jc w:val="both"/>
        <w:textAlignment w:val="auto"/>
        <w:outlineLvl w:val="9"/>
        <w:rPr>
          <w:rFonts w:hint="eastAsia" w:ascii="Times New Roman" w:hAnsi="Times New Roman"/>
          <w:sz w:val="32"/>
          <w:szCs w:val="32"/>
        </w:rPr>
      </w:pPr>
      <w:r>
        <w:rPr>
          <w:rFonts w:hint="eastAsia" w:ascii="Times New Roman" w:hAnsi="Times New Roman"/>
          <w:spacing w:val="3"/>
          <w:sz w:val="32"/>
          <w:szCs w:val="32"/>
        </w:rPr>
        <w:t>以2023年全市结核病报告发病率为基线，参考全国平均水平</w:t>
      </w:r>
      <w:r>
        <w:rPr>
          <w:rFonts w:hint="eastAsia" w:ascii="Times New Roman" w:hAnsi="Times New Roman"/>
          <w:sz w:val="32"/>
          <w:szCs w:val="32"/>
        </w:rPr>
        <w:t>划分，2024—2027年的划分标准如下：</w:t>
      </w:r>
    </w:p>
    <w:p w14:paraId="04B9148F">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Times New Roman" w:hAnsi="Times New Roman"/>
          <w:sz w:val="32"/>
          <w:szCs w:val="32"/>
        </w:rPr>
      </w:pPr>
      <w:r>
        <w:rPr>
          <w:rFonts w:hint="eastAsia" w:ascii="Times New Roman" w:hAnsi="Times New Roman"/>
          <w:sz w:val="32"/>
          <w:szCs w:val="32"/>
        </w:rPr>
        <w:t>区县级划分标准：报告发病率</w:t>
      </w:r>
      <w:r>
        <w:rPr>
          <w:rFonts w:hint="eastAsia"/>
          <w:sz w:val="32"/>
          <w:szCs w:val="32"/>
          <w:lang w:eastAsia="zh-CN"/>
        </w:rPr>
        <w:t>大于</w:t>
      </w:r>
      <w:r>
        <w:rPr>
          <w:rFonts w:hint="eastAsia" w:ascii="Times New Roman" w:hAnsi="Times New Roman"/>
          <w:sz w:val="32"/>
          <w:szCs w:val="32"/>
        </w:rPr>
        <w:t>50/10万的区县为高疫情地区；报告发病率</w:t>
      </w:r>
      <w:r>
        <w:rPr>
          <w:rFonts w:hint="eastAsia"/>
          <w:sz w:val="32"/>
          <w:szCs w:val="32"/>
          <w:lang w:eastAsia="zh-CN"/>
        </w:rPr>
        <w:t>大于</w:t>
      </w:r>
      <w:r>
        <w:rPr>
          <w:rFonts w:hint="eastAsia" w:ascii="Times New Roman" w:hAnsi="Times New Roman"/>
          <w:sz w:val="32"/>
          <w:szCs w:val="32"/>
        </w:rPr>
        <w:t>30/10万且</w:t>
      </w:r>
      <w:r>
        <w:rPr>
          <w:rFonts w:hint="eastAsia"/>
          <w:sz w:val="32"/>
          <w:szCs w:val="32"/>
          <w:lang w:eastAsia="zh-CN"/>
        </w:rPr>
        <w:t>小于</w:t>
      </w:r>
      <w:r>
        <w:rPr>
          <w:rFonts w:hint="eastAsia" w:ascii="Times New Roman" w:hAnsi="Times New Roman"/>
          <w:sz w:val="32"/>
          <w:szCs w:val="32"/>
        </w:rPr>
        <w:t>50/10万的区县为中疫情地区；报告发病率</w:t>
      </w:r>
      <w:r>
        <w:rPr>
          <w:rFonts w:hint="eastAsia"/>
          <w:sz w:val="32"/>
          <w:szCs w:val="32"/>
          <w:lang w:eastAsia="zh-CN"/>
        </w:rPr>
        <w:t>小于</w:t>
      </w:r>
      <w:r>
        <w:rPr>
          <w:rFonts w:hint="eastAsia" w:ascii="Times New Roman" w:hAnsi="Times New Roman"/>
          <w:sz w:val="32"/>
          <w:szCs w:val="32"/>
        </w:rPr>
        <w:t>30/10万的区县为低疫情地区。</w:t>
      </w:r>
    </w:p>
    <w:p w14:paraId="7F2C7EBC">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Times New Roman" w:hAnsi="Times New Roman"/>
          <w:sz w:val="32"/>
          <w:szCs w:val="32"/>
        </w:rPr>
      </w:pPr>
      <w:r>
        <w:rPr>
          <w:rFonts w:hint="eastAsia" w:ascii="Times New Roman" w:hAnsi="Times New Roman"/>
          <w:sz w:val="32"/>
          <w:szCs w:val="32"/>
        </w:rPr>
        <w:t>乡镇（街道）划分标准：报告发病率</w:t>
      </w:r>
      <w:r>
        <w:rPr>
          <w:rFonts w:hint="eastAsia"/>
          <w:sz w:val="32"/>
          <w:szCs w:val="32"/>
          <w:lang w:eastAsia="zh-CN"/>
        </w:rPr>
        <w:t>大于</w:t>
      </w:r>
      <w:r>
        <w:rPr>
          <w:rFonts w:hint="eastAsia" w:ascii="Times New Roman" w:hAnsi="Times New Roman"/>
          <w:sz w:val="32"/>
          <w:szCs w:val="32"/>
        </w:rPr>
        <w:t>70/10万的乡镇（街</w:t>
      </w:r>
      <w:r>
        <w:rPr>
          <w:rFonts w:hint="eastAsia" w:ascii="Times New Roman" w:hAnsi="Times New Roman"/>
          <w:spacing w:val="-5"/>
          <w:sz w:val="32"/>
          <w:szCs w:val="32"/>
        </w:rPr>
        <w:t>道）为高疫情乡镇（街道）；报告发病率</w:t>
      </w:r>
      <w:r>
        <w:rPr>
          <w:rFonts w:hint="eastAsia"/>
          <w:spacing w:val="-5"/>
          <w:sz w:val="32"/>
          <w:szCs w:val="32"/>
          <w:lang w:eastAsia="zh-CN"/>
        </w:rPr>
        <w:t>大于</w:t>
      </w:r>
      <w:r>
        <w:rPr>
          <w:rFonts w:hint="eastAsia" w:ascii="Times New Roman" w:hAnsi="Times New Roman"/>
          <w:spacing w:val="-5"/>
          <w:sz w:val="32"/>
          <w:szCs w:val="32"/>
        </w:rPr>
        <w:t>30/10万且</w:t>
      </w:r>
      <w:r>
        <w:rPr>
          <w:rFonts w:hint="eastAsia"/>
          <w:spacing w:val="-5"/>
          <w:sz w:val="32"/>
          <w:szCs w:val="32"/>
          <w:lang w:eastAsia="zh-CN"/>
        </w:rPr>
        <w:t>小于</w:t>
      </w:r>
      <w:r>
        <w:rPr>
          <w:rFonts w:hint="eastAsia" w:ascii="Times New Roman" w:hAnsi="Times New Roman"/>
          <w:spacing w:val="-5"/>
          <w:sz w:val="32"/>
          <w:szCs w:val="32"/>
        </w:rPr>
        <w:t>70/10</w:t>
      </w:r>
      <w:r>
        <w:rPr>
          <w:rFonts w:hint="eastAsia" w:ascii="Times New Roman" w:hAnsi="Times New Roman"/>
          <w:spacing w:val="-1"/>
          <w:sz w:val="32"/>
          <w:szCs w:val="32"/>
        </w:rPr>
        <w:t>万的乡镇（街道）为中疫情乡镇（街道）；报告发病率</w:t>
      </w:r>
      <w:r>
        <w:rPr>
          <w:rFonts w:hint="eastAsia"/>
          <w:spacing w:val="-1"/>
          <w:sz w:val="32"/>
          <w:szCs w:val="32"/>
          <w:lang w:eastAsia="zh-CN"/>
        </w:rPr>
        <w:t>小于</w:t>
      </w:r>
      <w:r>
        <w:rPr>
          <w:rFonts w:hint="eastAsia" w:ascii="Times New Roman" w:hAnsi="Times New Roman"/>
          <w:spacing w:val="-1"/>
          <w:sz w:val="32"/>
          <w:szCs w:val="32"/>
        </w:rPr>
        <w:t>30/10</w:t>
      </w:r>
      <w:r>
        <w:rPr>
          <w:rFonts w:hint="eastAsia" w:ascii="Times New Roman" w:hAnsi="Times New Roman"/>
          <w:sz w:val="32"/>
          <w:szCs w:val="32"/>
        </w:rPr>
        <w:t>万的乡镇（街道）为低疫情乡镇（街道）。</w:t>
      </w:r>
    </w:p>
    <w:p w14:paraId="00C0D178">
      <w:pPr>
        <w:pStyle w:val="3"/>
        <w:rPr>
          <w:rFonts w:hint="eastAsia" w:ascii="Times New Roman" w:hAnsi="Times New Roman"/>
          <w:sz w:val="32"/>
          <w:szCs w:val="32"/>
        </w:rPr>
      </w:pPr>
      <w:r>
        <w:rPr>
          <w:rFonts w:hint="eastAsia" w:ascii="Times New Roman" w:hAnsi="Times New Roman"/>
          <w:sz w:val="32"/>
          <w:szCs w:val="32"/>
        </w:rPr>
        <w:t>二、防治策略</w:t>
      </w:r>
    </w:p>
    <w:p w14:paraId="29AE1100">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Times New Roman" w:hAnsi="Times New Roman"/>
          <w:sz w:val="32"/>
          <w:szCs w:val="32"/>
        </w:rPr>
      </w:pPr>
      <w:r>
        <w:rPr>
          <w:rFonts w:hint="eastAsia" w:ascii="Times New Roman" w:hAnsi="Times New Roman"/>
          <w:sz w:val="32"/>
          <w:szCs w:val="32"/>
        </w:rPr>
        <w:t>1．高疫情地区。落实“四早”措施和规范患者管理，开展重</w:t>
      </w:r>
      <w:r>
        <w:rPr>
          <w:rFonts w:hint="eastAsia" w:ascii="Times New Roman" w:hAnsi="Times New Roman"/>
          <w:spacing w:val="-3"/>
          <w:sz w:val="32"/>
          <w:szCs w:val="32"/>
        </w:rPr>
        <w:t>点人群、重点场所结核病普查、传染期患者规范化隔离治疗、高风险人群预防性治疗干预等，控制结核病流行，促进疫情快速下降。</w:t>
      </w:r>
    </w:p>
    <w:p w14:paraId="45F97A33">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Times New Roman" w:hAnsi="Times New Roman"/>
          <w:sz w:val="32"/>
          <w:szCs w:val="32"/>
        </w:rPr>
      </w:pPr>
      <w:r>
        <w:rPr>
          <w:rFonts w:hint="eastAsia" w:ascii="Times New Roman" w:hAnsi="Times New Roman"/>
          <w:sz w:val="32"/>
          <w:szCs w:val="32"/>
        </w:rPr>
        <w:t>2．中疫情地区。做好重点村（社区）/场所和重点人群防控，开展重点人群主动筛查、高风险人群预防性治疗干预等，控制结核病传播，逐步过渡为低疫情地区。</w:t>
      </w:r>
    </w:p>
    <w:p w14:paraId="7B5EECC7">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Times New Roman" w:hAnsi="Times New Roman"/>
          <w:sz w:val="32"/>
          <w:szCs w:val="32"/>
        </w:rPr>
      </w:pPr>
      <w:r>
        <w:rPr>
          <w:rFonts w:hint="eastAsia" w:ascii="Times New Roman" w:hAnsi="Times New Roman"/>
          <w:sz w:val="32"/>
          <w:szCs w:val="32"/>
        </w:rPr>
        <w:t>3．</w:t>
      </w:r>
      <w:r>
        <w:rPr>
          <w:rFonts w:hint="eastAsia" w:ascii="Times New Roman" w:hAnsi="Times New Roman"/>
          <w:spacing w:val="4"/>
          <w:sz w:val="32"/>
          <w:szCs w:val="32"/>
        </w:rPr>
        <w:t>低疫情地区。开展患者个案流调和密切接触者追踪，扩大结核感染筛查和预防性治疗干预的人群范围，创建无结核社区/</w:t>
      </w:r>
      <w:r>
        <w:rPr>
          <w:rFonts w:hint="eastAsia" w:ascii="Times New Roman" w:hAnsi="Times New Roman"/>
          <w:sz w:val="32"/>
          <w:szCs w:val="32"/>
        </w:rPr>
        <w:t>区县等，防止疫情反弹，逐步实现终结结核病流行。</w:t>
      </w:r>
    </w:p>
    <w:p w14:paraId="45D75EE8">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Times New Roman" w:hAnsi="Times New Roman"/>
        </w:rPr>
      </w:pPr>
    </w:p>
    <w:p w14:paraId="3E7289CB">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Times New Roman" w:hAnsi="Times New Roman"/>
        </w:rPr>
      </w:pPr>
    </w:p>
    <w:p w14:paraId="6F202A6C">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Times New Roman" w:hAnsi="Times New Roman"/>
        </w:rPr>
        <w:sectPr>
          <w:footerReference r:id="rId3" w:type="default"/>
          <w:footerReference r:id="rId4" w:type="even"/>
          <w:pgSz w:w="11906" w:h="16838"/>
          <w:pgMar w:top="2098" w:right="1474" w:bottom="1985" w:left="1587" w:header="851" w:footer="1474" w:gutter="0"/>
          <w:pgBorders>
            <w:top w:val="none" w:sz="0" w:space="0"/>
            <w:left w:val="none" w:sz="0" w:space="0"/>
            <w:bottom w:val="none" w:sz="0" w:space="0"/>
            <w:right w:val="none" w:sz="0" w:space="0"/>
          </w:pgBorders>
          <w:cols w:space="720" w:num="1"/>
          <w:docGrid w:type="linesAndChars" w:linePitch="579" w:charSpace="-849"/>
        </w:sectPr>
      </w:pPr>
    </w:p>
    <w:tbl>
      <w:tblPr>
        <w:tblStyle w:val="10"/>
        <w:tblW w:w="1287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7"/>
        <w:gridCol w:w="1620"/>
        <w:gridCol w:w="5355"/>
        <w:gridCol w:w="4436"/>
      </w:tblGrid>
      <w:tr w14:paraId="4EB0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878" w:type="dxa"/>
            <w:gridSpan w:val="4"/>
            <w:tcBorders>
              <w:top w:val="nil"/>
              <w:left w:val="nil"/>
              <w:bottom w:val="nil"/>
              <w:right w:val="nil"/>
            </w:tcBorders>
            <w:shd w:val="clear" w:color="auto" w:fill="auto"/>
            <w:noWrap/>
            <w:vAlign w:val="center"/>
          </w:tcPr>
          <w:p w14:paraId="2617C4AF">
            <w:pPr>
              <w:keepNext w:val="0"/>
              <w:keepLines w:val="0"/>
              <w:widowControl/>
              <w:suppressLineNumbers w:val="0"/>
              <w:jc w:val="left"/>
              <w:textAlignment w:val="center"/>
              <w:rPr>
                <w:rFonts w:hint="eastAsia" w:ascii="方正小标宋_GBK" w:hAnsi="方正小标宋_GBK" w:eastAsia="方正小标宋_GBK" w:cs="方正小标宋_GBK"/>
                <w:i w:val="0"/>
                <w:iCs w:val="0"/>
                <w:color w:val="000000"/>
                <w:kern w:val="0"/>
                <w:sz w:val="36"/>
                <w:szCs w:val="36"/>
                <w:u w:val="none"/>
                <w:lang w:val="en-US" w:eastAsia="zh-CN" w:bidi="ar"/>
              </w:rPr>
            </w:pPr>
            <w:r>
              <w:rPr>
                <w:rFonts w:hint="eastAsia" w:ascii="方正黑体_GBK" w:hAnsi="方正黑体_GBK" w:eastAsia="方正黑体_GBK" w:cs="方正黑体_GBK"/>
                <w:i w:val="0"/>
                <w:iCs w:val="0"/>
                <w:color w:val="000000"/>
                <w:kern w:val="0"/>
                <w:sz w:val="32"/>
                <w:szCs w:val="32"/>
                <w:u w:val="none"/>
                <w:lang w:val="en-US" w:eastAsia="zh-CN" w:bidi="ar"/>
              </w:rPr>
              <w:t>附件</w:t>
            </w:r>
            <w:r>
              <w:rPr>
                <w:rFonts w:hint="default" w:ascii="Times New Roman" w:hAnsi="Times New Roman" w:eastAsia="方正小标宋_GBK" w:cs="Times New Roman"/>
                <w:b w:val="0"/>
                <w:bCs w:val="0"/>
                <w:i w:val="0"/>
                <w:iCs w:val="0"/>
                <w:color w:val="000000"/>
                <w:kern w:val="0"/>
                <w:sz w:val="32"/>
                <w:szCs w:val="32"/>
                <w:u w:val="none"/>
                <w:lang w:val="en-US" w:eastAsia="zh-CN" w:bidi="ar"/>
              </w:rPr>
              <w:t>3</w:t>
            </w:r>
            <w:r>
              <w:rPr>
                <w:rFonts w:hint="eastAsia" w:ascii="方正小标宋_GBK" w:hAnsi="方正小标宋_GBK" w:eastAsia="方正小标宋_GBK" w:cs="方正小标宋_GBK"/>
                <w:i w:val="0"/>
                <w:iCs w:val="0"/>
                <w:color w:val="000000"/>
                <w:kern w:val="0"/>
                <w:sz w:val="36"/>
                <w:szCs w:val="36"/>
                <w:u w:val="none"/>
                <w:lang w:val="en-US" w:eastAsia="zh-CN" w:bidi="ar"/>
              </w:rPr>
              <w:t xml:space="preserve">         </w:t>
            </w:r>
          </w:p>
          <w:p w14:paraId="1D40A1C9">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大渡口区结核病防治行动方案各部门工作任务分解表</w:t>
            </w:r>
          </w:p>
        </w:tc>
      </w:tr>
      <w:tr w14:paraId="08F2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3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工作项目</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2A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责任部门</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D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具体工作内容</w:t>
            </w:r>
          </w:p>
        </w:tc>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1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工作要求</w:t>
            </w:r>
          </w:p>
        </w:tc>
      </w:tr>
      <w:tr w14:paraId="46F0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1467" w:type="dxa"/>
            <w:tcBorders>
              <w:top w:val="single" w:color="000000" w:sz="4" w:space="0"/>
              <w:left w:val="single" w:color="000000" w:sz="4" w:space="0"/>
              <w:bottom w:val="single" w:color="auto" w:sz="4" w:space="0"/>
              <w:right w:val="single" w:color="000000" w:sz="4" w:space="0"/>
            </w:tcBorders>
            <w:shd w:val="clear" w:color="auto" w:fill="auto"/>
            <w:vAlign w:val="center"/>
          </w:tcPr>
          <w:p w14:paraId="60CB7C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一、组织管理</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B2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各部门</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44E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1.成立本部门责任人，统筹该项工作。  </w:t>
            </w:r>
          </w:p>
          <w:p w14:paraId="32E2074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2.制定本部门实施方案工作计划 。</w:t>
            </w:r>
          </w:p>
          <w:p w14:paraId="1A81F10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3.完成工作总结。</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367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1.负责人负责统筹本单位工作，对接区卫生健康委工作人员。                    </w:t>
            </w:r>
          </w:p>
          <w:p w14:paraId="310DF16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2.根据本部门工作责任制定方案计划，内容包含如何开展宣传教育、管理相关人员。</w:t>
            </w:r>
          </w:p>
          <w:p w14:paraId="0A4A7FE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3.定期开展工作督查。</w:t>
            </w:r>
          </w:p>
        </w:tc>
      </w:tr>
      <w:tr w14:paraId="2092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0" w:hRule="atLeast"/>
        </w:trPr>
        <w:tc>
          <w:tcPr>
            <w:tcW w:w="1467" w:type="dxa"/>
            <w:vMerge w:val="restart"/>
            <w:tcBorders>
              <w:top w:val="single" w:color="auto" w:sz="4" w:space="0"/>
              <w:left w:val="single" w:color="auto" w:sz="4" w:space="0"/>
              <w:right w:val="single" w:color="auto" w:sz="4" w:space="0"/>
            </w:tcBorders>
            <w:shd w:val="clear" w:color="auto" w:fill="auto"/>
            <w:vAlign w:val="center"/>
          </w:tcPr>
          <w:p w14:paraId="0A6ACC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二、扩大筛查行动</w:t>
            </w:r>
          </w:p>
        </w:tc>
        <w:tc>
          <w:tcPr>
            <w:tcW w:w="1620" w:type="dxa"/>
            <w:tcBorders>
              <w:top w:val="single" w:color="000000" w:sz="4" w:space="0"/>
              <w:left w:val="single" w:color="auto" w:sz="4" w:space="0"/>
              <w:bottom w:val="single" w:color="000000" w:sz="4" w:space="0"/>
              <w:right w:val="single" w:color="000000" w:sz="4" w:space="0"/>
            </w:tcBorders>
            <w:shd w:val="clear" w:color="auto" w:fill="auto"/>
            <w:vAlign w:val="center"/>
          </w:tcPr>
          <w:p w14:paraId="50AA4E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各街镇、区卫生健康委</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435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1.全区各级各类医疗机构对咳嗽、咳痰超过2周的结核病可疑症状者，均转介到区定点医疗机构进行病原学检查，务必做到转介率100%，并做好随访追踪工作。 </w:t>
            </w:r>
          </w:p>
          <w:p w14:paraId="6C3642D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2.结核病患者密切接触者在10个工作日内完成症状筛查和胸部X光片检查，其中聚集性疫情密切接触者还需开展结核感染筛查。</w:t>
            </w:r>
          </w:p>
          <w:p w14:paraId="16C591F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3.其他高风险人群HIV/AIDS患者每年开展结核病可疑症状问诊和胸部X光片检查。</w:t>
            </w:r>
          </w:p>
          <w:p w14:paraId="0654521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lang w:val="en-US"/>
              </w:rPr>
            </w:pPr>
            <w:r>
              <w:rPr>
                <w:rFonts w:hint="default" w:ascii="Times New Roman" w:hAnsi="Times New Roman" w:eastAsia="方正仿宋_GBK" w:cs="Times New Roman"/>
                <w:i w:val="0"/>
                <w:iCs w:val="0"/>
                <w:color w:val="000000"/>
                <w:kern w:val="0"/>
                <w:sz w:val="22"/>
                <w:szCs w:val="22"/>
                <w:u w:val="none"/>
                <w:lang w:val="en-US" w:eastAsia="zh-CN" w:bidi="ar"/>
              </w:rPr>
              <w:t>4.</w:t>
            </w:r>
            <w:r>
              <w:rPr>
                <w:rFonts w:hint="eastAsia" w:ascii="Times New Roman" w:hAnsi="Times New Roman" w:cs="Times New Roman"/>
                <w:i w:val="0"/>
                <w:iCs w:val="0"/>
                <w:color w:val="000000"/>
                <w:kern w:val="0"/>
                <w:sz w:val="22"/>
                <w:szCs w:val="22"/>
                <w:u w:val="none"/>
                <w:lang w:val="en-US" w:eastAsia="zh-CN" w:bidi="ar"/>
              </w:rPr>
              <w:t>根据报告发病</w:t>
            </w:r>
            <w:r>
              <w:rPr>
                <w:rFonts w:hint="eastAsia" w:cs="Times New Roman"/>
                <w:i w:val="0"/>
                <w:iCs w:val="0"/>
                <w:color w:val="000000"/>
                <w:kern w:val="0"/>
                <w:sz w:val="22"/>
                <w:szCs w:val="22"/>
                <w:u w:val="none"/>
                <w:lang w:val="en-US" w:eastAsia="zh-CN" w:bidi="ar"/>
              </w:rPr>
              <w:t>率高中风险划分</w:t>
            </w:r>
            <w:r>
              <w:rPr>
                <w:rFonts w:hint="eastAsia" w:ascii="Times New Roman" w:hAnsi="Times New Roman" w:cs="Times New Roman"/>
                <w:i w:val="0"/>
                <w:iCs w:val="0"/>
                <w:color w:val="000000"/>
                <w:kern w:val="0"/>
                <w:sz w:val="22"/>
                <w:szCs w:val="22"/>
                <w:u w:val="none"/>
                <w:lang w:val="en-US" w:eastAsia="zh-CN" w:bidi="ar"/>
              </w:rPr>
              <w:t>，对符合条件的</w:t>
            </w:r>
            <w:r>
              <w:rPr>
                <w:rFonts w:hint="default" w:ascii="Times New Roman" w:hAnsi="Times New Roman" w:eastAsia="方正仿宋_GBK" w:cs="Times New Roman"/>
                <w:i w:val="0"/>
                <w:iCs w:val="0"/>
                <w:color w:val="000000"/>
                <w:kern w:val="0"/>
                <w:sz w:val="22"/>
                <w:szCs w:val="22"/>
                <w:highlight w:val="none"/>
                <w:u w:val="none"/>
                <w:lang w:val="en-US" w:eastAsia="zh-CN" w:bidi="ar"/>
              </w:rPr>
              <w:t>65岁以上老年人开展胸部X光片检查。</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C6C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1.转介率100%，病原学检查率达到95%以上，检查率达到95%以上。</w:t>
            </w:r>
          </w:p>
          <w:p w14:paraId="4675EAF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2.对不配合筛查的密切接触者，于5个工作日内将信息发送至镇街，由镇街负责动员。</w:t>
            </w:r>
          </w:p>
          <w:p w14:paraId="40DCAB1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3.区人民医院负责对HIV/AIDS患者检查，检查率达到90%以上。                 </w:t>
            </w:r>
          </w:p>
          <w:p w14:paraId="61A5A361">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4.实施全面网格化管理，</w:t>
            </w:r>
            <w:r>
              <w:rPr>
                <w:rFonts w:hint="default" w:ascii="Times New Roman" w:hAnsi="Times New Roman" w:eastAsia="方正仿宋_GBK" w:cs="Times New Roman"/>
                <w:spacing w:val="0"/>
                <w:kern w:val="2"/>
                <w:sz w:val="22"/>
                <w:szCs w:val="22"/>
                <w:highlight w:val="none"/>
              </w:rPr>
              <w:t>由镇街网格员负责动员辖区所有65岁以上老年人到辖区医疗卫生机构</w:t>
            </w:r>
            <w:r>
              <w:rPr>
                <w:rFonts w:hint="default" w:ascii="Times New Roman" w:hAnsi="Times New Roman" w:eastAsia="方正仿宋_GBK" w:cs="Times New Roman"/>
                <w:spacing w:val="0"/>
                <w:kern w:val="2"/>
                <w:sz w:val="22"/>
                <w:szCs w:val="22"/>
                <w:highlight w:val="none"/>
                <w:lang w:eastAsia="zh-CN"/>
              </w:rPr>
              <w:t>年度体检</w:t>
            </w:r>
            <w:r>
              <w:rPr>
                <w:rFonts w:hint="eastAsia" w:ascii="Times New Roman" w:hAnsi="Times New Roman" w:cs="Times New Roman"/>
                <w:spacing w:val="0"/>
                <w:kern w:val="2"/>
                <w:sz w:val="22"/>
                <w:szCs w:val="22"/>
                <w:highlight w:val="none"/>
                <w:lang w:eastAsia="zh-CN"/>
              </w:rPr>
              <w:t>，</w:t>
            </w:r>
            <w:r>
              <w:rPr>
                <w:rFonts w:hint="eastAsia" w:ascii="Times New Roman" w:hAnsi="Times New Roman" w:cs="Times New Roman"/>
                <w:i w:val="0"/>
                <w:iCs w:val="0"/>
                <w:color w:val="000000"/>
                <w:kern w:val="0"/>
                <w:sz w:val="22"/>
                <w:szCs w:val="22"/>
                <w:u w:val="none"/>
                <w:lang w:val="en-US" w:eastAsia="zh-CN" w:bidi="ar"/>
              </w:rPr>
              <w:t>根据报告发病</w:t>
            </w:r>
            <w:r>
              <w:rPr>
                <w:rFonts w:hint="eastAsia" w:cs="Times New Roman"/>
                <w:i w:val="0"/>
                <w:iCs w:val="0"/>
                <w:color w:val="000000"/>
                <w:kern w:val="0"/>
                <w:sz w:val="22"/>
                <w:szCs w:val="22"/>
                <w:u w:val="none"/>
                <w:lang w:val="en-US" w:eastAsia="zh-CN" w:bidi="ar"/>
              </w:rPr>
              <w:t>率高中风险划分</w:t>
            </w:r>
            <w:r>
              <w:rPr>
                <w:rFonts w:hint="eastAsia" w:ascii="Times New Roman" w:hAnsi="Times New Roman" w:cs="Times New Roman"/>
                <w:i w:val="0"/>
                <w:iCs w:val="0"/>
                <w:color w:val="000000"/>
                <w:kern w:val="0"/>
                <w:sz w:val="22"/>
                <w:szCs w:val="22"/>
                <w:u w:val="none"/>
                <w:lang w:val="en-US" w:eastAsia="zh-CN" w:bidi="ar"/>
              </w:rPr>
              <w:t>，对符合条件</w:t>
            </w:r>
            <w:r>
              <w:rPr>
                <w:rFonts w:hint="eastAsia" w:cs="Times New Roman"/>
                <w:i w:val="0"/>
                <w:iCs w:val="0"/>
                <w:color w:val="000000"/>
                <w:kern w:val="0"/>
                <w:sz w:val="22"/>
                <w:szCs w:val="22"/>
                <w:u w:val="none"/>
                <w:lang w:val="en-US" w:eastAsia="zh-CN" w:bidi="ar"/>
              </w:rPr>
              <w:t>的</w:t>
            </w:r>
            <w:r>
              <w:rPr>
                <w:rFonts w:hint="default" w:ascii="Times New Roman" w:hAnsi="Times New Roman" w:eastAsia="方正仿宋_GBK" w:cs="Times New Roman"/>
                <w:i w:val="0"/>
                <w:iCs w:val="0"/>
                <w:color w:val="000000"/>
                <w:kern w:val="0"/>
                <w:sz w:val="22"/>
                <w:szCs w:val="22"/>
                <w:highlight w:val="none"/>
                <w:u w:val="none"/>
                <w:lang w:val="en-US" w:eastAsia="zh-CN" w:bidi="ar"/>
              </w:rPr>
              <w:t>65岁以上老年人开展胸部X光片检查</w:t>
            </w:r>
          </w:p>
        </w:tc>
      </w:tr>
      <w:tr w14:paraId="2A07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67" w:type="dxa"/>
            <w:vMerge w:val="continue"/>
            <w:tcBorders>
              <w:left w:val="single" w:color="auto" w:sz="4" w:space="0"/>
              <w:right w:val="single" w:color="auto" w:sz="4" w:space="0"/>
            </w:tcBorders>
            <w:shd w:val="clear" w:color="auto" w:fill="auto"/>
            <w:vAlign w:val="center"/>
          </w:tcPr>
          <w:p w14:paraId="1684193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2"/>
                <w:szCs w:val="22"/>
                <w:u w:val="none"/>
              </w:rPr>
            </w:pPr>
          </w:p>
        </w:tc>
        <w:tc>
          <w:tcPr>
            <w:tcW w:w="1620" w:type="dxa"/>
            <w:tcBorders>
              <w:top w:val="single" w:color="000000" w:sz="4" w:space="0"/>
              <w:left w:val="single" w:color="auto" w:sz="4" w:space="0"/>
              <w:bottom w:val="single" w:color="000000" w:sz="4" w:space="0"/>
              <w:right w:val="single" w:color="000000" w:sz="4" w:space="0"/>
            </w:tcBorders>
            <w:shd w:val="clear" w:color="auto" w:fill="auto"/>
            <w:vAlign w:val="center"/>
          </w:tcPr>
          <w:p w14:paraId="702FF5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区教委、区卫生健康委</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AD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学校内密切接触者开展排查及筛查。</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F5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学校内密切接触者按照学校结核病防控工作指南开展检查。</w:t>
            </w:r>
          </w:p>
        </w:tc>
      </w:tr>
      <w:tr w14:paraId="68D2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67" w:type="dxa"/>
            <w:vMerge w:val="continue"/>
            <w:tcBorders>
              <w:left w:val="single" w:color="auto" w:sz="4" w:space="0"/>
              <w:bottom w:val="single" w:color="auto" w:sz="4" w:space="0"/>
              <w:right w:val="single" w:color="auto" w:sz="4" w:space="0"/>
            </w:tcBorders>
            <w:shd w:val="clear" w:color="auto" w:fill="auto"/>
            <w:vAlign w:val="center"/>
          </w:tcPr>
          <w:p w14:paraId="6959BE2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2"/>
                <w:szCs w:val="22"/>
                <w:u w:val="none"/>
              </w:rPr>
            </w:pPr>
          </w:p>
        </w:tc>
        <w:tc>
          <w:tcPr>
            <w:tcW w:w="1620" w:type="dxa"/>
            <w:tcBorders>
              <w:top w:val="single" w:color="000000" w:sz="4" w:space="0"/>
              <w:left w:val="single" w:color="auto" w:sz="4" w:space="0"/>
              <w:bottom w:val="single" w:color="000000" w:sz="4" w:space="0"/>
              <w:right w:val="single" w:color="000000" w:sz="4" w:space="0"/>
            </w:tcBorders>
            <w:shd w:val="clear" w:color="auto" w:fill="auto"/>
            <w:vAlign w:val="center"/>
          </w:tcPr>
          <w:p w14:paraId="336B3C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区教委  </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DE4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1.入学新生和高二学生开展结核病筛查。</w:t>
            </w:r>
          </w:p>
          <w:p w14:paraId="51A9728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2.每年对所有教职员工开展胸部X光片检查。</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D31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1.入学新生和高二学生检查率达到95%以上。</w:t>
            </w:r>
          </w:p>
          <w:p w14:paraId="1C9022D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2.教职员工检查率100%。</w:t>
            </w:r>
          </w:p>
        </w:tc>
      </w:tr>
      <w:tr w14:paraId="3AFC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97BE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宋体" w:cs="Times New Roman"/>
                <w:b/>
                <w:bCs/>
                <w:i w:val="0"/>
                <w:iCs w:val="0"/>
                <w:color w:val="000000"/>
                <w:kern w:val="0"/>
                <w:sz w:val="24"/>
                <w:szCs w:val="24"/>
                <w:u w:val="none"/>
                <w:lang w:val="en-US" w:eastAsia="zh-CN" w:bidi="ar"/>
              </w:rPr>
              <w:t>工作项目</w:t>
            </w:r>
          </w:p>
        </w:tc>
        <w:tc>
          <w:tcPr>
            <w:tcW w:w="1620" w:type="dxa"/>
            <w:tcBorders>
              <w:top w:val="single" w:color="000000" w:sz="4" w:space="0"/>
              <w:left w:val="single" w:color="auto" w:sz="4" w:space="0"/>
              <w:bottom w:val="single" w:color="000000" w:sz="4" w:space="0"/>
              <w:right w:val="single" w:color="000000" w:sz="4" w:space="0"/>
            </w:tcBorders>
            <w:shd w:val="clear" w:color="auto" w:fill="auto"/>
            <w:vAlign w:val="center"/>
          </w:tcPr>
          <w:p w14:paraId="1D004E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责任部门</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F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具体工作内容</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6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工作要求</w:t>
            </w:r>
          </w:p>
        </w:tc>
      </w:tr>
      <w:tr w14:paraId="4F9A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67" w:type="dxa"/>
            <w:vMerge w:val="restart"/>
            <w:tcBorders>
              <w:top w:val="single" w:color="auto" w:sz="4" w:space="0"/>
              <w:left w:val="single" w:color="auto" w:sz="4" w:space="0"/>
              <w:right w:val="single" w:color="auto" w:sz="4" w:space="0"/>
            </w:tcBorders>
            <w:shd w:val="clear" w:color="auto" w:fill="auto"/>
            <w:vAlign w:val="center"/>
          </w:tcPr>
          <w:p w14:paraId="13D46B56">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二、扩大筛查行动（接上页）</w:t>
            </w:r>
          </w:p>
        </w:tc>
        <w:tc>
          <w:tcPr>
            <w:tcW w:w="1620" w:type="dxa"/>
            <w:tcBorders>
              <w:top w:val="single" w:color="000000" w:sz="4" w:space="0"/>
              <w:left w:val="single" w:color="auto" w:sz="4" w:space="0"/>
              <w:bottom w:val="single" w:color="000000" w:sz="4" w:space="0"/>
              <w:right w:val="single" w:color="000000" w:sz="4" w:space="0"/>
            </w:tcBorders>
            <w:shd w:val="clear" w:color="auto" w:fill="auto"/>
            <w:vAlign w:val="center"/>
          </w:tcPr>
          <w:p w14:paraId="30AE26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区公安分局</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40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监管场所的工作人员、羁押人群每年开展胸部X光片检查。</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28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检查率100%。</w:t>
            </w:r>
          </w:p>
        </w:tc>
      </w:tr>
      <w:tr w14:paraId="1091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467" w:type="dxa"/>
            <w:vMerge w:val="continue"/>
            <w:tcBorders>
              <w:left w:val="single" w:color="auto" w:sz="4" w:space="0"/>
              <w:right w:val="single" w:color="auto" w:sz="4" w:space="0"/>
            </w:tcBorders>
            <w:shd w:val="clear" w:color="auto" w:fill="auto"/>
            <w:vAlign w:val="center"/>
          </w:tcPr>
          <w:p w14:paraId="328D3B11">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000000"/>
                <w:sz w:val="22"/>
                <w:szCs w:val="22"/>
                <w:u w:val="none"/>
              </w:rPr>
            </w:pPr>
          </w:p>
        </w:tc>
        <w:tc>
          <w:tcPr>
            <w:tcW w:w="1620" w:type="dxa"/>
            <w:tcBorders>
              <w:top w:val="single" w:color="000000" w:sz="4" w:space="0"/>
              <w:left w:val="single" w:color="auto" w:sz="4" w:space="0"/>
              <w:bottom w:val="single" w:color="000000" w:sz="4" w:space="0"/>
              <w:right w:val="single" w:color="000000" w:sz="4" w:space="0"/>
            </w:tcBorders>
            <w:shd w:val="clear" w:color="auto" w:fill="auto"/>
            <w:vAlign w:val="center"/>
          </w:tcPr>
          <w:p w14:paraId="1A509C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区民政局</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F66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cs="Times New Roman"/>
                <w:i w:val="0"/>
                <w:iCs w:val="0"/>
                <w:color w:val="000000"/>
                <w:kern w:val="0"/>
                <w:sz w:val="22"/>
                <w:szCs w:val="22"/>
                <w:u w:val="none"/>
                <w:lang w:val="en-US" w:eastAsia="zh-CN" w:bidi="ar"/>
              </w:rPr>
              <w:t>.</w:t>
            </w:r>
            <w:r>
              <w:rPr>
                <w:rFonts w:hint="eastAsia" w:ascii="Times New Roman" w:hAnsi="Times New Roman"/>
                <w:spacing w:val="0"/>
                <w:kern w:val="2"/>
                <w:sz w:val="22"/>
                <w:szCs w:val="22"/>
              </w:rPr>
              <w:t>养老机构</w:t>
            </w:r>
            <w:r>
              <w:rPr>
                <w:rFonts w:hint="eastAsia"/>
                <w:spacing w:val="0"/>
                <w:kern w:val="2"/>
                <w:sz w:val="22"/>
                <w:szCs w:val="22"/>
                <w:lang w:eastAsia="zh-CN"/>
              </w:rPr>
              <w:t>、</w:t>
            </w:r>
            <w:r>
              <w:rPr>
                <w:rFonts w:hint="default" w:ascii="Times New Roman" w:hAnsi="Times New Roman" w:eastAsia="方正仿宋_GBK" w:cs="Times New Roman"/>
                <w:i w:val="0"/>
                <w:iCs w:val="0"/>
                <w:color w:val="000000"/>
                <w:kern w:val="0"/>
                <w:sz w:val="22"/>
                <w:szCs w:val="22"/>
                <w:u w:val="none"/>
                <w:lang w:val="en-US" w:eastAsia="zh-CN" w:bidi="ar"/>
              </w:rPr>
              <w:t>社会福利机构的从业人员每年开展胸部X光片检查。</w:t>
            </w:r>
          </w:p>
          <w:p w14:paraId="0A6BBA4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2.引导养老机构、社会福利机构的服务对象每年主动开展胸部X光片检查。</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04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spacing w:val="0"/>
                <w:kern w:val="2"/>
                <w:sz w:val="22"/>
                <w:szCs w:val="22"/>
              </w:rPr>
              <w:t>养老机构</w:t>
            </w:r>
            <w:r>
              <w:rPr>
                <w:rFonts w:hint="eastAsia"/>
                <w:spacing w:val="0"/>
                <w:kern w:val="2"/>
                <w:sz w:val="22"/>
                <w:szCs w:val="22"/>
                <w:lang w:eastAsia="zh-CN"/>
              </w:rPr>
              <w:t>、</w:t>
            </w:r>
            <w:r>
              <w:rPr>
                <w:rFonts w:hint="default" w:ascii="Times New Roman" w:hAnsi="Times New Roman" w:eastAsia="方正仿宋_GBK" w:cs="Times New Roman"/>
                <w:i w:val="0"/>
                <w:iCs w:val="0"/>
                <w:color w:val="000000"/>
                <w:kern w:val="0"/>
                <w:sz w:val="22"/>
                <w:szCs w:val="22"/>
                <w:u w:val="none"/>
                <w:lang w:val="en-US" w:eastAsia="zh-CN" w:bidi="ar"/>
              </w:rPr>
              <w:t>社会福利机构的从业人员检查率100%。</w:t>
            </w:r>
          </w:p>
        </w:tc>
      </w:tr>
      <w:tr w14:paraId="42FA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67" w:type="dxa"/>
            <w:vMerge w:val="continue"/>
            <w:tcBorders>
              <w:left w:val="single" w:color="auto" w:sz="4" w:space="0"/>
              <w:bottom w:val="single" w:color="auto" w:sz="4" w:space="0"/>
              <w:right w:val="single" w:color="auto" w:sz="4" w:space="0"/>
            </w:tcBorders>
            <w:shd w:val="clear" w:color="auto" w:fill="auto"/>
            <w:vAlign w:val="center"/>
          </w:tcPr>
          <w:p w14:paraId="763A25B0">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000000"/>
                <w:sz w:val="22"/>
                <w:szCs w:val="22"/>
                <w:u w:val="none"/>
              </w:rPr>
            </w:pPr>
          </w:p>
        </w:tc>
        <w:tc>
          <w:tcPr>
            <w:tcW w:w="1620" w:type="dxa"/>
            <w:tcBorders>
              <w:top w:val="single" w:color="000000" w:sz="4" w:space="0"/>
              <w:left w:val="single" w:color="auto" w:sz="4" w:space="0"/>
              <w:bottom w:val="single" w:color="000000" w:sz="4" w:space="0"/>
              <w:right w:val="single" w:color="000000" w:sz="4" w:space="0"/>
            </w:tcBorders>
            <w:shd w:val="clear" w:color="auto" w:fill="auto"/>
            <w:vAlign w:val="center"/>
          </w:tcPr>
          <w:p w14:paraId="7E7624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区农业农村委</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E8C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开展规模养殖场员工入职和年度体检结核病筛查工作。</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C5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筛查率100%。</w:t>
            </w:r>
          </w:p>
        </w:tc>
      </w:tr>
      <w:tr w14:paraId="4F99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58" w:hRule="atLeast"/>
        </w:trPr>
        <w:tc>
          <w:tcPr>
            <w:tcW w:w="1467" w:type="dxa"/>
            <w:vMerge w:val="restart"/>
            <w:tcBorders>
              <w:top w:val="single" w:color="auto" w:sz="4" w:space="0"/>
              <w:left w:val="single" w:color="000000" w:sz="4" w:space="0"/>
              <w:right w:val="single" w:color="000000" w:sz="4" w:space="0"/>
            </w:tcBorders>
            <w:shd w:val="clear" w:color="auto" w:fill="auto"/>
            <w:noWrap/>
            <w:vAlign w:val="center"/>
          </w:tcPr>
          <w:p w14:paraId="69FE37C5">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三、规范治疗行动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1B9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各镇街、区卫生健康委</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B585">
            <w:pPr>
              <w:keepNext w:val="0"/>
              <w:keepLines w:val="0"/>
              <w:widowControl/>
              <w:numPr>
                <w:ilvl w:val="0"/>
                <w:numId w:val="0"/>
              </w:numPr>
              <w:suppressLineNumbers w:val="0"/>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r>
              <w:rPr>
                <w:rFonts w:hint="default" w:ascii="Times New Roman" w:hAnsi="Times New Roman" w:eastAsia="方正仿宋_GBK" w:cs="Times New Roman"/>
                <w:i w:val="0"/>
                <w:iCs w:val="0"/>
                <w:color w:val="000000"/>
                <w:kern w:val="0"/>
                <w:sz w:val="22"/>
                <w:szCs w:val="22"/>
                <w:u w:val="none"/>
                <w:lang w:val="en-US" w:eastAsia="zh-CN" w:bidi="ar"/>
              </w:rPr>
              <w:t>发现结核病患者及时转诊，定点收治。</w:t>
            </w:r>
          </w:p>
          <w:p w14:paraId="605650BD">
            <w:pPr>
              <w:keepNext w:val="0"/>
              <w:keepLines w:val="0"/>
              <w:widowControl/>
              <w:numPr>
                <w:ilvl w:val="0"/>
                <w:numId w:val="0"/>
              </w:numPr>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2.</w:t>
            </w:r>
            <w:r>
              <w:rPr>
                <w:rFonts w:hint="default" w:ascii="Times New Roman" w:hAnsi="Times New Roman" w:eastAsia="方正仿宋_GBK" w:cs="Times New Roman"/>
                <w:i w:val="0"/>
                <w:iCs w:val="0"/>
                <w:color w:val="000000"/>
                <w:kern w:val="0"/>
                <w:sz w:val="22"/>
                <w:szCs w:val="22"/>
                <w:u w:val="none"/>
                <w:lang w:val="en-US" w:eastAsia="zh-CN" w:bidi="ar"/>
              </w:rPr>
              <w:t>传染期结核病患者定点住院治疗。</w:t>
            </w:r>
          </w:p>
          <w:p w14:paraId="35AF0727">
            <w:pPr>
              <w:keepNext w:val="0"/>
              <w:keepLines w:val="0"/>
              <w:widowControl/>
              <w:numPr>
                <w:ilvl w:val="0"/>
                <w:numId w:val="0"/>
              </w:numPr>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3.</w:t>
            </w:r>
            <w:r>
              <w:rPr>
                <w:rFonts w:hint="default" w:ascii="Times New Roman" w:hAnsi="Times New Roman" w:eastAsia="方正仿宋_GBK" w:cs="Times New Roman"/>
                <w:i w:val="0"/>
                <w:iCs w:val="0"/>
                <w:color w:val="000000"/>
                <w:kern w:val="0"/>
                <w:sz w:val="22"/>
                <w:szCs w:val="22"/>
                <w:u w:val="none"/>
                <w:lang w:val="en-US" w:eastAsia="zh-CN" w:bidi="ar"/>
              </w:rPr>
              <w:t>结核病人规范化诊疗。</w:t>
            </w:r>
          </w:p>
          <w:p w14:paraId="7AF12BE1">
            <w:pPr>
              <w:keepNext w:val="0"/>
              <w:keepLines w:val="0"/>
              <w:widowControl/>
              <w:numPr>
                <w:ilvl w:val="0"/>
                <w:numId w:val="0"/>
              </w:numPr>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4.</w:t>
            </w:r>
            <w:r>
              <w:rPr>
                <w:rFonts w:hint="default" w:ascii="Times New Roman" w:hAnsi="Times New Roman" w:eastAsia="方正仿宋_GBK" w:cs="Times New Roman"/>
                <w:i w:val="0"/>
                <w:iCs w:val="0"/>
                <w:color w:val="000000"/>
                <w:kern w:val="0"/>
                <w:sz w:val="22"/>
                <w:szCs w:val="22"/>
                <w:u w:val="none"/>
                <w:lang w:val="en-US" w:eastAsia="zh-CN" w:bidi="ar"/>
              </w:rPr>
              <w:t>强化结核病患者随访管理。</w:t>
            </w:r>
          </w:p>
          <w:p w14:paraId="19BC5882">
            <w:pPr>
              <w:keepNext w:val="0"/>
              <w:keepLines w:val="0"/>
              <w:widowControl/>
              <w:numPr>
                <w:ilvl w:val="0"/>
                <w:numId w:val="0"/>
              </w:numPr>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方正仿宋_GBK" w:cs="Times New Roman"/>
                <w:i w:val="0"/>
                <w:iCs w:val="0"/>
                <w:color w:val="000000"/>
                <w:kern w:val="0"/>
                <w:sz w:val="22"/>
                <w:szCs w:val="22"/>
                <w:u w:val="none"/>
                <w:lang w:val="en-US" w:eastAsia="zh-CN" w:bidi="ar"/>
              </w:rPr>
              <w:t>基层医疗卫生机构提供延伸服务送医、送药上门或远程医疗服务。</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455A">
            <w:pPr>
              <w:keepNext w:val="0"/>
              <w:keepLines w:val="0"/>
              <w:widowControl/>
              <w:numPr>
                <w:ilvl w:val="0"/>
                <w:numId w:val="0"/>
              </w:numPr>
              <w:suppressLineNumbers w:val="0"/>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r>
              <w:rPr>
                <w:rFonts w:hint="default" w:ascii="Times New Roman" w:hAnsi="Times New Roman" w:eastAsia="方正仿宋_GBK" w:cs="Times New Roman"/>
                <w:i w:val="0"/>
                <w:iCs w:val="0"/>
                <w:color w:val="000000"/>
                <w:kern w:val="0"/>
                <w:sz w:val="22"/>
                <w:szCs w:val="22"/>
                <w:u w:val="none"/>
                <w:lang w:val="en-US" w:eastAsia="zh-CN" w:bidi="ar"/>
              </w:rPr>
              <w:t>发现结核病患者及时转诊、定点收治，总体到位率达到95%以上。</w:t>
            </w:r>
          </w:p>
          <w:p w14:paraId="6FA2E3B3">
            <w:pPr>
              <w:keepNext w:val="0"/>
              <w:keepLines w:val="0"/>
              <w:widowControl/>
              <w:numPr>
                <w:ilvl w:val="0"/>
                <w:numId w:val="0"/>
              </w:numPr>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2.</w:t>
            </w:r>
            <w:r>
              <w:rPr>
                <w:rFonts w:hint="default" w:ascii="Times New Roman" w:hAnsi="Times New Roman" w:eastAsia="方正仿宋_GBK" w:cs="Times New Roman"/>
                <w:i w:val="0"/>
                <w:iCs w:val="0"/>
                <w:color w:val="000000"/>
                <w:kern w:val="0"/>
                <w:sz w:val="22"/>
                <w:szCs w:val="22"/>
                <w:u w:val="none"/>
                <w:lang w:val="en-US" w:eastAsia="zh-CN" w:bidi="ar"/>
              </w:rPr>
              <w:t>传染期结核病患者定点住院治疗率达到90%以上。</w:t>
            </w:r>
          </w:p>
          <w:p w14:paraId="236DEB3F">
            <w:pPr>
              <w:keepNext w:val="0"/>
              <w:keepLines w:val="0"/>
              <w:widowControl/>
              <w:numPr>
                <w:ilvl w:val="0"/>
                <w:numId w:val="0"/>
              </w:numPr>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3.</w:t>
            </w:r>
            <w:r>
              <w:rPr>
                <w:rFonts w:hint="default" w:ascii="Times New Roman" w:hAnsi="Times New Roman" w:eastAsia="方正仿宋_GBK" w:cs="Times New Roman"/>
                <w:i w:val="0"/>
                <w:iCs w:val="0"/>
                <w:color w:val="000000"/>
                <w:kern w:val="0"/>
                <w:sz w:val="22"/>
                <w:szCs w:val="22"/>
                <w:u w:val="none"/>
                <w:lang w:val="en-US" w:eastAsia="zh-CN" w:bidi="ar"/>
              </w:rPr>
              <w:t>标准治疗方案使用率达到90%以上。</w:t>
            </w:r>
          </w:p>
          <w:p w14:paraId="59202C63">
            <w:pPr>
              <w:keepNext w:val="0"/>
              <w:keepLines w:val="0"/>
              <w:widowControl/>
              <w:numPr>
                <w:ilvl w:val="0"/>
                <w:numId w:val="0"/>
              </w:numPr>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4.</w:t>
            </w:r>
            <w:r>
              <w:rPr>
                <w:rFonts w:hint="default" w:ascii="Times New Roman" w:hAnsi="Times New Roman" w:eastAsia="方正仿宋_GBK" w:cs="Times New Roman"/>
                <w:i w:val="0"/>
                <w:iCs w:val="0"/>
                <w:color w:val="000000"/>
                <w:kern w:val="0"/>
                <w:sz w:val="22"/>
                <w:szCs w:val="22"/>
                <w:u w:val="none"/>
                <w:lang w:val="en-US" w:eastAsia="zh-CN" w:bidi="ar"/>
              </w:rPr>
              <w:t>患者管理率、规范管理率和规则服药率保持在90%以上。</w:t>
            </w:r>
          </w:p>
          <w:p w14:paraId="6D05C5ED">
            <w:pPr>
              <w:keepNext w:val="0"/>
              <w:keepLines w:val="0"/>
              <w:widowControl/>
              <w:numPr>
                <w:ilvl w:val="0"/>
                <w:numId w:val="0"/>
              </w:numPr>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方正仿宋_GBK" w:cs="Times New Roman"/>
                <w:i w:val="0"/>
                <w:iCs w:val="0"/>
                <w:color w:val="000000"/>
                <w:kern w:val="0"/>
                <w:sz w:val="22"/>
                <w:szCs w:val="22"/>
                <w:u w:val="none"/>
                <w:lang w:val="en-US" w:eastAsia="zh-CN" w:bidi="ar"/>
              </w:rPr>
              <w:t>对于不规范治疗患者基层医疗机构向所属镇街反馈，镇街共同上门动员。</w:t>
            </w:r>
          </w:p>
          <w:p w14:paraId="1623DCC8">
            <w:pPr>
              <w:keepNext w:val="0"/>
              <w:keepLines w:val="0"/>
              <w:widowControl/>
              <w:numPr>
                <w:ilvl w:val="0"/>
                <w:numId w:val="0"/>
              </w:numPr>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6.</w:t>
            </w:r>
            <w:r>
              <w:rPr>
                <w:rFonts w:hint="default" w:ascii="Times New Roman" w:hAnsi="Times New Roman" w:eastAsia="方正仿宋_GBK" w:cs="Times New Roman"/>
                <w:i w:val="0"/>
                <w:iCs w:val="0"/>
                <w:color w:val="000000"/>
                <w:kern w:val="0"/>
                <w:sz w:val="22"/>
                <w:szCs w:val="22"/>
                <w:u w:val="none"/>
                <w:lang w:val="en-US" w:eastAsia="zh-CN" w:bidi="ar"/>
              </w:rPr>
              <w:t>到2027年，延伸服务点覆盖率达到70%以上。</w:t>
            </w:r>
          </w:p>
        </w:tc>
      </w:tr>
      <w:tr w14:paraId="06BD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67" w:type="dxa"/>
            <w:vMerge w:val="continue"/>
            <w:tcBorders>
              <w:left w:val="single" w:color="000000" w:sz="4" w:space="0"/>
              <w:right w:val="single" w:color="000000" w:sz="4" w:space="0"/>
            </w:tcBorders>
            <w:shd w:val="clear" w:color="auto" w:fill="auto"/>
            <w:noWrap/>
            <w:vAlign w:val="center"/>
          </w:tcPr>
          <w:p w14:paraId="23049595">
            <w:pPr>
              <w:jc w:val="both"/>
              <w:rPr>
                <w:rFonts w:hint="default" w:ascii="Times New Roman" w:hAnsi="Times New Roman" w:eastAsia="方正仿宋_GBK" w:cs="Times New Roman"/>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45C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highlight w:val="yellow"/>
                <w:u w:val="none"/>
              </w:rPr>
            </w:pPr>
            <w:r>
              <w:rPr>
                <w:rFonts w:hint="default" w:ascii="Times New Roman" w:hAnsi="Times New Roman" w:eastAsia="方正仿宋_GBK" w:cs="Times New Roman"/>
                <w:i w:val="0"/>
                <w:iCs w:val="0"/>
                <w:color w:val="000000"/>
                <w:kern w:val="0"/>
                <w:sz w:val="22"/>
                <w:szCs w:val="22"/>
                <w:highlight w:val="none"/>
                <w:u w:val="none"/>
                <w:lang w:val="en-US" w:eastAsia="zh-CN" w:bidi="ar"/>
              </w:rPr>
              <w:t>区教委</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D0AF">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安排专人负责患病学生、教职工、学校密切接触者的随访管理，做好学校人群休复学（课、工）、接受预防性治疗的学生、教职工服药管理。</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FC4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患者管理率、规范管理率和规则服药率保持在90%以上。</w:t>
            </w:r>
          </w:p>
        </w:tc>
      </w:tr>
      <w:tr w14:paraId="25873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467" w:type="dxa"/>
            <w:vMerge w:val="continue"/>
            <w:tcBorders>
              <w:left w:val="single" w:color="000000" w:sz="4" w:space="0"/>
              <w:bottom w:val="single" w:color="auto" w:sz="4" w:space="0"/>
              <w:right w:val="single" w:color="000000" w:sz="4" w:space="0"/>
            </w:tcBorders>
            <w:shd w:val="clear" w:color="auto" w:fill="auto"/>
            <w:noWrap/>
            <w:vAlign w:val="center"/>
          </w:tcPr>
          <w:p w14:paraId="1484420C">
            <w:pPr>
              <w:jc w:val="both"/>
              <w:rPr>
                <w:rFonts w:hint="default" w:ascii="Times New Roman" w:hAnsi="Times New Roman" w:eastAsia="方正仿宋_GBK" w:cs="Times New Roman"/>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AD5B">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2"/>
                <w:sz w:val="22"/>
                <w:szCs w:val="22"/>
                <w:highlight w:val="yellow"/>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区公安分局</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41BE">
            <w:pPr>
              <w:keepNext w:val="0"/>
              <w:keepLines w:val="0"/>
              <w:widowControl/>
              <w:suppressLineNumbers w:val="0"/>
              <w:jc w:val="both"/>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监管场所医疗机构要将出监（所）且正在治疗的结核病患者及时转至患者现住址的定点医疗机构继续实施治</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1832">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公安部门及时将出监（所）人员信息反馈给监管场所医疗机构，监管场所医疗机构及时将</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方正仿宋_GBK" w:cs="Times New Roman"/>
                <w:i w:val="0"/>
                <w:iCs w:val="0"/>
                <w:color w:val="000000"/>
                <w:kern w:val="0"/>
                <w:sz w:val="22"/>
                <w:szCs w:val="22"/>
                <w:u w:val="none"/>
                <w:lang w:val="en-US" w:eastAsia="zh-CN" w:bidi="ar"/>
              </w:rPr>
              <w:t>。</w:t>
            </w:r>
          </w:p>
        </w:tc>
      </w:tr>
      <w:tr w14:paraId="1687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4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B927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4"/>
                <w:szCs w:val="24"/>
                <w:u w:val="none"/>
                <w:lang w:val="en-US" w:eastAsia="zh-CN" w:bidi="ar"/>
              </w:rPr>
              <w:t>工作项目</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73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责任部门</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7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具体工作内容</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B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工作要求</w:t>
            </w:r>
          </w:p>
        </w:tc>
      </w:tr>
      <w:tr w14:paraId="76C7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2FE9CAE">
            <w:pPr>
              <w:jc w:val="both"/>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三、规范治疗行动</w:t>
            </w:r>
            <w:r>
              <w:rPr>
                <w:rFonts w:hint="eastAsia" w:cs="Times New Roman"/>
                <w:i w:val="0"/>
                <w:iCs w:val="0"/>
                <w:color w:val="000000"/>
                <w:kern w:val="0"/>
                <w:sz w:val="22"/>
                <w:szCs w:val="22"/>
                <w:u w:val="none"/>
                <w:lang w:val="en-US" w:eastAsia="zh-CN" w:bidi="ar"/>
              </w:rPr>
              <w:t>（接上页）</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6A1E">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2"/>
                <w:sz w:val="22"/>
                <w:szCs w:val="22"/>
                <w:highlight w:val="yellow"/>
                <w:u w:val="none"/>
                <w:lang w:val="en-US" w:eastAsia="zh-CN" w:bidi="ar-SA"/>
              </w:rPr>
            </w:pPr>
            <w:r>
              <w:rPr>
                <w:rFonts w:hint="eastAsia" w:cs="Times New Roman"/>
                <w:i w:val="0"/>
                <w:iCs w:val="0"/>
                <w:color w:val="000000"/>
                <w:kern w:val="0"/>
                <w:sz w:val="22"/>
                <w:szCs w:val="22"/>
                <w:u w:val="none"/>
                <w:lang w:val="en-US" w:eastAsia="zh-CN" w:bidi="ar"/>
              </w:rPr>
              <w:t xml:space="preserve"> 公安分局</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BC6E">
            <w:pPr>
              <w:keepNext w:val="0"/>
              <w:keepLines w:val="0"/>
              <w:widowControl/>
              <w:suppressLineNumbers w:val="0"/>
              <w:jc w:val="both"/>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疗管理。</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47B3">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者信息反馈给患者现住址辖区社区卫生服务中心。当地社区卫生服务中心做好人员管理</w:t>
            </w:r>
          </w:p>
        </w:tc>
      </w:tr>
      <w:tr w14:paraId="750A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46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121440">
            <w:pPr>
              <w:jc w:val="both"/>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四、遏制耐药结核行动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A4D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区卫生健康委</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C047">
            <w:pPr>
              <w:keepNext w:val="0"/>
              <w:keepLines w:val="0"/>
              <w:widowControl/>
              <w:numPr>
                <w:ilvl w:val="0"/>
                <w:numId w:val="0"/>
              </w:numPr>
              <w:suppressLineNumbers w:val="0"/>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r>
              <w:rPr>
                <w:rFonts w:hint="default" w:ascii="Times New Roman" w:hAnsi="Times New Roman" w:eastAsia="方正仿宋_GBK" w:cs="Times New Roman"/>
                <w:i w:val="0"/>
                <w:iCs w:val="0"/>
                <w:color w:val="000000"/>
                <w:kern w:val="0"/>
                <w:sz w:val="22"/>
                <w:szCs w:val="22"/>
                <w:u w:val="none"/>
                <w:lang w:val="en-US" w:eastAsia="zh-CN" w:bidi="ar"/>
              </w:rPr>
              <w:t>区定点医疗机构对结核病患者开展耐药筛查。</w:t>
            </w:r>
          </w:p>
          <w:p w14:paraId="0EFF4D83">
            <w:pPr>
              <w:keepNext w:val="0"/>
              <w:keepLines w:val="0"/>
              <w:widowControl/>
              <w:numPr>
                <w:ilvl w:val="0"/>
                <w:numId w:val="0"/>
              </w:numPr>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2.</w:t>
            </w:r>
            <w:r>
              <w:rPr>
                <w:rFonts w:hint="default" w:ascii="Times New Roman" w:hAnsi="Times New Roman" w:eastAsia="方正仿宋_GBK" w:cs="Times New Roman"/>
                <w:i w:val="0"/>
                <w:iCs w:val="0"/>
                <w:color w:val="000000"/>
                <w:kern w:val="0"/>
                <w:sz w:val="22"/>
                <w:szCs w:val="22"/>
                <w:u w:val="none"/>
                <w:lang w:val="en-US" w:eastAsia="zh-CN" w:bidi="ar"/>
              </w:rPr>
              <w:t>对发现的耐药结核病患者要及时转至耐药结核病定点医疗机构诊治。</w:t>
            </w:r>
          </w:p>
          <w:p w14:paraId="2BB62D6B">
            <w:pPr>
              <w:keepNext w:val="0"/>
              <w:keepLines w:val="0"/>
              <w:widowControl/>
              <w:numPr>
                <w:ilvl w:val="0"/>
                <w:numId w:val="0"/>
              </w:numPr>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3.</w:t>
            </w:r>
            <w:r>
              <w:rPr>
                <w:rFonts w:hint="default" w:ascii="Times New Roman" w:hAnsi="Times New Roman" w:eastAsia="方正仿宋_GBK" w:cs="Times New Roman"/>
                <w:i w:val="0"/>
                <w:iCs w:val="0"/>
                <w:color w:val="000000"/>
                <w:kern w:val="0"/>
                <w:sz w:val="22"/>
                <w:szCs w:val="22"/>
                <w:u w:val="none"/>
                <w:lang w:val="en-US" w:eastAsia="zh-CN" w:bidi="ar"/>
              </w:rPr>
              <w:t>耐药结核病患者转诊、定点医院治疗管理。</w:t>
            </w:r>
          </w:p>
        </w:tc>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765F">
            <w:pPr>
              <w:keepNext w:val="0"/>
              <w:keepLines w:val="0"/>
              <w:widowControl/>
              <w:numPr>
                <w:ilvl w:val="0"/>
                <w:numId w:val="0"/>
              </w:numPr>
              <w:suppressLineNumbers w:val="0"/>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r>
              <w:rPr>
                <w:rFonts w:hint="default" w:ascii="Times New Roman" w:hAnsi="Times New Roman" w:eastAsia="方正仿宋_GBK" w:cs="Times New Roman"/>
                <w:i w:val="0"/>
                <w:iCs w:val="0"/>
                <w:color w:val="000000"/>
                <w:kern w:val="0"/>
                <w:sz w:val="22"/>
                <w:szCs w:val="22"/>
                <w:u w:val="none"/>
                <w:lang w:val="en-US" w:eastAsia="zh-CN" w:bidi="ar"/>
              </w:rPr>
              <w:t>开展耐药筛查达到95%以上。</w:t>
            </w:r>
          </w:p>
          <w:p w14:paraId="33F1CCF8">
            <w:pPr>
              <w:keepNext w:val="0"/>
              <w:keepLines w:val="0"/>
              <w:widowControl/>
              <w:numPr>
                <w:ilvl w:val="0"/>
                <w:numId w:val="0"/>
              </w:numPr>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2.</w:t>
            </w:r>
            <w:r>
              <w:rPr>
                <w:rFonts w:hint="default" w:ascii="Times New Roman" w:hAnsi="Times New Roman" w:eastAsia="方正仿宋_GBK" w:cs="Times New Roman"/>
                <w:i w:val="0"/>
                <w:iCs w:val="0"/>
                <w:color w:val="000000"/>
                <w:kern w:val="0"/>
                <w:sz w:val="22"/>
                <w:szCs w:val="22"/>
                <w:u w:val="none"/>
                <w:lang w:val="en-US" w:eastAsia="zh-CN" w:bidi="ar"/>
              </w:rPr>
              <w:t>转诊率100%。</w:t>
            </w:r>
          </w:p>
          <w:p w14:paraId="7F8EA4CB">
            <w:pPr>
              <w:keepNext w:val="0"/>
              <w:keepLines w:val="0"/>
              <w:widowControl/>
              <w:numPr>
                <w:ilvl w:val="-1"/>
                <w:numId w:val="0"/>
              </w:numPr>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3.</w:t>
            </w:r>
            <w:r>
              <w:rPr>
                <w:rFonts w:hint="default" w:ascii="Times New Roman" w:hAnsi="Times New Roman" w:eastAsia="方正仿宋_GBK" w:cs="Times New Roman"/>
                <w:i w:val="0"/>
                <w:iCs w:val="0"/>
                <w:color w:val="000000"/>
                <w:kern w:val="0"/>
                <w:sz w:val="22"/>
                <w:szCs w:val="22"/>
                <w:u w:val="none"/>
                <w:lang w:val="en-US" w:eastAsia="zh-CN" w:bidi="ar"/>
              </w:rPr>
              <w:t xml:space="preserve">利福平耐药结核病患者初始治疗方案规范率达到90%以上，全区耐药结核病患者纳入治疗率达到95%以上，规范率达到90%以上。 </w:t>
            </w:r>
          </w:p>
        </w:tc>
      </w:tr>
      <w:tr w14:paraId="3E17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1467" w:type="dxa"/>
            <w:vMerge w:val="restart"/>
            <w:tcBorders>
              <w:top w:val="single" w:color="000000" w:sz="4" w:space="0"/>
              <w:left w:val="single" w:color="000000" w:sz="4" w:space="0"/>
              <w:right w:val="single" w:color="000000" w:sz="4" w:space="0"/>
            </w:tcBorders>
            <w:shd w:val="clear" w:color="auto" w:fill="auto"/>
            <w:noWrap/>
            <w:vAlign w:val="center"/>
          </w:tcPr>
          <w:p w14:paraId="0D269F33">
            <w:pPr>
              <w:keepNext w:val="0"/>
              <w:keepLines w:val="0"/>
              <w:widowControl/>
              <w:suppressLineNumbers w:val="0"/>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p>
          <w:p w14:paraId="1E54F458">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五、患者关爱行动</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27B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区医保局、区卫生健康委</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A1A9">
            <w:pPr>
              <w:keepNext w:val="0"/>
              <w:keepLines w:val="0"/>
              <w:widowControl/>
              <w:numPr>
                <w:ilvl w:val="0"/>
                <w:numId w:val="0"/>
              </w:numPr>
              <w:suppressLineNumbers w:val="0"/>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1.按照国家医疗保险目录管理有关规定，严格执行市局将符合条件的诊疗项目及药品纳入基本医疗保险支付范围，贯彻落实结核病（包括耐药结核病患者）基本医疗保险门诊、住院特殊病种支付限额相关政策。</w:t>
            </w:r>
          </w:p>
          <w:p w14:paraId="786C3860">
            <w:pPr>
              <w:keepNext w:val="0"/>
              <w:keepLines w:val="0"/>
              <w:widowControl/>
              <w:numPr>
                <w:ilvl w:val="0"/>
                <w:numId w:val="0"/>
              </w:numPr>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2.落实国家、市抗结核药品集中带量采购相关政策，对治疗耐药结核病效果良好、但价格较为昂贵的二线抗结核药物不纳入药占比计算范围。</w:t>
            </w:r>
          </w:p>
        </w:tc>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FCC1">
            <w:pPr>
              <w:rPr>
                <w:rFonts w:hint="default" w:ascii="Times New Roman" w:hAnsi="Times New Roman" w:eastAsia="方正仿宋_GBK" w:cs="Times New Roman"/>
                <w:i w:val="0"/>
                <w:iCs w:val="0"/>
                <w:color w:val="000000"/>
                <w:sz w:val="22"/>
                <w:szCs w:val="22"/>
                <w:u w:val="none"/>
              </w:rPr>
            </w:pPr>
          </w:p>
        </w:tc>
      </w:tr>
      <w:tr w14:paraId="0E38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467" w:type="dxa"/>
            <w:vMerge w:val="continue"/>
            <w:tcBorders>
              <w:left w:val="single" w:color="000000" w:sz="4" w:space="0"/>
              <w:right w:val="single" w:color="000000" w:sz="4" w:space="0"/>
            </w:tcBorders>
            <w:shd w:val="clear" w:color="auto" w:fill="auto"/>
            <w:noWrap/>
            <w:vAlign w:val="center"/>
          </w:tcPr>
          <w:p w14:paraId="462246DF">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8CF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区民政局</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BC58">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对符合条件的困难结核病患者实施最低生活保障。</w:t>
            </w:r>
          </w:p>
        </w:tc>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5FD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kern w:val="0"/>
                <w:sz w:val="22"/>
                <w:szCs w:val="22"/>
                <w:u w:val="none"/>
                <w:lang w:val="en-US" w:eastAsia="zh-CN" w:bidi="ar"/>
              </w:rPr>
              <w:t>对符合条件的困难结核病患者实施最低生活保障100%。</w:t>
            </w:r>
          </w:p>
        </w:tc>
      </w:tr>
      <w:tr w14:paraId="4846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67" w:type="dxa"/>
            <w:vMerge w:val="continue"/>
            <w:tcBorders>
              <w:left w:val="single" w:color="000000" w:sz="4" w:space="0"/>
              <w:right w:val="single" w:color="000000" w:sz="4" w:space="0"/>
            </w:tcBorders>
            <w:shd w:val="clear" w:color="auto" w:fill="auto"/>
            <w:noWrap/>
            <w:vAlign w:val="center"/>
          </w:tcPr>
          <w:p w14:paraId="17AC8681">
            <w:pPr>
              <w:jc w:val="both"/>
              <w:rPr>
                <w:rFonts w:hint="default" w:ascii="Times New Roman" w:hAnsi="Times New Roman" w:eastAsia="方正仿宋_GBK" w:cs="Times New Roman"/>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CE7E">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区红十字会</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E65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为符合条件的结核病患者开展慈善帮扶。</w:t>
            </w:r>
          </w:p>
        </w:tc>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986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为符合条件的结核病患者开展慈善帮扶做到应帮尽帮。</w:t>
            </w:r>
          </w:p>
        </w:tc>
      </w:tr>
      <w:tr w14:paraId="588FD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67" w:type="dxa"/>
            <w:vMerge w:val="continue"/>
            <w:tcBorders>
              <w:left w:val="single" w:color="000000" w:sz="4" w:space="0"/>
              <w:bottom w:val="single" w:color="000000" w:sz="4" w:space="0"/>
              <w:right w:val="single" w:color="000000" w:sz="4" w:space="0"/>
            </w:tcBorders>
            <w:shd w:val="clear" w:color="auto" w:fill="auto"/>
            <w:noWrap/>
            <w:vAlign w:val="center"/>
          </w:tcPr>
          <w:p w14:paraId="7863672D">
            <w:pPr>
              <w:jc w:val="both"/>
              <w:rPr>
                <w:rFonts w:hint="default" w:ascii="Times New Roman" w:hAnsi="Times New Roman" w:eastAsia="方正仿宋_GBK" w:cs="Times New Roman"/>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8E0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各街镇、区卫生健康委</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4CA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每年对近5年内既往结核病患者及家属开展随访观察，对有症状者开展结核病检查。</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237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各街镇网格化管理、基层医疗机构负责随访。</w:t>
            </w:r>
          </w:p>
        </w:tc>
      </w:tr>
      <w:tr w14:paraId="50D3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467" w:type="dxa"/>
            <w:tcBorders>
              <w:top w:val="single" w:color="000000" w:sz="4" w:space="0"/>
              <w:left w:val="single" w:color="000000" w:sz="4" w:space="0"/>
              <w:right w:val="single" w:color="000000" w:sz="4" w:space="0"/>
            </w:tcBorders>
            <w:shd w:val="clear" w:color="auto" w:fill="auto"/>
            <w:noWrap/>
            <w:vAlign w:val="center"/>
          </w:tcPr>
          <w:p w14:paraId="0C5101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4"/>
                <w:szCs w:val="24"/>
                <w:u w:val="none"/>
                <w:lang w:val="en-US" w:eastAsia="zh-CN" w:bidi="ar"/>
              </w:rPr>
              <w:t>工作项目</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59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责任部门</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B8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具体工作内容</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3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工作要求</w:t>
            </w:r>
          </w:p>
        </w:tc>
      </w:tr>
      <w:tr w14:paraId="39FF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467" w:type="dxa"/>
            <w:vMerge w:val="restart"/>
            <w:tcBorders>
              <w:top w:val="single" w:color="000000" w:sz="4" w:space="0"/>
              <w:left w:val="single" w:color="000000" w:sz="4" w:space="0"/>
              <w:right w:val="single" w:color="000000" w:sz="4" w:space="0"/>
            </w:tcBorders>
            <w:shd w:val="clear" w:color="auto" w:fill="auto"/>
            <w:noWrap/>
            <w:vAlign w:val="center"/>
          </w:tcPr>
          <w:p w14:paraId="42A6FEC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六、预防阻断行动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2CF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区卫生健康委</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04B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新生儿卡介苗预防接种。</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3AB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新生儿预防接种率达到98%。</w:t>
            </w:r>
          </w:p>
        </w:tc>
      </w:tr>
      <w:tr w14:paraId="1F4D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67" w:type="dxa"/>
            <w:vMerge w:val="continue"/>
            <w:tcBorders>
              <w:left w:val="single" w:color="000000" w:sz="4" w:space="0"/>
              <w:right w:val="single" w:color="000000" w:sz="4" w:space="0"/>
            </w:tcBorders>
            <w:shd w:val="clear" w:color="auto" w:fill="auto"/>
            <w:noWrap/>
            <w:vAlign w:val="center"/>
          </w:tcPr>
          <w:p w14:paraId="55F9E93A">
            <w:pPr>
              <w:jc w:val="both"/>
              <w:rPr>
                <w:rFonts w:hint="default" w:ascii="Times New Roman" w:hAnsi="Times New Roman" w:eastAsia="方正仿宋_GBK" w:cs="Times New Roman"/>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6A5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区教委、区卫生健康委</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D17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学校密切接触者预防性治疗。</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DBA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密接者预防性治疗接受率达到80%以上。</w:t>
            </w:r>
          </w:p>
        </w:tc>
      </w:tr>
      <w:tr w14:paraId="731A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67" w:type="dxa"/>
            <w:vMerge w:val="continue"/>
            <w:tcBorders>
              <w:left w:val="single" w:color="000000" w:sz="4" w:space="0"/>
              <w:right w:val="single" w:color="000000" w:sz="4" w:space="0"/>
            </w:tcBorders>
            <w:shd w:val="clear" w:color="auto" w:fill="auto"/>
            <w:vAlign w:val="center"/>
          </w:tcPr>
          <w:p w14:paraId="616ECCF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F9E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区民政局、区卫生健康委</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B82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养老机构密切接触者预防性治疗。</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B93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密接者预防性治疗接受率达到80%以上。</w:t>
            </w:r>
          </w:p>
        </w:tc>
      </w:tr>
      <w:tr w14:paraId="0D186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467" w:type="dxa"/>
            <w:vMerge w:val="continue"/>
            <w:tcBorders>
              <w:left w:val="single" w:color="000000" w:sz="4" w:space="0"/>
              <w:right w:val="single" w:color="000000" w:sz="4" w:space="0"/>
            </w:tcBorders>
            <w:shd w:val="clear" w:color="auto" w:fill="auto"/>
            <w:vAlign w:val="center"/>
          </w:tcPr>
          <w:p w14:paraId="7E8E780D">
            <w:pPr>
              <w:rPr>
                <w:rFonts w:hint="default" w:ascii="Times New Roman" w:hAnsi="Times New Roman" w:eastAsia="方正仿宋_GBK" w:cs="Times New Roman"/>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265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区公安分局、区卫生健康委</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69B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监所密切接触者预防性治疗。</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E57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密接者预防性治疗接受率达到80%以上。</w:t>
            </w:r>
          </w:p>
        </w:tc>
      </w:tr>
      <w:tr w14:paraId="2402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67" w:type="dxa"/>
            <w:vMerge w:val="continue"/>
            <w:tcBorders>
              <w:left w:val="single" w:color="000000" w:sz="4" w:space="0"/>
              <w:bottom w:val="single" w:color="auto" w:sz="4" w:space="0"/>
              <w:right w:val="single" w:color="000000" w:sz="4" w:space="0"/>
            </w:tcBorders>
            <w:shd w:val="clear" w:color="auto" w:fill="auto"/>
            <w:vAlign w:val="center"/>
          </w:tcPr>
          <w:p w14:paraId="13100FA4">
            <w:pPr>
              <w:rPr>
                <w:rFonts w:hint="default" w:ascii="Times New Roman" w:hAnsi="Times New Roman" w:eastAsia="方正仿宋_GBK" w:cs="Times New Roman"/>
                <w:i w:val="0"/>
                <w:iCs w:val="0"/>
                <w:color w:val="000000"/>
                <w:sz w:val="22"/>
                <w:szCs w:val="22"/>
                <w:u w:val="none"/>
              </w:rPr>
            </w:pPr>
          </w:p>
        </w:tc>
        <w:tc>
          <w:tcPr>
            <w:tcW w:w="1620" w:type="dxa"/>
            <w:tcBorders>
              <w:top w:val="single" w:color="000000" w:sz="4" w:space="0"/>
              <w:left w:val="single" w:color="000000" w:sz="4" w:space="0"/>
              <w:bottom w:val="single" w:color="auto" w:sz="4" w:space="0"/>
              <w:right w:val="single" w:color="000000" w:sz="4" w:space="0"/>
            </w:tcBorders>
            <w:shd w:val="clear" w:color="auto" w:fill="auto"/>
            <w:vAlign w:val="center"/>
          </w:tcPr>
          <w:p w14:paraId="1A43C60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区卫生健康委</w:t>
            </w:r>
          </w:p>
        </w:tc>
        <w:tc>
          <w:tcPr>
            <w:tcW w:w="5355" w:type="dxa"/>
            <w:tcBorders>
              <w:top w:val="single" w:color="000000" w:sz="4" w:space="0"/>
              <w:left w:val="single" w:color="000000" w:sz="4" w:space="0"/>
              <w:bottom w:val="single" w:color="auto" w:sz="4" w:space="0"/>
              <w:right w:val="single" w:color="000000" w:sz="4" w:space="0"/>
            </w:tcBorders>
            <w:shd w:val="clear" w:color="auto" w:fill="auto"/>
            <w:vAlign w:val="center"/>
          </w:tcPr>
          <w:p w14:paraId="262A0D3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各级各类医疗机构全院结核病感染控制培训。</w:t>
            </w:r>
          </w:p>
        </w:tc>
        <w:tc>
          <w:tcPr>
            <w:tcW w:w="4436" w:type="dxa"/>
            <w:tcBorders>
              <w:top w:val="single" w:color="000000" w:sz="4" w:space="0"/>
              <w:left w:val="single" w:color="000000" w:sz="4" w:space="0"/>
              <w:bottom w:val="single" w:color="auto" w:sz="4" w:space="0"/>
              <w:right w:val="single" w:color="000000" w:sz="4" w:space="0"/>
            </w:tcBorders>
            <w:shd w:val="clear" w:color="auto" w:fill="auto"/>
            <w:vAlign w:val="center"/>
          </w:tcPr>
          <w:p w14:paraId="1BDE946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每年至少开展1次。</w:t>
            </w:r>
          </w:p>
        </w:tc>
      </w:tr>
      <w:tr w14:paraId="7858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67" w:type="dxa"/>
            <w:vMerge w:val="restart"/>
            <w:tcBorders>
              <w:top w:val="single" w:color="auto" w:sz="4" w:space="0"/>
              <w:left w:val="single" w:color="auto" w:sz="4" w:space="0"/>
              <w:right w:val="single" w:color="auto" w:sz="4" w:space="0"/>
            </w:tcBorders>
            <w:shd w:val="clear" w:color="auto" w:fill="auto"/>
            <w:vAlign w:val="center"/>
          </w:tcPr>
          <w:p w14:paraId="6CE269BF">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七、宣传普及行动</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0D608E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区委宣传部</w:t>
            </w:r>
          </w:p>
        </w:tc>
        <w:tc>
          <w:tcPr>
            <w:tcW w:w="53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23C22">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将结核病防治知识纳入年度公益宣传计划。</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14:paraId="553CDD3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开展肺结核防治知识政策宣传、督促指导区内各类媒体将肺结核防治知识和政策列入公益宣传计划，倡导健康文明生活方式；指导、参与“世界防治肺结核日”等活动开展，普及健康知识。</w:t>
            </w:r>
          </w:p>
        </w:tc>
      </w:tr>
      <w:tr w14:paraId="66AC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67" w:type="dxa"/>
            <w:vMerge w:val="continue"/>
            <w:tcBorders>
              <w:left w:val="single" w:color="auto" w:sz="4" w:space="0"/>
              <w:right w:val="single" w:color="auto" w:sz="4" w:space="0"/>
            </w:tcBorders>
            <w:shd w:val="clear" w:color="auto" w:fill="auto"/>
            <w:vAlign w:val="center"/>
          </w:tcPr>
          <w:p w14:paraId="778AF51B">
            <w:pPr>
              <w:rPr>
                <w:rFonts w:hint="default" w:ascii="Times New Roman" w:hAnsi="Times New Roman" w:eastAsia="方正仿宋_GBK" w:cs="Times New Roman"/>
                <w:i w:val="0"/>
                <w:iCs w:val="0"/>
                <w:color w:val="000000"/>
                <w:sz w:val="22"/>
                <w:szCs w:val="22"/>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687A17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区教委</w:t>
            </w:r>
          </w:p>
        </w:tc>
        <w:tc>
          <w:tcPr>
            <w:tcW w:w="53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596E4">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学校以班级为单位，每学期至少开展1次结核病健康教育。</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14:paraId="76156BF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全覆盖100%。</w:t>
            </w:r>
          </w:p>
        </w:tc>
      </w:tr>
      <w:tr w14:paraId="4902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67" w:type="dxa"/>
            <w:vMerge w:val="continue"/>
            <w:tcBorders>
              <w:left w:val="single" w:color="auto" w:sz="4" w:space="0"/>
              <w:right w:val="single" w:color="auto" w:sz="4" w:space="0"/>
            </w:tcBorders>
            <w:shd w:val="clear" w:color="auto" w:fill="auto"/>
            <w:noWrap/>
            <w:vAlign w:val="center"/>
          </w:tcPr>
          <w:p w14:paraId="0CA9A149">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2"/>
                <w:szCs w:val="22"/>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6337E5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区卫生健康委</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14:paraId="699855D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区疾控中心联合街镇、各级各类医疗机构开展宣传教育。</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14:paraId="7F63587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每年至少1次。</w:t>
            </w:r>
          </w:p>
        </w:tc>
      </w:tr>
      <w:tr w14:paraId="45D2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467" w:type="dxa"/>
            <w:vMerge w:val="continue"/>
            <w:tcBorders>
              <w:left w:val="single" w:color="auto" w:sz="4" w:space="0"/>
              <w:bottom w:val="single" w:color="auto" w:sz="4" w:space="0"/>
              <w:right w:val="single" w:color="auto" w:sz="4" w:space="0"/>
            </w:tcBorders>
            <w:shd w:val="clear" w:color="auto" w:fill="auto"/>
            <w:noWrap/>
            <w:vAlign w:val="center"/>
          </w:tcPr>
          <w:p w14:paraId="6357B0A6">
            <w:pPr>
              <w:jc w:val="both"/>
              <w:rPr>
                <w:rFonts w:hint="default" w:ascii="Times New Roman" w:hAnsi="Times New Roman" w:eastAsia="方正仿宋_GBK" w:cs="Times New Roman"/>
                <w:i w:val="0"/>
                <w:iCs w:val="0"/>
                <w:color w:val="000000"/>
                <w:sz w:val="22"/>
                <w:szCs w:val="22"/>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A1C223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区卫生健康委</w:t>
            </w:r>
          </w:p>
        </w:tc>
        <w:tc>
          <w:tcPr>
            <w:tcW w:w="53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BE6B3">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结核病防治核心知识知晓率。</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14:paraId="3D29C73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达到85%以上，开展知晓率调查。</w:t>
            </w:r>
          </w:p>
        </w:tc>
      </w:tr>
      <w:tr w14:paraId="3513C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70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4"/>
                <w:szCs w:val="24"/>
                <w:u w:val="none"/>
                <w:lang w:val="en-US" w:eastAsia="zh-CN" w:bidi="ar"/>
              </w:rPr>
              <w:t>工作项目</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695A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责任部门</w:t>
            </w:r>
          </w:p>
        </w:tc>
        <w:tc>
          <w:tcPr>
            <w:tcW w:w="53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44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具体工作内容</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14:paraId="73A150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工作要求</w:t>
            </w:r>
          </w:p>
        </w:tc>
      </w:tr>
      <w:tr w14:paraId="71EB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C95EE">
            <w:pPr>
              <w:jc w:val="both"/>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七、宣传普及行动</w:t>
            </w:r>
            <w:r>
              <w:rPr>
                <w:rFonts w:hint="eastAsia" w:cs="Times New Roman"/>
                <w:i w:val="0"/>
                <w:iCs w:val="0"/>
                <w:color w:val="000000"/>
                <w:kern w:val="0"/>
                <w:sz w:val="22"/>
                <w:szCs w:val="22"/>
                <w:u w:val="none"/>
                <w:lang w:val="en-US" w:eastAsia="zh-CN" w:bidi="ar"/>
              </w:rPr>
              <w:t>（接上页）</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9FE22">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各街镇、区委社会工作部、团区委、区红十字会、区教委、区卫生健康委</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14:paraId="088FDB76">
            <w:pPr>
              <w:keepNext w:val="0"/>
              <w:keepLines w:val="0"/>
              <w:widowControl/>
              <w:numPr>
                <w:ilvl w:val="0"/>
                <w:numId w:val="0"/>
              </w:numPr>
              <w:suppressLineNumbers w:val="0"/>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r>
              <w:rPr>
                <w:rFonts w:hint="default" w:ascii="Times New Roman" w:hAnsi="Times New Roman" w:eastAsia="方正仿宋_GBK" w:cs="Times New Roman"/>
                <w:i w:val="0"/>
                <w:iCs w:val="0"/>
                <w:color w:val="000000"/>
                <w:kern w:val="0"/>
                <w:sz w:val="22"/>
                <w:szCs w:val="22"/>
                <w:u w:val="none"/>
                <w:lang w:val="en-US" w:eastAsia="zh-CN" w:bidi="ar"/>
              </w:rPr>
              <w:t>各部联合辖区街镇分别成立结核病防治知识志愿者宣传队伍，宣传队伍联系各社区卫生服务中心开展结核病健康知识宣传“进社区、进企业、进医院、进校园、进家庭”的“五进”活动。</w:t>
            </w:r>
          </w:p>
          <w:p w14:paraId="263ED5E5">
            <w:pPr>
              <w:keepNext w:val="0"/>
              <w:keepLines w:val="0"/>
              <w:widowControl/>
              <w:numPr>
                <w:ilvl w:val="0"/>
                <w:numId w:val="0"/>
              </w:numPr>
              <w:suppressLineNumbers w:val="0"/>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cs="Times New Roman"/>
                <w:spacing w:val="0"/>
                <w:sz w:val="22"/>
                <w:szCs w:val="22"/>
                <w:lang w:val="en-US" w:eastAsia="zh-CN"/>
              </w:rPr>
              <w:t>2.</w:t>
            </w:r>
            <w:r>
              <w:rPr>
                <w:rFonts w:hint="default" w:ascii="Times New Roman" w:hAnsi="Times New Roman" w:eastAsia="方正仿宋_GBK" w:cs="Times New Roman"/>
                <w:spacing w:val="0"/>
                <w:sz w:val="22"/>
                <w:szCs w:val="22"/>
                <w:lang w:eastAsia="zh-CN"/>
              </w:rPr>
              <w:t>各镇街充分利用现有宣传平台（宣传栏、宣传展板等）进行结核病防治知识普及。</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14:paraId="5E40FD5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每年至少1次。</w:t>
            </w:r>
          </w:p>
        </w:tc>
      </w:tr>
    </w:tbl>
    <w:p w14:paraId="0D568005">
      <w:pPr>
        <w:rPr>
          <w:rFonts w:hint="eastAsia"/>
        </w:rPr>
      </w:pPr>
    </w:p>
    <w:p w14:paraId="5B8FEF1E">
      <w:pPr>
        <w:spacing w:after="0" w:line="594" w:lineRule="exact"/>
        <w:ind w:firstLine="0" w:firstLineChars="0"/>
        <w:jc w:val="both"/>
        <w:rPr>
          <w:rFonts w:hint="eastAsia"/>
          <w:lang w:eastAsia="zh-CN"/>
        </w:rPr>
      </w:pPr>
    </w:p>
    <w:p w14:paraId="3717FFA2">
      <w:pPr>
        <w:spacing w:after="0" w:line="594" w:lineRule="exact"/>
        <w:ind w:firstLine="0" w:firstLineChars="0"/>
        <w:jc w:val="both"/>
        <w:rPr>
          <w:rFonts w:hint="eastAsia"/>
          <w:lang w:eastAsia="zh-CN"/>
        </w:rPr>
      </w:pPr>
    </w:p>
    <w:p w14:paraId="4FC6A872">
      <w:pPr>
        <w:spacing w:after="0" w:line="594" w:lineRule="exact"/>
        <w:ind w:firstLine="0" w:firstLineChars="0"/>
        <w:jc w:val="both"/>
        <w:rPr>
          <w:rFonts w:hint="eastAsia"/>
          <w:lang w:eastAsia="zh-CN"/>
        </w:rPr>
      </w:pPr>
    </w:p>
    <w:p w14:paraId="4FB88582">
      <w:pPr>
        <w:spacing w:after="0" w:line="594" w:lineRule="exact"/>
        <w:ind w:firstLine="0" w:firstLineChars="0"/>
        <w:jc w:val="both"/>
        <w:rPr>
          <w:rFonts w:hint="eastAsia"/>
          <w:lang w:eastAsia="zh-CN"/>
        </w:rPr>
      </w:pPr>
    </w:p>
    <w:p w14:paraId="1D2C8441">
      <w:pPr>
        <w:spacing w:after="0" w:line="594" w:lineRule="exact"/>
        <w:ind w:firstLine="0" w:firstLineChars="0"/>
        <w:jc w:val="both"/>
        <w:rPr>
          <w:rFonts w:hint="eastAsia"/>
          <w:lang w:eastAsia="zh-CN"/>
        </w:rPr>
      </w:pPr>
    </w:p>
    <w:p w14:paraId="5700D47C">
      <w:pPr>
        <w:spacing w:after="0" w:line="594" w:lineRule="exact"/>
        <w:ind w:firstLine="0" w:firstLineChars="0"/>
        <w:jc w:val="both"/>
        <w:rPr>
          <w:rFonts w:hint="eastAsia"/>
          <w:lang w:eastAsia="zh-CN"/>
        </w:rPr>
      </w:pPr>
    </w:p>
    <w:p w14:paraId="72D04925">
      <w:pPr>
        <w:spacing w:after="0" w:line="594" w:lineRule="exact"/>
        <w:ind w:firstLine="0" w:firstLineChars="0"/>
        <w:jc w:val="both"/>
        <w:rPr>
          <w:rFonts w:hint="eastAsia"/>
          <w:lang w:eastAsia="zh-CN"/>
        </w:rPr>
      </w:pPr>
    </w:p>
    <w:p w14:paraId="1061ECDF">
      <w:pPr>
        <w:spacing w:after="0" w:line="594" w:lineRule="exact"/>
        <w:ind w:firstLine="0" w:firstLineChars="0"/>
        <w:jc w:val="both"/>
        <w:rPr>
          <w:rFonts w:hint="eastAsia"/>
          <w:lang w:eastAsia="zh-CN"/>
        </w:rPr>
      </w:pPr>
    </w:p>
    <w:p w14:paraId="0F57101B">
      <w:pPr>
        <w:spacing w:after="0" w:line="594" w:lineRule="exact"/>
        <w:ind w:firstLine="0" w:firstLineChars="0"/>
        <w:jc w:val="both"/>
        <w:rPr>
          <w:rFonts w:hint="eastAsia" w:ascii="方正小标宋_GBK" w:hAnsi="方正小标宋_GBK" w:eastAsia="方正小标宋_GBK" w:cs="方正小标宋_GBK"/>
          <w:sz w:val="44"/>
          <w:szCs w:val="44"/>
          <w:lang w:val="en-US" w:eastAsia="zh-CN"/>
        </w:rPr>
      </w:pPr>
      <w:r>
        <w:rPr>
          <w:rFonts w:hint="eastAsia" w:ascii="方正黑体_GBK" w:hAnsi="方正黑体_GBK" w:eastAsia="方正黑体_GBK" w:cs="方正黑体_GBK"/>
          <w:lang w:eastAsia="zh-CN"/>
        </w:rPr>
        <w:t>附件</w:t>
      </w:r>
      <w:r>
        <w:rPr>
          <w:rFonts w:hint="eastAsia"/>
          <w:lang w:val="en-US" w:eastAsia="zh-CN"/>
        </w:rPr>
        <w:t xml:space="preserve">4                </w:t>
      </w:r>
      <w:r>
        <w:rPr>
          <w:rFonts w:hint="eastAsia" w:ascii="方正小标宋_GBK" w:hAnsi="方正小标宋_GBK" w:eastAsia="方正小标宋_GBK" w:cs="方正小标宋_GBK"/>
          <w:sz w:val="44"/>
          <w:szCs w:val="44"/>
          <w:lang w:val="en-US" w:eastAsia="zh-CN"/>
        </w:rPr>
        <w:t xml:space="preserve"> 大渡口区结核病防治工作部门联络人</w:t>
      </w:r>
    </w:p>
    <w:p w14:paraId="3E717B26">
      <w:pPr>
        <w:spacing w:after="0" w:line="594" w:lineRule="exact"/>
        <w:ind w:firstLine="1580" w:firstLineChars="500"/>
        <w:jc w:val="both"/>
        <w:rPr>
          <w:rFonts w:hint="eastAsia" w:ascii="方正仿宋_GBK" w:hAnsi="方正仿宋_GBK" w:eastAsia="方正仿宋_GBK" w:cs="方正仿宋_GBK"/>
          <w:sz w:val="32"/>
          <w:szCs w:val="32"/>
          <w:lang w:val="en-US"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3"/>
        <w:gridCol w:w="2148"/>
        <w:gridCol w:w="2188"/>
        <w:gridCol w:w="1905"/>
        <w:gridCol w:w="2081"/>
      </w:tblGrid>
      <w:tr w14:paraId="71A2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noWrap w:val="0"/>
            <w:vAlign w:val="top"/>
          </w:tcPr>
          <w:p w14:paraId="0C87CB3B">
            <w:pPr>
              <w:keepNext w:val="0"/>
              <w:keepLines w:val="0"/>
              <w:pageBreakBefore w:val="0"/>
              <w:widowControl w:val="0"/>
              <w:kinsoku/>
              <w:wordWrap/>
              <w:overflowPunct/>
              <w:topLinePunct/>
              <w:autoSpaceDE/>
              <w:autoSpaceDN/>
              <w:bidi w:val="0"/>
              <w:adjustRightInd/>
              <w:snapToGrid/>
              <w:spacing w:after="0" w:line="594" w:lineRule="exact"/>
              <w:ind w:right="0" w:firstLine="708" w:firstLineChars="300"/>
              <w:jc w:val="both"/>
              <w:textAlignment w:val="auto"/>
              <w:rPr>
                <w:rFonts w:hint="eastAsia" w:asciiTheme="minorEastAsia" w:hAnsiTheme="minorEastAsia" w:eastAsiaTheme="minorEastAsia" w:cstheme="minorEastAsia"/>
                <w:b/>
                <w:bCs/>
                <w:spacing w:val="0"/>
                <w:w w:val="100"/>
                <w:sz w:val="24"/>
                <w:szCs w:val="24"/>
                <w:vertAlign w:val="baseline"/>
                <w:lang w:val="en-US" w:eastAsia="zh-CN"/>
              </w:rPr>
            </w:pPr>
            <w:r>
              <w:rPr>
                <w:rFonts w:hint="eastAsia" w:asciiTheme="minorEastAsia" w:hAnsiTheme="minorEastAsia" w:eastAsiaTheme="minorEastAsia" w:cstheme="minorEastAsia"/>
                <w:b/>
                <w:bCs/>
                <w:spacing w:val="0"/>
                <w:w w:val="100"/>
                <w:sz w:val="24"/>
                <w:szCs w:val="24"/>
                <w:vertAlign w:val="baseline"/>
                <w:lang w:val="en-US" w:eastAsia="zh-CN"/>
              </w:rPr>
              <w:t>单位</w:t>
            </w:r>
          </w:p>
        </w:tc>
        <w:tc>
          <w:tcPr>
            <w:tcW w:w="2148" w:type="dxa"/>
            <w:noWrap w:val="0"/>
            <w:vAlign w:val="top"/>
          </w:tcPr>
          <w:p w14:paraId="4744B21A">
            <w:pPr>
              <w:keepNext w:val="0"/>
              <w:keepLines w:val="0"/>
              <w:pageBreakBefore w:val="0"/>
              <w:widowControl w:val="0"/>
              <w:kinsoku/>
              <w:wordWrap/>
              <w:overflowPunct/>
              <w:topLinePunct/>
              <w:autoSpaceDE/>
              <w:autoSpaceDN/>
              <w:bidi w:val="0"/>
              <w:adjustRightInd/>
              <w:snapToGrid/>
              <w:spacing w:after="0" w:line="594" w:lineRule="exact"/>
              <w:ind w:right="0" w:firstLine="236" w:firstLineChars="100"/>
              <w:jc w:val="both"/>
              <w:textAlignment w:val="auto"/>
              <w:rPr>
                <w:rFonts w:hint="eastAsia" w:asciiTheme="minorEastAsia" w:hAnsiTheme="minorEastAsia" w:eastAsiaTheme="minorEastAsia" w:cstheme="minorEastAsia"/>
                <w:b/>
                <w:bCs/>
                <w:spacing w:val="0"/>
                <w:w w:val="100"/>
                <w:sz w:val="24"/>
                <w:szCs w:val="24"/>
                <w:vertAlign w:val="baseline"/>
                <w:lang w:val="en-US" w:eastAsia="zh-CN"/>
              </w:rPr>
            </w:pPr>
            <w:r>
              <w:rPr>
                <w:rFonts w:hint="eastAsia" w:asciiTheme="minorEastAsia" w:hAnsiTheme="minorEastAsia" w:eastAsiaTheme="minorEastAsia" w:cstheme="minorEastAsia"/>
                <w:b/>
                <w:bCs/>
                <w:spacing w:val="0"/>
                <w:w w:val="100"/>
                <w:sz w:val="24"/>
                <w:szCs w:val="24"/>
                <w:vertAlign w:val="baseline"/>
                <w:lang w:val="en-US" w:eastAsia="zh-CN"/>
              </w:rPr>
              <w:t>分管领导</w:t>
            </w:r>
          </w:p>
        </w:tc>
        <w:tc>
          <w:tcPr>
            <w:tcW w:w="2188" w:type="dxa"/>
            <w:noWrap w:val="0"/>
            <w:vAlign w:val="top"/>
          </w:tcPr>
          <w:p w14:paraId="7A7FECA8">
            <w:pPr>
              <w:keepNext w:val="0"/>
              <w:keepLines w:val="0"/>
              <w:pageBreakBefore w:val="0"/>
              <w:widowControl w:val="0"/>
              <w:kinsoku/>
              <w:wordWrap/>
              <w:overflowPunct/>
              <w:topLinePunct/>
              <w:autoSpaceDE/>
              <w:autoSpaceDN/>
              <w:bidi w:val="0"/>
              <w:adjustRightInd/>
              <w:snapToGrid/>
              <w:spacing w:after="0" w:line="594" w:lineRule="exact"/>
              <w:ind w:right="0" w:firstLine="472" w:firstLineChars="200"/>
              <w:jc w:val="both"/>
              <w:textAlignment w:val="auto"/>
              <w:rPr>
                <w:rFonts w:hint="eastAsia" w:asciiTheme="minorEastAsia" w:hAnsiTheme="minorEastAsia" w:eastAsiaTheme="minorEastAsia" w:cstheme="minorEastAsia"/>
                <w:b/>
                <w:bCs/>
                <w:spacing w:val="0"/>
                <w:w w:val="100"/>
                <w:sz w:val="24"/>
                <w:szCs w:val="24"/>
                <w:vertAlign w:val="baseline"/>
                <w:lang w:val="en-US" w:eastAsia="zh-CN"/>
              </w:rPr>
            </w:pPr>
            <w:r>
              <w:rPr>
                <w:rFonts w:hint="eastAsia" w:asciiTheme="minorEastAsia" w:hAnsiTheme="minorEastAsia" w:eastAsiaTheme="minorEastAsia" w:cstheme="minorEastAsia"/>
                <w:b/>
                <w:bCs/>
                <w:spacing w:val="0"/>
                <w:w w:val="100"/>
                <w:sz w:val="24"/>
                <w:szCs w:val="24"/>
                <w:vertAlign w:val="baseline"/>
                <w:lang w:val="en-US" w:eastAsia="zh-CN"/>
              </w:rPr>
              <w:t>电话</w:t>
            </w:r>
          </w:p>
        </w:tc>
        <w:tc>
          <w:tcPr>
            <w:tcW w:w="1905" w:type="dxa"/>
            <w:noWrap w:val="0"/>
            <w:vAlign w:val="top"/>
          </w:tcPr>
          <w:p w14:paraId="23806A07">
            <w:pPr>
              <w:keepNext w:val="0"/>
              <w:keepLines w:val="0"/>
              <w:pageBreakBefore w:val="0"/>
              <w:widowControl w:val="0"/>
              <w:kinsoku/>
              <w:wordWrap/>
              <w:overflowPunct/>
              <w:topLinePunct/>
              <w:autoSpaceDE/>
              <w:autoSpaceDN/>
              <w:bidi w:val="0"/>
              <w:adjustRightInd/>
              <w:snapToGrid/>
              <w:spacing w:after="0" w:line="594" w:lineRule="exact"/>
              <w:ind w:right="0" w:firstLine="236" w:firstLineChars="100"/>
              <w:jc w:val="both"/>
              <w:textAlignment w:val="auto"/>
              <w:rPr>
                <w:rFonts w:hint="eastAsia" w:asciiTheme="minorEastAsia" w:hAnsiTheme="minorEastAsia" w:eastAsiaTheme="minorEastAsia" w:cstheme="minorEastAsia"/>
                <w:b/>
                <w:bCs/>
                <w:spacing w:val="0"/>
                <w:w w:val="100"/>
                <w:sz w:val="24"/>
                <w:szCs w:val="24"/>
                <w:vertAlign w:val="baseline"/>
                <w:lang w:val="en-US" w:eastAsia="zh-CN"/>
              </w:rPr>
            </w:pPr>
            <w:r>
              <w:rPr>
                <w:rFonts w:hint="eastAsia" w:asciiTheme="minorEastAsia" w:hAnsiTheme="minorEastAsia" w:eastAsiaTheme="minorEastAsia" w:cstheme="minorEastAsia"/>
                <w:b/>
                <w:bCs/>
                <w:spacing w:val="0"/>
                <w:w w:val="100"/>
                <w:sz w:val="24"/>
                <w:szCs w:val="24"/>
                <w:vertAlign w:val="baseline"/>
                <w:lang w:val="en-US" w:eastAsia="zh-CN"/>
              </w:rPr>
              <w:t>项目负责人</w:t>
            </w:r>
          </w:p>
        </w:tc>
        <w:tc>
          <w:tcPr>
            <w:tcW w:w="2081" w:type="dxa"/>
            <w:noWrap w:val="0"/>
            <w:vAlign w:val="top"/>
          </w:tcPr>
          <w:p w14:paraId="1BC681C4">
            <w:pPr>
              <w:keepNext w:val="0"/>
              <w:keepLines w:val="0"/>
              <w:pageBreakBefore w:val="0"/>
              <w:widowControl w:val="0"/>
              <w:kinsoku/>
              <w:wordWrap/>
              <w:overflowPunct/>
              <w:topLinePunct/>
              <w:autoSpaceDE/>
              <w:autoSpaceDN/>
              <w:bidi w:val="0"/>
              <w:adjustRightInd/>
              <w:snapToGrid/>
              <w:spacing w:after="0" w:line="594" w:lineRule="exact"/>
              <w:ind w:right="0" w:firstLine="472" w:firstLineChars="200"/>
              <w:jc w:val="both"/>
              <w:textAlignment w:val="auto"/>
              <w:rPr>
                <w:rFonts w:hint="eastAsia" w:asciiTheme="minorEastAsia" w:hAnsiTheme="minorEastAsia" w:eastAsiaTheme="minorEastAsia" w:cstheme="minorEastAsia"/>
                <w:b/>
                <w:bCs/>
                <w:spacing w:val="0"/>
                <w:w w:val="100"/>
                <w:sz w:val="24"/>
                <w:szCs w:val="24"/>
                <w:vertAlign w:val="baseline"/>
                <w:lang w:val="en-US" w:eastAsia="zh-CN"/>
              </w:rPr>
            </w:pPr>
            <w:r>
              <w:rPr>
                <w:rFonts w:hint="eastAsia" w:asciiTheme="minorEastAsia" w:hAnsiTheme="minorEastAsia" w:eastAsiaTheme="minorEastAsia" w:cstheme="minorEastAsia"/>
                <w:b/>
                <w:bCs/>
                <w:spacing w:val="0"/>
                <w:w w:val="100"/>
                <w:sz w:val="24"/>
                <w:szCs w:val="24"/>
                <w:vertAlign w:val="baseline"/>
                <w:lang w:val="en-US" w:eastAsia="zh-CN"/>
              </w:rPr>
              <w:t>电话</w:t>
            </w:r>
          </w:p>
        </w:tc>
      </w:tr>
      <w:tr w14:paraId="4CF1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top"/>
          </w:tcPr>
          <w:p w14:paraId="1F095597">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区委宣传部</w:t>
            </w:r>
          </w:p>
        </w:tc>
        <w:tc>
          <w:tcPr>
            <w:tcW w:w="2148" w:type="dxa"/>
            <w:shd w:val="clear" w:color="auto" w:fill="auto"/>
            <w:noWrap w:val="0"/>
            <w:vAlign w:val="top"/>
          </w:tcPr>
          <w:p w14:paraId="0A457CC8">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赵毅</w:t>
            </w:r>
          </w:p>
        </w:tc>
        <w:tc>
          <w:tcPr>
            <w:tcW w:w="2188" w:type="dxa"/>
            <w:shd w:val="clear" w:color="auto" w:fill="auto"/>
            <w:noWrap w:val="0"/>
            <w:vAlign w:val="top"/>
          </w:tcPr>
          <w:p w14:paraId="3291B0B3">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68152570</w:t>
            </w:r>
          </w:p>
        </w:tc>
        <w:tc>
          <w:tcPr>
            <w:tcW w:w="1905" w:type="dxa"/>
            <w:shd w:val="clear" w:color="auto" w:fill="auto"/>
            <w:noWrap w:val="0"/>
            <w:vAlign w:val="top"/>
          </w:tcPr>
          <w:p w14:paraId="27FDA0C9">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湛玛钰</w:t>
            </w:r>
          </w:p>
        </w:tc>
        <w:tc>
          <w:tcPr>
            <w:tcW w:w="2081" w:type="dxa"/>
            <w:shd w:val="clear" w:color="auto" w:fill="auto"/>
            <w:noWrap w:val="0"/>
            <w:vAlign w:val="top"/>
          </w:tcPr>
          <w:p w14:paraId="00669B4F">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68173833</w:t>
            </w:r>
          </w:p>
        </w:tc>
      </w:tr>
      <w:tr w14:paraId="4278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top"/>
          </w:tcPr>
          <w:p w14:paraId="7D38FBCF">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区科技局</w:t>
            </w:r>
          </w:p>
        </w:tc>
        <w:tc>
          <w:tcPr>
            <w:tcW w:w="2148" w:type="dxa"/>
            <w:shd w:val="clear" w:color="auto" w:fill="auto"/>
            <w:noWrap w:val="0"/>
            <w:vAlign w:val="top"/>
          </w:tcPr>
          <w:p w14:paraId="465FBC5D">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谢芳丽</w:t>
            </w:r>
          </w:p>
        </w:tc>
        <w:tc>
          <w:tcPr>
            <w:tcW w:w="2188" w:type="dxa"/>
            <w:shd w:val="clear" w:color="auto" w:fill="auto"/>
            <w:noWrap w:val="0"/>
            <w:vAlign w:val="top"/>
          </w:tcPr>
          <w:p w14:paraId="6C470410">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13436013090</w:t>
            </w:r>
          </w:p>
        </w:tc>
        <w:tc>
          <w:tcPr>
            <w:tcW w:w="1905" w:type="dxa"/>
            <w:shd w:val="clear" w:color="auto" w:fill="auto"/>
            <w:noWrap w:val="0"/>
            <w:vAlign w:val="top"/>
          </w:tcPr>
          <w:p w14:paraId="1E855DA6">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曾维俊</w:t>
            </w:r>
          </w:p>
        </w:tc>
        <w:tc>
          <w:tcPr>
            <w:tcW w:w="2081" w:type="dxa"/>
            <w:shd w:val="clear" w:color="auto" w:fill="auto"/>
            <w:noWrap w:val="0"/>
            <w:vAlign w:val="top"/>
          </w:tcPr>
          <w:p w14:paraId="18A66715">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15523281130</w:t>
            </w:r>
          </w:p>
        </w:tc>
      </w:tr>
      <w:tr w14:paraId="1284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noWrap w:val="0"/>
            <w:vAlign w:val="top"/>
          </w:tcPr>
          <w:p w14:paraId="2C4629A5">
            <w:pPr>
              <w:keepNext w:val="0"/>
              <w:keepLines w:val="0"/>
              <w:pageBreakBefore w:val="0"/>
              <w:widowControl w:val="0"/>
              <w:kinsoku/>
              <w:wordWrap/>
              <w:overflowPunct/>
              <w:topLinePunct/>
              <w:autoSpaceDE/>
              <w:autoSpaceDN/>
              <w:bidi w:val="0"/>
              <w:adjustRightInd/>
              <w:snapToGrid/>
              <w:spacing w:after="0" w:line="594" w:lineRule="exact"/>
              <w:ind w:right="0"/>
              <w:jc w:val="both"/>
              <w:textAlignment w:val="auto"/>
              <w:rPr>
                <w:rFonts w:hint="default" w:ascii="Times New Roman" w:hAnsi="Times New Roman" w:eastAsia="方正仿宋_GBK" w:cs="Times New Roman"/>
                <w:spacing w:val="0"/>
                <w:w w:val="100"/>
                <w:sz w:val="22"/>
                <w:szCs w:val="22"/>
                <w:vertAlign w:val="baseline"/>
                <w:lang w:val="en-US" w:eastAsia="zh-CN"/>
              </w:rPr>
            </w:pPr>
            <w:r>
              <w:rPr>
                <w:rFonts w:hint="default" w:ascii="Times New Roman" w:hAnsi="Times New Roman" w:eastAsia="方正仿宋_GBK" w:cs="Times New Roman"/>
                <w:spacing w:val="0"/>
                <w:w w:val="100"/>
                <w:sz w:val="22"/>
                <w:szCs w:val="22"/>
                <w:vertAlign w:val="baseline"/>
                <w:lang w:val="en-US" w:eastAsia="zh-CN"/>
              </w:rPr>
              <w:t>区教委</w:t>
            </w:r>
          </w:p>
        </w:tc>
        <w:tc>
          <w:tcPr>
            <w:tcW w:w="2148" w:type="dxa"/>
            <w:noWrap w:val="0"/>
            <w:vAlign w:val="top"/>
          </w:tcPr>
          <w:p w14:paraId="72573226">
            <w:pPr>
              <w:keepNext w:val="0"/>
              <w:keepLines w:val="0"/>
              <w:pageBreakBefore w:val="0"/>
              <w:widowControl w:val="0"/>
              <w:kinsoku/>
              <w:wordWrap/>
              <w:overflowPunct/>
              <w:topLinePunct/>
              <w:autoSpaceDE/>
              <w:autoSpaceDN/>
              <w:bidi w:val="0"/>
              <w:adjustRightInd/>
              <w:snapToGrid/>
              <w:spacing w:after="0" w:line="594" w:lineRule="exact"/>
              <w:ind w:right="0" w:firstLine="0" w:firstLineChars="0"/>
              <w:jc w:val="both"/>
              <w:textAlignment w:val="auto"/>
              <w:rPr>
                <w:rFonts w:hint="default" w:ascii="Times New Roman" w:hAnsi="Times New Roman" w:eastAsia="方正仿宋_GBK" w:cs="Times New Roman"/>
                <w:spacing w:val="0"/>
                <w:w w:val="100"/>
                <w:sz w:val="22"/>
                <w:szCs w:val="22"/>
                <w:vertAlign w:val="baseline"/>
                <w:lang w:val="en-US" w:eastAsia="zh-CN"/>
              </w:rPr>
            </w:pPr>
            <w:r>
              <w:rPr>
                <w:rFonts w:hint="default" w:ascii="Times New Roman" w:hAnsi="Times New Roman" w:eastAsia="方正仿宋_GBK" w:cs="Times New Roman"/>
                <w:i w:val="0"/>
                <w:iCs w:val="0"/>
                <w:caps w:val="0"/>
                <w:color w:val="171A1D"/>
                <w:spacing w:val="0"/>
                <w:sz w:val="22"/>
                <w:szCs w:val="22"/>
                <w:shd w:val="clear" w:fill="FFFFFF"/>
              </w:rPr>
              <w:t>李长彬</w:t>
            </w:r>
          </w:p>
        </w:tc>
        <w:tc>
          <w:tcPr>
            <w:tcW w:w="2188" w:type="dxa"/>
            <w:noWrap w:val="0"/>
            <w:vAlign w:val="top"/>
          </w:tcPr>
          <w:p w14:paraId="40261017">
            <w:pPr>
              <w:keepNext w:val="0"/>
              <w:keepLines w:val="0"/>
              <w:pageBreakBefore w:val="0"/>
              <w:widowControl w:val="0"/>
              <w:kinsoku/>
              <w:wordWrap/>
              <w:overflowPunct/>
              <w:topLinePunct/>
              <w:autoSpaceDE/>
              <w:autoSpaceDN/>
              <w:bidi w:val="0"/>
              <w:adjustRightInd/>
              <w:snapToGrid/>
              <w:spacing w:after="0" w:line="594" w:lineRule="exact"/>
              <w:ind w:right="0"/>
              <w:jc w:val="both"/>
              <w:textAlignment w:val="auto"/>
              <w:rPr>
                <w:rFonts w:hint="default" w:ascii="Times New Roman" w:hAnsi="Times New Roman" w:eastAsia="方正仿宋_GBK" w:cs="Times New Roman"/>
                <w:spacing w:val="0"/>
                <w:w w:val="100"/>
                <w:sz w:val="22"/>
                <w:szCs w:val="22"/>
                <w:vertAlign w:val="baseline"/>
                <w:lang w:val="en-US" w:eastAsia="zh-CN"/>
              </w:rPr>
            </w:pPr>
            <w:r>
              <w:rPr>
                <w:rFonts w:hint="default" w:ascii="Times New Roman" w:hAnsi="Times New Roman" w:eastAsia="方正仿宋_GBK" w:cs="Times New Roman"/>
                <w:i w:val="0"/>
                <w:iCs w:val="0"/>
                <w:caps w:val="0"/>
                <w:color w:val="171A1D"/>
                <w:spacing w:val="0"/>
                <w:sz w:val="22"/>
                <w:szCs w:val="22"/>
                <w:shd w:val="clear" w:fill="FFFFFF"/>
              </w:rPr>
              <w:t>13500369808</w:t>
            </w:r>
          </w:p>
        </w:tc>
        <w:tc>
          <w:tcPr>
            <w:tcW w:w="1905" w:type="dxa"/>
            <w:noWrap w:val="0"/>
            <w:vAlign w:val="top"/>
          </w:tcPr>
          <w:p w14:paraId="2B6341DE">
            <w:pPr>
              <w:keepNext w:val="0"/>
              <w:keepLines w:val="0"/>
              <w:pageBreakBefore w:val="0"/>
              <w:widowControl w:val="0"/>
              <w:kinsoku/>
              <w:wordWrap/>
              <w:overflowPunct/>
              <w:topLinePunct/>
              <w:autoSpaceDE/>
              <w:autoSpaceDN/>
              <w:bidi w:val="0"/>
              <w:adjustRightInd/>
              <w:snapToGrid/>
              <w:spacing w:after="0" w:line="594" w:lineRule="exact"/>
              <w:ind w:right="0" w:firstLine="0" w:firstLineChars="0"/>
              <w:jc w:val="both"/>
              <w:textAlignment w:val="auto"/>
              <w:rPr>
                <w:rFonts w:hint="default" w:ascii="Times New Roman" w:hAnsi="Times New Roman" w:eastAsia="方正仿宋_GBK" w:cs="Times New Roman"/>
                <w:spacing w:val="0"/>
                <w:w w:val="100"/>
                <w:sz w:val="22"/>
                <w:szCs w:val="22"/>
                <w:vertAlign w:val="baseline"/>
                <w:lang w:val="en-US" w:eastAsia="zh-CN"/>
              </w:rPr>
            </w:pPr>
            <w:r>
              <w:rPr>
                <w:rFonts w:hint="default" w:ascii="Times New Roman" w:hAnsi="Times New Roman" w:eastAsia="方正仿宋_GBK" w:cs="Times New Roman"/>
                <w:i w:val="0"/>
                <w:iCs w:val="0"/>
                <w:caps w:val="0"/>
                <w:color w:val="171A1D"/>
                <w:spacing w:val="0"/>
                <w:sz w:val="22"/>
                <w:szCs w:val="22"/>
                <w:shd w:val="clear" w:fill="FFFFFF"/>
              </w:rPr>
              <w:t>朱荣</w:t>
            </w:r>
          </w:p>
        </w:tc>
        <w:tc>
          <w:tcPr>
            <w:tcW w:w="2081" w:type="dxa"/>
            <w:noWrap w:val="0"/>
            <w:vAlign w:val="top"/>
          </w:tcPr>
          <w:p w14:paraId="7FD56740">
            <w:pPr>
              <w:keepNext w:val="0"/>
              <w:keepLines w:val="0"/>
              <w:pageBreakBefore w:val="0"/>
              <w:widowControl w:val="0"/>
              <w:kinsoku/>
              <w:wordWrap/>
              <w:overflowPunct/>
              <w:topLinePunct/>
              <w:autoSpaceDE/>
              <w:autoSpaceDN/>
              <w:bidi w:val="0"/>
              <w:adjustRightInd/>
              <w:snapToGrid/>
              <w:spacing w:after="0" w:line="594" w:lineRule="exact"/>
              <w:ind w:right="0"/>
              <w:jc w:val="both"/>
              <w:textAlignment w:val="auto"/>
              <w:rPr>
                <w:rFonts w:hint="default" w:ascii="Times New Roman" w:hAnsi="Times New Roman" w:eastAsia="方正仿宋_GBK" w:cs="Times New Roman"/>
                <w:spacing w:val="0"/>
                <w:w w:val="100"/>
                <w:sz w:val="22"/>
                <w:szCs w:val="22"/>
                <w:vertAlign w:val="baseline"/>
                <w:lang w:val="en-US" w:eastAsia="zh-CN"/>
              </w:rPr>
            </w:pPr>
            <w:r>
              <w:rPr>
                <w:rFonts w:hint="default" w:ascii="Times New Roman" w:hAnsi="Times New Roman" w:eastAsia="方正仿宋_GBK" w:cs="Times New Roman"/>
                <w:i w:val="0"/>
                <w:iCs w:val="0"/>
                <w:caps w:val="0"/>
                <w:color w:val="171A1D"/>
                <w:spacing w:val="0"/>
                <w:sz w:val="22"/>
                <w:szCs w:val="22"/>
                <w:shd w:val="clear" w:fill="FFFFFF"/>
              </w:rPr>
              <w:t>19923088738</w:t>
            </w:r>
          </w:p>
        </w:tc>
      </w:tr>
      <w:tr w14:paraId="633E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top"/>
          </w:tcPr>
          <w:p w14:paraId="49F35E08">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区民政局</w:t>
            </w:r>
          </w:p>
        </w:tc>
        <w:tc>
          <w:tcPr>
            <w:tcW w:w="2148" w:type="dxa"/>
            <w:shd w:val="clear" w:color="auto" w:fill="auto"/>
            <w:noWrap w:val="0"/>
            <w:vAlign w:val="top"/>
          </w:tcPr>
          <w:p w14:paraId="241709B2">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薛毅</w:t>
            </w:r>
          </w:p>
        </w:tc>
        <w:tc>
          <w:tcPr>
            <w:tcW w:w="2188" w:type="dxa"/>
            <w:shd w:val="clear" w:color="auto" w:fill="auto"/>
            <w:noWrap w:val="0"/>
            <w:vAlign w:val="top"/>
          </w:tcPr>
          <w:p w14:paraId="76D7AB5B">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68086235</w:t>
            </w:r>
          </w:p>
        </w:tc>
        <w:tc>
          <w:tcPr>
            <w:tcW w:w="1905" w:type="dxa"/>
            <w:shd w:val="clear" w:color="auto" w:fill="auto"/>
            <w:noWrap w:val="0"/>
            <w:vAlign w:val="top"/>
          </w:tcPr>
          <w:p w14:paraId="43BEAF4A">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杨语涵</w:t>
            </w:r>
          </w:p>
        </w:tc>
        <w:tc>
          <w:tcPr>
            <w:tcW w:w="2081" w:type="dxa"/>
            <w:shd w:val="clear" w:color="auto" w:fill="auto"/>
            <w:noWrap w:val="0"/>
            <w:vAlign w:val="top"/>
          </w:tcPr>
          <w:p w14:paraId="34AC1264">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68086190</w:t>
            </w:r>
          </w:p>
        </w:tc>
      </w:tr>
      <w:tr w14:paraId="5D83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center"/>
          </w:tcPr>
          <w:p w14:paraId="42062F82">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sz w:val="22"/>
                <w:szCs w:val="22"/>
                <w:vertAlign w:val="baseline"/>
                <w:lang w:val="en-US" w:eastAsia="zh-CN"/>
              </w:rPr>
            </w:pPr>
            <w:r>
              <w:rPr>
                <w:rFonts w:hint="default" w:ascii="Times New Roman" w:hAnsi="Times New Roman" w:eastAsia="方正仿宋_GBK" w:cs="Times New Roman"/>
                <w:spacing w:val="0"/>
                <w:w w:val="100"/>
                <w:sz w:val="22"/>
                <w:szCs w:val="22"/>
                <w:vertAlign w:val="baseline"/>
                <w:lang w:val="en-US" w:eastAsia="zh-CN"/>
              </w:rPr>
              <w:t>区社会工作部</w:t>
            </w:r>
          </w:p>
        </w:tc>
        <w:tc>
          <w:tcPr>
            <w:tcW w:w="2148" w:type="dxa"/>
            <w:shd w:val="clear" w:color="auto" w:fill="auto"/>
            <w:noWrap w:val="0"/>
            <w:vAlign w:val="center"/>
          </w:tcPr>
          <w:p w14:paraId="1C1B5848">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sz w:val="22"/>
                <w:szCs w:val="22"/>
                <w:vertAlign w:val="baseline"/>
                <w:lang w:val="en-US" w:eastAsia="zh-CN"/>
              </w:rPr>
            </w:pPr>
            <w:r>
              <w:rPr>
                <w:rFonts w:hint="default" w:ascii="Times New Roman" w:hAnsi="Times New Roman" w:eastAsia="方正仿宋_GBK" w:cs="Times New Roman"/>
                <w:spacing w:val="0"/>
                <w:w w:val="100"/>
                <w:sz w:val="22"/>
                <w:szCs w:val="22"/>
                <w:vertAlign w:val="baseline"/>
                <w:lang w:val="en-US" w:eastAsia="zh-CN"/>
              </w:rPr>
              <w:t>李秋昱</w:t>
            </w:r>
          </w:p>
        </w:tc>
        <w:tc>
          <w:tcPr>
            <w:tcW w:w="2188" w:type="dxa"/>
            <w:shd w:val="clear" w:color="auto" w:fill="auto"/>
            <w:noWrap w:val="0"/>
            <w:vAlign w:val="center"/>
          </w:tcPr>
          <w:p w14:paraId="1EE0A234">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sz w:val="22"/>
                <w:szCs w:val="22"/>
                <w:vertAlign w:val="baseline"/>
                <w:lang w:val="en-US" w:eastAsia="zh-CN"/>
              </w:rPr>
            </w:pPr>
            <w:r>
              <w:rPr>
                <w:rFonts w:hint="default" w:ascii="Times New Roman" w:hAnsi="Times New Roman" w:eastAsia="方正仿宋_GBK" w:cs="Times New Roman"/>
                <w:spacing w:val="0"/>
                <w:w w:val="100"/>
                <w:sz w:val="22"/>
                <w:szCs w:val="22"/>
                <w:vertAlign w:val="baseline"/>
                <w:lang w:val="en-US" w:eastAsia="zh-CN"/>
              </w:rPr>
              <w:t>15223323380</w:t>
            </w:r>
          </w:p>
        </w:tc>
        <w:tc>
          <w:tcPr>
            <w:tcW w:w="1905" w:type="dxa"/>
            <w:shd w:val="clear" w:color="auto" w:fill="auto"/>
            <w:noWrap w:val="0"/>
            <w:vAlign w:val="center"/>
          </w:tcPr>
          <w:p w14:paraId="1F3CFFC7">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sz w:val="22"/>
                <w:szCs w:val="22"/>
                <w:vertAlign w:val="baseline"/>
                <w:lang w:val="en-US" w:eastAsia="zh-CN"/>
              </w:rPr>
            </w:pPr>
            <w:r>
              <w:rPr>
                <w:rFonts w:hint="default" w:ascii="Times New Roman" w:hAnsi="Times New Roman" w:eastAsia="方正仿宋_GBK" w:cs="Times New Roman"/>
                <w:spacing w:val="0"/>
                <w:w w:val="100"/>
                <w:sz w:val="22"/>
                <w:szCs w:val="22"/>
                <w:vertAlign w:val="baseline"/>
                <w:lang w:val="en-US" w:eastAsia="zh-CN"/>
              </w:rPr>
              <w:t>向智渝</w:t>
            </w:r>
          </w:p>
        </w:tc>
        <w:tc>
          <w:tcPr>
            <w:tcW w:w="2081" w:type="dxa"/>
            <w:shd w:val="clear" w:color="auto" w:fill="auto"/>
            <w:noWrap w:val="0"/>
            <w:vAlign w:val="center"/>
          </w:tcPr>
          <w:p w14:paraId="08755003">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sz w:val="22"/>
                <w:szCs w:val="22"/>
                <w:vertAlign w:val="baseline"/>
                <w:lang w:val="en-US" w:eastAsia="zh-CN"/>
              </w:rPr>
            </w:pPr>
            <w:r>
              <w:rPr>
                <w:rFonts w:hint="default" w:ascii="Times New Roman" w:hAnsi="Times New Roman" w:eastAsia="方正仿宋_GBK" w:cs="Times New Roman"/>
                <w:spacing w:val="0"/>
                <w:w w:val="100"/>
                <w:sz w:val="22"/>
                <w:szCs w:val="22"/>
                <w:vertAlign w:val="baseline"/>
                <w:lang w:val="en-US" w:eastAsia="zh-CN"/>
              </w:rPr>
              <w:t>18428388483</w:t>
            </w:r>
          </w:p>
        </w:tc>
      </w:tr>
      <w:tr w14:paraId="3CA9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33" w:type="dxa"/>
            <w:shd w:val="clear" w:color="auto" w:fill="auto"/>
            <w:noWrap w:val="0"/>
            <w:vAlign w:val="center"/>
          </w:tcPr>
          <w:p w14:paraId="494D6951">
            <w:pPr>
              <w:ind w:left="0" w:leftChars="0" w:firstLine="0" w:firstLineChars="0"/>
              <w:jc w:val="both"/>
              <w:rPr>
                <w:rFonts w:hint="default" w:ascii="Times New Roman" w:hAnsi="Times New Roman" w:eastAsia="方正仿宋_GBK" w:cs="Times New Roman"/>
                <w:kern w:val="2"/>
                <w:sz w:val="22"/>
                <w:szCs w:val="22"/>
                <w:vertAlign w:val="baseline"/>
                <w:lang w:val="en-US" w:eastAsia="zh-CN" w:bidi="ar-SA"/>
              </w:rPr>
            </w:pPr>
            <w:r>
              <w:rPr>
                <w:rFonts w:hint="default" w:ascii="Times New Roman" w:hAnsi="Times New Roman" w:eastAsia="方正仿宋_GBK" w:cs="Times New Roman"/>
                <w:sz w:val="22"/>
                <w:szCs w:val="22"/>
                <w:vertAlign w:val="baseline"/>
                <w:lang w:val="en-US" w:eastAsia="zh-CN"/>
              </w:rPr>
              <w:t>区农业农村委员</w:t>
            </w:r>
          </w:p>
        </w:tc>
        <w:tc>
          <w:tcPr>
            <w:tcW w:w="2148" w:type="dxa"/>
            <w:shd w:val="clear" w:color="auto" w:fill="auto"/>
            <w:noWrap w:val="0"/>
            <w:vAlign w:val="center"/>
          </w:tcPr>
          <w:p w14:paraId="296DFFCE">
            <w:pPr>
              <w:ind w:left="0" w:leftChars="0" w:firstLine="0" w:firstLineChars="0"/>
              <w:jc w:val="both"/>
              <w:rPr>
                <w:rFonts w:hint="default" w:ascii="Times New Roman" w:hAnsi="Times New Roman" w:eastAsia="方正仿宋_GBK" w:cs="Times New Roman"/>
                <w:kern w:val="2"/>
                <w:sz w:val="22"/>
                <w:szCs w:val="22"/>
                <w:vertAlign w:val="baseline"/>
                <w:lang w:val="en-US" w:eastAsia="zh-CN" w:bidi="ar-SA"/>
              </w:rPr>
            </w:pPr>
            <w:r>
              <w:rPr>
                <w:rFonts w:hint="default" w:ascii="Times New Roman" w:hAnsi="Times New Roman" w:eastAsia="方正仿宋_GBK" w:cs="Times New Roman"/>
                <w:sz w:val="22"/>
                <w:szCs w:val="22"/>
                <w:vertAlign w:val="baseline"/>
                <w:lang w:val="en-US" w:eastAsia="zh-CN"/>
              </w:rPr>
              <w:t>苏武斌</w:t>
            </w:r>
          </w:p>
        </w:tc>
        <w:tc>
          <w:tcPr>
            <w:tcW w:w="2188" w:type="dxa"/>
            <w:shd w:val="clear" w:color="auto" w:fill="auto"/>
            <w:noWrap w:val="0"/>
            <w:vAlign w:val="center"/>
          </w:tcPr>
          <w:p w14:paraId="156E0319">
            <w:pPr>
              <w:ind w:left="0" w:leftChars="0" w:firstLine="0" w:firstLineChars="0"/>
              <w:jc w:val="both"/>
              <w:rPr>
                <w:rFonts w:hint="default" w:ascii="Times New Roman" w:hAnsi="Times New Roman" w:eastAsia="方正仿宋_GBK" w:cs="Times New Roman"/>
                <w:kern w:val="2"/>
                <w:sz w:val="22"/>
                <w:szCs w:val="22"/>
                <w:vertAlign w:val="baseline"/>
                <w:lang w:val="en-US" w:eastAsia="zh-CN" w:bidi="ar-SA"/>
              </w:rPr>
            </w:pPr>
            <w:r>
              <w:rPr>
                <w:rFonts w:hint="default" w:ascii="Times New Roman" w:hAnsi="Times New Roman" w:eastAsia="方正仿宋_GBK" w:cs="Times New Roman"/>
                <w:sz w:val="22"/>
                <w:szCs w:val="22"/>
                <w:vertAlign w:val="baseline"/>
                <w:lang w:val="en-US" w:eastAsia="zh-CN"/>
              </w:rPr>
              <w:t>68838181</w:t>
            </w:r>
          </w:p>
        </w:tc>
        <w:tc>
          <w:tcPr>
            <w:tcW w:w="1905" w:type="dxa"/>
            <w:shd w:val="clear" w:color="auto" w:fill="auto"/>
            <w:noWrap w:val="0"/>
            <w:vAlign w:val="center"/>
          </w:tcPr>
          <w:p w14:paraId="6D07947A">
            <w:pPr>
              <w:ind w:left="0" w:leftChars="0" w:firstLine="0" w:firstLineChars="0"/>
              <w:jc w:val="both"/>
              <w:rPr>
                <w:rFonts w:hint="default" w:ascii="Times New Roman" w:hAnsi="Times New Roman" w:eastAsia="方正仿宋_GBK" w:cs="Times New Roman"/>
                <w:kern w:val="2"/>
                <w:sz w:val="22"/>
                <w:szCs w:val="22"/>
                <w:vertAlign w:val="baseline"/>
                <w:lang w:val="en-US" w:eastAsia="zh-CN" w:bidi="ar-SA"/>
              </w:rPr>
            </w:pPr>
            <w:r>
              <w:rPr>
                <w:rFonts w:hint="default" w:ascii="Times New Roman" w:hAnsi="Times New Roman" w:eastAsia="方正仿宋_GBK" w:cs="Times New Roman"/>
                <w:sz w:val="22"/>
                <w:szCs w:val="22"/>
                <w:vertAlign w:val="baseline"/>
                <w:lang w:val="en-US" w:eastAsia="zh-CN"/>
              </w:rPr>
              <w:t>唐江</w:t>
            </w:r>
          </w:p>
        </w:tc>
        <w:tc>
          <w:tcPr>
            <w:tcW w:w="2081" w:type="dxa"/>
            <w:shd w:val="clear" w:color="auto" w:fill="auto"/>
            <w:noWrap w:val="0"/>
            <w:vAlign w:val="center"/>
          </w:tcPr>
          <w:p w14:paraId="64CC69B9">
            <w:pPr>
              <w:ind w:left="0" w:leftChars="0" w:firstLine="0" w:firstLineChars="0"/>
              <w:jc w:val="both"/>
              <w:rPr>
                <w:rFonts w:hint="default" w:ascii="Times New Roman" w:hAnsi="Times New Roman" w:eastAsia="方正仿宋_GBK" w:cs="Times New Roman"/>
                <w:kern w:val="2"/>
                <w:sz w:val="22"/>
                <w:szCs w:val="22"/>
                <w:vertAlign w:val="baseline"/>
                <w:lang w:val="en-US" w:eastAsia="zh-CN" w:bidi="ar-SA"/>
              </w:rPr>
            </w:pPr>
            <w:r>
              <w:rPr>
                <w:rFonts w:hint="default" w:ascii="Times New Roman" w:hAnsi="Times New Roman" w:eastAsia="方正仿宋_GBK" w:cs="Times New Roman"/>
                <w:sz w:val="22"/>
                <w:szCs w:val="22"/>
                <w:vertAlign w:val="baseline"/>
                <w:lang w:val="en-US" w:eastAsia="zh-CN"/>
              </w:rPr>
              <w:t>68922139</w:t>
            </w:r>
          </w:p>
        </w:tc>
      </w:tr>
      <w:tr w14:paraId="3D77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top"/>
          </w:tcPr>
          <w:p w14:paraId="739868A9">
            <w:pPr>
              <w:topLinePunct/>
              <w:spacing w:line="594" w:lineRule="exact"/>
              <w:jc w:val="both"/>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sz w:val="22"/>
                <w:szCs w:val="22"/>
              </w:rPr>
              <w:t>区大数据发展局</w:t>
            </w:r>
          </w:p>
        </w:tc>
        <w:tc>
          <w:tcPr>
            <w:tcW w:w="2148" w:type="dxa"/>
            <w:shd w:val="clear" w:color="auto" w:fill="auto"/>
            <w:noWrap w:val="0"/>
            <w:vAlign w:val="top"/>
          </w:tcPr>
          <w:p w14:paraId="67C0FE72">
            <w:pPr>
              <w:topLinePunct/>
              <w:spacing w:line="594" w:lineRule="exact"/>
              <w:jc w:val="both"/>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sz w:val="22"/>
                <w:szCs w:val="22"/>
              </w:rPr>
              <w:t>姜勇</w:t>
            </w:r>
          </w:p>
        </w:tc>
        <w:tc>
          <w:tcPr>
            <w:tcW w:w="2188" w:type="dxa"/>
            <w:shd w:val="clear" w:color="auto" w:fill="auto"/>
            <w:noWrap w:val="0"/>
            <w:vAlign w:val="top"/>
          </w:tcPr>
          <w:p w14:paraId="3D4FEA59">
            <w:pPr>
              <w:topLinePunct/>
              <w:spacing w:line="594" w:lineRule="exact"/>
              <w:jc w:val="both"/>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sz w:val="22"/>
                <w:szCs w:val="22"/>
              </w:rPr>
              <w:t>13983032352</w:t>
            </w:r>
          </w:p>
        </w:tc>
        <w:tc>
          <w:tcPr>
            <w:tcW w:w="1905" w:type="dxa"/>
            <w:shd w:val="clear" w:color="auto" w:fill="auto"/>
            <w:noWrap w:val="0"/>
            <w:vAlign w:val="top"/>
          </w:tcPr>
          <w:p w14:paraId="25B183A5">
            <w:pPr>
              <w:topLinePunct/>
              <w:spacing w:line="594" w:lineRule="exact"/>
              <w:jc w:val="both"/>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sz w:val="22"/>
                <w:szCs w:val="22"/>
              </w:rPr>
              <w:t>冉玲娜</w:t>
            </w:r>
          </w:p>
        </w:tc>
        <w:tc>
          <w:tcPr>
            <w:tcW w:w="2081" w:type="dxa"/>
            <w:shd w:val="clear" w:color="auto" w:fill="auto"/>
            <w:noWrap w:val="0"/>
            <w:vAlign w:val="top"/>
          </w:tcPr>
          <w:p w14:paraId="61BA13BB">
            <w:pPr>
              <w:topLinePunct/>
              <w:spacing w:line="594" w:lineRule="exact"/>
              <w:jc w:val="both"/>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sz w:val="22"/>
                <w:szCs w:val="22"/>
              </w:rPr>
              <w:t>18323015496</w:t>
            </w:r>
          </w:p>
        </w:tc>
      </w:tr>
      <w:tr w14:paraId="13ED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top"/>
          </w:tcPr>
          <w:p w14:paraId="0AF2D69C">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区医保局</w:t>
            </w:r>
          </w:p>
        </w:tc>
        <w:tc>
          <w:tcPr>
            <w:tcW w:w="2148" w:type="dxa"/>
            <w:shd w:val="clear" w:color="auto" w:fill="auto"/>
            <w:noWrap w:val="0"/>
            <w:vAlign w:val="top"/>
          </w:tcPr>
          <w:p w14:paraId="0AC235E4">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刘敏唏</w:t>
            </w:r>
          </w:p>
        </w:tc>
        <w:tc>
          <w:tcPr>
            <w:tcW w:w="2188" w:type="dxa"/>
            <w:shd w:val="clear" w:color="auto" w:fill="auto"/>
            <w:noWrap w:val="0"/>
            <w:vAlign w:val="top"/>
          </w:tcPr>
          <w:p w14:paraId="5F2CF31A">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68913837</w:t>
            </w:r>
          </w:p>
        </w:tc>
        <w:tc>
          <w:tcPr>
            <w:tcW w:w="1905" w:type="dxa"/>
            <w:shd w:val="clear" w:color="auto" w:fill="auto"/>
            <w:noWrap w:val="0"/>
            <w:vAlign w:val="top"/>
          </w:tcPr>
          <w:p w14:paraId="46F233D9">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田敏</w:t>
            </w:r>
          </w:p>
        </w:tc>
        <w:tc>
          <w:tcPr>
            <w:tcW w:w="2081" w:type="dxa"/>
            <w:shd w:val="clear" w:color="auto" w:fill="auto"/>
            <w:noWrap w:val="0"/>
            <w:vAlign w:val="top"/>
          </w:tcPr>
          <w:p w14:paraId="69FC711B">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68150184</w:t>
            </w:r>
          </w:p>
        </w:tc>
      </w:tr>
      <w:tr w14:paraId="50B8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top"/>
          </w:tcPr>
          <w:p w14:paraId="16D4993E">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sz w:val="22"/>
                <w:szCs w:val="22"/>
                <w:vertAlign w:val="baseline"/>
                <w:lang w:val="en-US" w:eastAsia="zh-CN"/>
              </w:rPr>
            </w:pPr>
            <w:r>
              <w:rPr>
                <w:rFonts w:hint="default" w:ascii="Times New Roman" w:hAnsi="Times New Roman" w:eastAsia="方正仿宋_GBK" w:cs="Times New Roman"/>
                <w:spacing w:val="0"/>
                <w:w w:val="100"/>
                <w:sz w:val="22"/>
                <w:szCs w:val="22"/>
                <w:vertAlign w:val="baseline"/>
                <w:lang w:val="en-US" w:eastAsia="zh-CN"/>
              </w:rPr>
              <w:t>区红十字会</w:t>
            </w:r>
          </w:p>
        </w:tc>
        <w:tc>
          <w:tcPr>
            <w:tcW w:w="2148" w:type="dxa"/>
            <w:shd w:val="clear" w:color="auto" w:fill="auto"/>
            <w:noWrap w:val="0"/>
            <w:vAlign w:val="top"/>
          </w:tcPr>
          <w:p w14:paraId="7B1F5A96">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sz w:val="22"/>
                <w:szCs w:val="22"/>
                <w:vertAlign w:val="baseline"/>
                <w:lang w:val="en-US" w:eastAsia="zh-CN"/>
              </w:rPr>
            </w:pPr>
            <w:r>
              <w:rPr>
                <w:rFonts w:hint="default" w:ascii="Times New Roman" w:hAnsi="Times New Roman" w:eastAsia="方正仿宋_GBK" w:cs="Times New Roman"/>
                <w:spacing w:val="0"/>
                <w:w w:val="100"/>
                <w:sz w:val="22"/>
                <w:szCs w:val="22"/>
                <w:vertAlign w:val="baseline"/>
                <w:lang w:val="en-US" w:eastAsia="zh-CN"/>
              </w:rPr>
              <w:t>田云</w:t>
            </w:r>
          </w:p>
        </w:tc>
        <w:tc>
          <w:tcPr>
            <w:tcW w:w="2188" w:type="dxa"/>
            <w:shd w:val="clear" w:color="auto" w:fill="auto"/>
            <w:noWrap w:val="0"/>
            <w:vAlign w:val="top"/>
          </w:tcPr>
          <w:p w14:paraId="28079992">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sz w:val="22"/>
                <w:szCs w:val="22"/>
                <w:vertAlign w:val="baseline"/>
                <w:lang w:val="en-US" w:eastAsia="zh-CN"/>
              </w:rPr>
            </w:pPr>
            <w:r>
              <w:rPr>
                <w:rFonts w:hint="default" w:ascii="Times New Roman" w:hAnsi="Times New Roman" w:eastAsia="方正仿宋_GBK" w:cs="Times New Roman"/>
                <w:spacing w:val="0"/>
                <w:w w:val="100"/>
                <w:sz w:val="22"/>
                <w:szCs w:val="22"/>
                <w:vertAlign w:val="baseline"/>
                <w:lang w:val="en-US" w:eastAsia="zh-CN"/>
              </w:rPr>
              <w:t>13527449777</w:t>
            </w:r>
          </w:p>
        </w:tc>
        <w:tc>
          <w:tcPr>
            <w:tcW w:w="1905" w:type="dxa"/>
            <w:shd w:val="clear" w:color="auto" w:fill="auto"/>
            <w:noWrap w:val="0"/>
            <w:vAlign w:val="top"/>
          </w:tcPr>
          <w:p w14:paraId="7C604286">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sz w:val="22"/>
                <w:szCs w:val="22"/>
                <w:vertAlign w:val="baseline"/>
                <w:lang w:val="en-US" w:eastAsia="zh-CN"/>
              </w:rPr>
            </w:pPr>
            <w:r>
              <w:rPr>
                <w:rFonts w:hint="default" w:ascii="Times New Roman" w:hAnsi="Times New Roman" w:eastAsia="方正仿宋_GBK" w:cs="Times New Roman"/>
                <w:spacing w:val="0"/>
                <w:w w:val="100"/>
                <w:sz w:val="22"/>
                <w:szCs w:val="22"/>
                <w:vertAlign w:val="baseline"/>
                <w:lang w:val="en-US" w:eastAsia="zh-CN"/>
              </w:rPr>
              <w:t>王娟</w:t>
            </w:r>
          </w:p>
        </w:tc>
        <w:tc>
          <w:tcPr>
            <w:tcW w:w="2081" w:type="dxa"/>
            <w:shd w:val="clear" w:color="auto" w:fill="auto"/>
            <w:noWrap w:val="0"/>
            <w:vAlign w:val="top"/>
          </w:tcPr>
          <w:p w14:paraId="797970C5">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sz w:val="22"/>
                <w:szCs w:val="22"/>
                <w:vertAlign w:val="baseline"/>
                <w:lang w:val="en-US" w:eastAsia="zh-CN"/>
              </w:rPr>
            </w:pPr>
            <w:r>
              <w:rPr>
                <w:rFonts w:hint="default" w:ascii="Times New Roman" w:hAnsi="Times New Roman" w:eastAsia="方正仿宋_GBK" w:cs="Times New Roman"/>
                <w:spacing w:val="0"/>
                <w:w w:val="100"/>
                <w:sz w:val="22"/>
                <w:szCs w:val="22"/>
                <w:vertAlign w:val="baseline"/>
                <w:lang w:val="en-US" w:eastAsia="zh-CN"/>
              </w:rPr>
              <w:t>15826285079</w:t>
            </w:r>
          </w:p>
        </w:tc>
      </w:tr>
      <w:tr w14:paraId="5712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center"/>
          </w:tcPr>
          <w:p w14:paraId="4812EC0E">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团区委</w:t>
            </w:r>
          </w:p>
        </w:tc>
        <w:tc>
          <w:tcPr>
            <w:tcW w:w="2148" w:type="dxa"/>
            <w:shd w:val="clear" w:color="auto" w:fill="auto"/>
            <w:noWrap w:val="0"/>
            <w:vAlign w:val="center"/>
          </w:tcPr>
          <w:p w14:paraId="0BE2FDFC">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李妹玲</w:t>
            </w:r>
          </w:p>
        </w:tc>
        <w:tc>
          <w:tcPr>
            <w:tcW w:w="2188" w:type="dxa"/>
            <w:shd w:val="clear" w:color="auto" w:fill="auto"/>
            <w:noWrap w:val="0"/>
            <w:vAlign w:val="center"/>
          </w:tcPr>
          <w:p w14:paraId="302B9914">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13883748854</w:t>
            </w:r>
          </w:p>
        </w:tc>
        <w:tc>
          <w:tcPr>
            <w:tcW w:w="1905" w:type="dxa"/>
            <w:shd w:val="clear" w:color="auto" w:fill="auto"/>
            <w:noWrap w:val="0"/>
            <w:vAlign w:val="center"/>
          </w:tcPr>
          <w:p w14:paraId="57E7CBAB">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向娜</w:t>
            </w:r>
          </w:p>
        </w:tc>
        <w:tc>
          <w:tcPr>
            <w:tcW w:w="2081" w:type="dxa"/>
            <w:shd w:val="clear" w:color="auto" w:fill="auto"/>
            <w:noWrap w:val="0"/>
            <w:vAlign w:val="center"/>
          </w:tcPr>
          <w:p w14:paraId="39C56E2A">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18723930833</w:t>
            </w:r>
          </w:p>
        </w:tc>
      </w:tr>
      <w:tr w14:paraId="0B00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top"/>
          </w:tcPr>
          <w:p w14:paraId="3D3E5EDC">
            <w:pPr>
              <w:topLinePunct/>
              <w:spacing w:line="594" w:lineRule="exact"/>
              <w:jc w:val="both"/>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sz w:val="22"/>
                <w:szCs w:val="22"/>
                <w:lang w:val="en-US" w:eastAsia="zh-CN"/>
              </w:rPr>
              <w:t>重庆市公安局大渡口区分局</w:t>
            </w:r>
          </w:p>
        </w:tc>
        <w:tc>
          <w:tcPr>
            <w:tcW w:w="2148" w:type="dxa"/>
            <w:shd w:val="clear" w:color="auto" w:fill="auto"/>
            <w:noWrap w:val="0"/>
            <w:vAlign w:val="top"/>
          </w:tcPr>
          <w:p w14:paraId="6D92F07D">
            <w:pPr>
              <w:topLinePunct/>
              <w:spacing w:line="594" w:lineRule="exact"/>
              <w:jc w:val="both"/>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sz w:val="22"/>
                <w:szCs w:val="22"/>
                <w:lang w:eastAsia="zh-CN"/>
              </w:rPr>
              <w:t>简志英</w:t>
            </w:r>
            <w:r>
              <w:rPr>
                <w:rFonts w:hint="default" w:ascii="Times New Roman" w:hAnsi="Times New Roman" w:eastAsia="方正仿宋_GBK" w:cs="Times New Roman"/>
                <w:sz w:val="22"/>
                <w:szCs w:val="22"/>
                <w:lang w:val="en-US" w:eastAsia="zh-CN"/>
              </w:rPr>
              <w:t xml:space="preserve"> </w:t>
            </w:r>
          </w:p>
        </w:tc>
        <w:tc>
          <w:tcPr>
            <w:tcW w:w="2188" w:type="dxa"/>
            <w:shd w:val="clear" w:color="auto" w:fill="auto"/>
            <w:noWrap w:val="0"/>
            <w:vAlign w:val="top"/>
          </w:tcPr>
          <w:p w14:paraId="475BFA2B">
            <w:pPr>
              <w:topLinePunct/>
              <w:spacing w:line="594" w:lineRule="exact"/>
              <w:jc w:val="both"/>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sz w:val="22"/>
                <w:szCs w:val="22"/>
                <w:lang w:val="en-US" w:eastAsia="zh-CN"/>
              </w:rPr>
              <w:t>65367003</w:t>
            </w:r>
          </w:p>
        </w:tc>
        <w:tc>
          <w:tcPr>
            <w:tcW w:w="1905" w:type="dxa"/>
            <w:shd w:val="clear" w:color="auto" w:fill="auto"/>
            <w:noWrap w:val="0"/>
            <w:vAlign w:val="top"/>
          </w:tcPr>
          <w:p w14:paraId="74EB1FAA">
            <w:pPr>
              <w:topLinePunct/>
              <w:spacing w:line="594" w:lineRule="exact"/>
              <w:jc w:val="both"/>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sz w:val="22"/>
                <w:szCs w:val="22"/>
                <w:lang w:val="en-US" w:eastAsia="zh-CN"/>
              </w:rPr>
              <w:t xml:space="preserve"> </w:t>
            </w:r>
            <w:r>
              <w:rPr>
                <w:rFonts w:hint="default" w:ascii="Times New Roman" w:hAnsi="Times New Roman" w:eastAsia="方正仿宋_GBK" w:cs="Times New Roman"/>
                <w:sz w:val="22"/>
                <w:szCs w:val="22"/>
              </w:rPr>
              <w:t>郭建邦</w:t>
            </w:r>
          </w:p>
        </w:tc>
        <w:tc>
          <w:tcPr>
            <w:tcW w:w="2081" w:type="dxa"/>
            <w:shd w:val="clear" w:color="auto" w:fill="auto"/>
            <w:noWrap w:val="0"/>
            <w:vAlign w:val="top"/>
          </w:tcPr>
          <w:p w14:paraId="6AA78DDA">
            <w:pPr>
              <w:keepNext w:val="0"/>
              <w:keepLines w:val="0"/>
              <w:pageBreakBefore w:val="0"/>
              <w:widowControl w:val="0"/>
              <w:kinsoku/>
              <w:wordWrap/>
              <w:overflowPunct/>
              <w:topLinePunct/>
              <w:autoSpaceDE/>
              <w:autoSpaceDN/>
              <w:bidi w:val="0"/>
              <w:adjustRightInd/>
              <w:snapToGrid/>
              <w:spacing w:after="0" w:line="594" w:lineRule="exact"/>
              <w:ind w:right="0" w:rightChars="0"/>
              <w:jc w:val="both"/>
              <w:textAlignment w:val="auto"/>
              <w:rPr>
                <w:rFonts w:hint="default" w:ascii="Times New Roman" w:hAnsi="Times New Roman" w:eastAsia="方正仿宋_GBK" w:cs="Times New Roman"/>
                <w:spacing w:val="0"/>
                <w:w w:val="100"/>
                <w:sz w:val="22"/>
                <w:szCs w:val="22"/>
                <w:vertAlign w:val="baseline"/>
                <w:lang w:val="en-US" w:eastAsia="zh-CN"/>
              </w:rPr>
            </w:pPr>
            <w:r>
              <w:rPr>
                <w:rFonts w:hint="default" w:ascii="Times New Roman" w:hAnsi="Times New Roman" w:eastAsia="方正仿宋_GBK" w:cs="Times New Roman"/>
                <w:sz w:val="22"/>
                <w:szCs w:val="22"/>
              </w:rPr>
              <w:t>15123250109</w:t>
            </w:r>
          </w:p>
        </w:tc>
      </w:tr>
      <w:tr w14:paraId="6BFA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noWrap w:val="0"/>
            <w:vAlign w:val="top"/>
          </w:tcPr>
          <w:p w14:paraId="705EEA7D">
            <w:pPr>
              <w:keepNext w:val="0"/>
              <w:keepLines w:val="0"/>
              <w:pageBreakBefore w:val="0"/>
              <w:widowControl w:val="0"/>
              <w:kinsoku/>
              <w:wordWrap/>
              <w:overflowPunct/>
              <w:topLinePunct/>
              <w:autoSpaceDE/>
              <w:autoSpaceDN/>
              <w:bidi w:val="0"/>
              <w:adjustRightInd/>
              <w:snapToGrid/>
              <w:spacing w:after="0" w:line="594" w:lineRule="exact"/>
              <w:ind w:right="0" w:firstLine="708" w:firstLineChars="300"/>
              <w:jc w:val="both"/>
              <w:textAlignment w:val="auto"/>
              <w:rPr>
                <w:rFonts w:hint="eastAsia" w:asciiTheme="minorEastAsia" w:hAnsiTheme="minorEastAsia" w:eastAsiaTheme="minorEastAsia" w:cstheme="minorEastAsia"/>
                <w:b/>
                <w:bCs/>
                <w:spacing w:val="0"/>
                <w:w w:val="100"/>
                <w:sz w:val="24"/>
                <w:szCs w:val="24"/>
                <w:vertAlign w:val="baseline"/>
                <w:lang w:val="en-US" w:eastAsia="zh-CN"/>
              </w:rPr>
            </w:pPr>
            <w:r>
              <w:rPr>
                <w:rFonts w:hint="eastAsia" w:asciiTheme="minorEastAsia" w:hAnsiTheme="minorEastAsia" w:eastAsiaTheme="minorEastAsia" w:cstheme="minorEastAsia"/>
                <w:b/>
                <w:bCs/>
                <w:spacing w:val="0"/>
                <w:w w:val="100"/>
                <w:sz w:val="24"/>
                <w:szCs w:val="24"/>
                <w:vertAlign w:val="baseline"/>
                <w:lang w:val="en-US" w:eastAsia="zh-CN"/>
              </w:rPr>
              <w:t>单位</w:t>
            </w:r>
          </w:p>
        </w:tc>
        <w:tc>
          <w:tcPr>
            <w:tcW w:w="2148" w:type="dxa"/>
            <w:noWrap w:val="0"/>
            <w:vAlign w:val="top"/>
          </w:tcPr>
          <w:p w14:paraId="139370BA">
            <w:pPr>
              <w:keepNext w:val="0"/>
              <w:keepLines w:val="0"/>
              <w:pageBreakBefore w:val="0"/>
              <w:widowControl w:val="0"/>
              <w:kinsoku/>
              <w:wordWrap/>
              <w:overflowPunct/>
              <w:topLinePunct/>
              <w:autoSpaceDE/>
              <w:autoSpaceDN/>
              <w:bidi w:val="0"/>
              <w:adjustRightInd/>
              <w:snapToGrid/>
              <w:spacing w:after="0" w:line="594" w:lineRule="exact"/>
              <w:ind w:right="0" w:firstLine="236" w:firstLineChars="100"/>
              <w:jc w:val="both"/>
              <w:textAlignment w:val="auto"/>
              <w:rPr>
                <w:rFonts w:hint="eastAsia" w:asciiTheme="minorEastAsia" w:hAnsiTheme="minorEastAsia" w:eastAsiaTheme="minorEastAsia" w:cstheme="minorEastAsia"/>
                <w:b/>
                <w:bCs/>
                <w:spacing w:val="0"/>
                <w:w w:val="100"/>
                <w:sz w:val="24"/>
                <w:szCs w:val="24"/>
                <w:vertAlign w:val="baseline"/>
                <w:lang w:val="en-US" w:eastAsia="zh-CN"/>
              </w:rPr>
            </w:pPr>
            <w:r>
              <w:rPr>
                <w:rFonts w:hint="eastAsia" w:asciiTheme="minorEastAsia" w:hAnsiTheme="minorEastAsia" w:eastAsiaTheme="minorEastAsia" w:cstheme="minorEastAsia"/>
                <w:b/>
                <w:bCs/>
                <w:spacing w:val="0"/>
                <w:w w:val="100"/>
                <w:sz w:val="24"/>
                <w:szCs w:val="24"/>
                <w:vertAlign w:val="baseline"/>
                <w:lang w:val="en-US" w:eastAsia="zh-CN"/>
              </w:rPr>
              <w:t>分管领导</w:t>
            </w:r>
          </w:p>
        </w:tc>
        <w:tc>
          <w:tcPr>
            <w:tcW w:w="2188" w:type="dxa"/>
            <w:noWrap w:val="0"/>
            <w:vAlign w:val="top"/>
          </w:tcPr>
          <w:p w14:paraId="275928E6">
            <w:pPr>
              <w:keepNext w:val="0"/>
              <w:keepLines w:val="0"/>
              <w:pageBreakBefore w:val="0"/>
              <w:widowControl w:val="0"/>
              <w:kinsoku/>
              <w:wordWrap/>
              <w:overflowPunct/>
              <w:topLinePunct/>
              <w:autoSpaceDE/>
              <w:autoSpaceDN/>
              <w:bidi w:val="0"/>
              <w:adjustRightInd/>
              <w:snapToGrid/>
              <w:spacing w:after="0" w:line="594" w:lineRule="exact"/>
              <w:ind w:right="0" w:firstLine="472" w:firstLineChars="200"/>
              <w:jc w:val="both"/>
              <w:textAlignment w:val="auto"/>
              <w:rPr>
                <w:rFonts w:hint="eastAsia" w:asciiTheme="minorEastAsia" w:hAnsiTheme="minorEastAsia" w:eastAsiaTheme="minorEastAsia" w:cstheme="minorEastAsia"/>
                <w:b/>
                <w:bCs/>
                <w:spacing w:val="0"/>
                <w:w w:val="100"/>
                <w:sz w:val="24"/>
                <w:szCs w:val="24"/>
                <w:vertAlign w:val="baseline"/>
                <w:lang w:val="en-US" w:eastAsia="zh-CN"/>
              </w:rPr>
            </w:pPr>
            <w:r>
              <w:rPr>
                <w:rFonts w:hint="eastAsia" w:asciiTheme="minorEastAsia" w:hAnsiTheme="minorEastAsia" w:eastAsiaTheme="minorEastAsia" w:cstheme="minorEastAsia"/>
                <w:b/>
                <w:bCs/>
                <w:spacing w:val="0"/>
                <w:w w:val="100"/>
                <w:sz w:val="24"/>
                <w:szCs w:val="24"/>
                <w:vertAlign w:val="baseline"/>
                <w:lang w:val="en-US" w:eastAsia="zh-CN"/>
              </w:rPr>
              <w:t>电话</w:t>
            </w:r>
          </w:p>
        </w:tc>
        <w:tc>
          <w:tcPr>
            <w:tcW w:w="1905" w:type="dxa"/>
            <w:noWrap w:val="0"/>
            <w:vAlign w:val="top"/>
          </w:tcPr>
          <w:p w14:paraId="6862AFDD">
            <w:pPr>
              <w:keepNext w:val="0"/>
              <w:keepLines w:val="0"/>
              <w:pageBreakBefore w:val="0"/>
              <w:widowControl w:val="0"/>
              <w:kinsoku/>
              <w:wordWrap/>
              <w:overflowPunct/>
              <w:topLinePunct/>
              <w:autoSpaceDE/>
              <w:autoSpaceDN/>
              <w:bidi w:val="0"/>
              <w:adjustRightInd/>
              <w:snapToGrid/>
              <w:spacing w:after="0" w:line="594" w:lineRule="exact"/>
              <w:ind w:right="0" w:firstLine="236" w:firstLineChars="100"/>
              <w:jc w:val="both"/>
              <w:textAlignment w:val="auto"/>
              <w:rPr>
                <w:rFonts w:hint="eastAsia" w:asciiTheme="minorEastAsia" w:hAnsiTheme="minorEastAsia" w:eastAsiaTheme="minorEastAsia" w:cstheme="minorEastAsia"/>
                <w:b/>
                <w:bCs/>
                <w:spacing w:val="0"/>
                <w:w w:val="100"/>
                <w:sz w:val="24"/>
                <w:szCs w:val="24"/>
                <w:vertAlign w:val="baseline"/>
                <w:lang w:val="en-US" w:eastAsia="zh-CN"/>
              </w:rPr>
            </w:pPr>
            <w:r>
              <w:rPr>
                <w:rFonts w:hint="eastAsia" w:asciiTheme="minorEastAsia" w:hAnsiTheme="minorEastAsia" w:eastAsiaTheme="minorEastAsia" w:cstheme="minorEastAsia"/>
                <w:b/>
                <w:bCs/>
                <w:spacing w:val="0"/>
                <w:w w:val="100"/>
                <w:sz w:val="24"/>
                <w:szCs w:val="24"/>
                <w:vertAlign w:val="baseline"/>
                <w:lang w:val="en-US" w:eastAsia="zh-CN"/>
              </w:rPr>
              <w:t>项目负责人</w:t>
            </w:r>
          </w:p>
        </w:tc>
        <w:tc>
          <w:tcPr>
            <w:tcW w:w="2081" w:type="dxa"/>
            <w:noWrap w:val="0"/>
            <w:vAlign w:val="top"/>
          </w:tcPr>
          <w:p w14:paraId="57700203">
            <w:pPr>
              <w:keepNext w:val="0"/>
              <w:keepLines w:val="0"/>
              <w:pageBreakBefore w:val="0"/>
              <w:widowControl w:val="0"/>
              <w:kinsoku/>
              <w:wordWrap/>
              <w:overflowPunct/>
              <w:topLinePunct/>
              <w:autoSpaceDE/>
              <w:autoSpaceDN/>
              <w:bidi w:val="0"/>
              <w:adjustRightInd/>
              <w:snapToGrid/>
              <w:spacing w:after="0" w:line="594" w:lineRule="exact"/>
              <w:ind w:right="0" w:firstLine="472" w:firstLineChars="200"/>
              <w:jc w:val="both"/>
              <w:textAlignment w:val="auto"/>
              <w:rPr>
                <w:rFonts w:hint="eastAsia" w:asciiTheme="minorEastAsia" w:hAnsiTheme="minorEastAsia" w:eastAsiaTheme="minorEastAsia" w:cstheme="minorEastAsia"/>
                <w:b/>
                <w:bCs/>
                <w:spacing w:val="0"/>
                <w:w w:val="100"/>
                <w:sz w:val="24"/>
                <w:szCs w:val="24"/>
                <w:vertAlign w:val="baseline"/>
                <w:lang w:val="en-US" w:eastAsia="zh-CN"/>
              </w:rPr>
            </w:pPr>
            <w:r>
              <w:rPr>
                <w:rFonts w:hint="eastAsia" w:asciiTheme="minorEastAsia" w:hAnsiTheme="minorEastAsia" w:eastAsiaTheme="minorEastAsia" w:cstheme="minorEastAsia"/>
                <w:b/>
                <w:bCs/>
                <w:spacing w:val="0"/>
                <w:w w:val="100"/>
                <w:sz w:val="24"/>
                <w:szCs w:val="24"/>
                <w:vertAlign w:val="baseline"/>
                <w:lang w:val="en-US" w:eastAsia="zh-CN"/>
              </w:rPr>
              <w:t>电话</w:t>
            </w:r>
          </w:p>
        </w:tc>
      </w:tr>
      <w:tr w14:paraId="2448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top"/>
          </w:tcPr>
          <w:p w14:paraId="32BB601C">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八桥镇</w:t>
            </w:r>
          </w:p>
        </w:tc>
        <w:tc>
          <w:tcPr>
            <w:tcW w:w="2148" w:type="dxa"/>
            <w:shd w:val="clear" w:color="auto" w:fill="auto"/>
            <w:noWrap w:val="0"/>
            <w:vAlign w:val="top"/>
          </w:tcPr>
          <w:p w14:paraId="60D9CEFC">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任华</w:t>
            </w:r>
          </w:p>
        </w:tc>
        <w:tc>
          <w:tcPr>
            <w:tcW w:w="2188" w:type="dxa"/>
            <w:shd w:val="clear" w:color="auto" w:fill="auto"/>
            <w:noWrap w:val="0"/>
            <w:vAlign w:val="top"/>
          </w:tcPr>
          <w:p w14:paraId="3781C344">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15213453758</w:t>
            </w:r>
          </w:p>
        </w:tc>
        <w:tc>
          <w:tcPr>
            <w:tcW w:w="1905" w:type="dxa"/>
            <w:shd w:val="clear" w:color="auto" w:fill="auto"/>
            <w:noWrap w:val="0"/>
            <w:vAlign w:val="top"/>
          </w:tcPr>
          <w:p w14:paraId="62A5B486">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范后</w:t>
            </w:r>
          </w:p>
        </w:tc>
        <w:tc>
          <w:tcPr>
            <w:tcW w:w="2081" w:type="dxa"/>
            <w:shd w:val="clear" w:color="auto" w:fill="auto"/>
            <w:noWrap w:val="0"/>
            <w:vAlign w:val="top"/>
          </w:tcPr>
          <w:p w14:paraId="43E11EC4">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13110222961</w:t>
            </w:r>
          </w:p>
        </w:tc>
      </w:tr>
      <w:tr w14:paraId="289D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top"/>
          </w:tcPr>
          <w:p w14:paraId="651EA7E2">
            <w:pPr>
              <w:topLinePunct/>
              <w:spacing w:line="594" w:lineRule="exact"/>
              <w:jc w:val="lef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lang w:val="en-US" w:eastAsia="zh-CN"/>
              </w:rPr>
              <w:t>建胜镇</w:t>
            </w:r>
          </w:p>
        </w:tc>
        <w:tc>
          <w:tcPr>
            <w:tcW w:w="2148" w:type="dxa"/>
            <w:shd w:val="clear" w:color="auto" w:fill="auto"/>
            <w:noWrap w:val="0"/>
            <w:vAlign w:val="top"/>
          </w:tcPr>
          <w:p w14:paraId="31E7B45C">
            <w:pPr>
              <w:topLinePunct/>
              <w:spacing w:line="594" w:lineRule="exact"/>
              <w:jc w:val="lef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lang w:val="en-US" w:eastAsia="zh-CN"/>
              </w:rPr>
              <w:t>汪静</w:t>
            </w:r>
          </w:p>
        </w:tc>
        <w:tc>
          <w:tcPr>
            <w:tcW w:w="2188" w:type="dxa"/>
            <w:shd w:val="clear" w:color="auto" w:fill="auto"/>
            <w:noWrap w:val="0"/>
            <w:vAlign w:val="top"/>
          </w:tcPr>
          <w:p w14:paraId="624ED6AE">
            <w:pPr>
              <w:topLinePunct/>
              <w:spacing w:line="594" w:lineRule="exact"/>
              <w:jc w:val="left"/>
              <w:rPr>
                <w:rFonts w:hint="eastAsia" w:ascii="方正仿宋_GBK" w:hAnsi="方正仿宋_GBK" w:eastAsia="方正仿宋_GBK" w:cs="方正仿宋_GBK"/>
                <w:kern w:val="2"/>
                <w:sz w:val="22"/>
                <w:szCs w:val="22"/>
                <w:lang w:val="en-US" w:eastAsia="zh-CN" w:bidi="ar-SA"/>
              </w:rPr>
            </w:pPr>
            <w:r>
              <w:rPr>
                <w:rFonts w:hint="default" w:ascii="Times New Roman" w:hAnsi="Times New Roman" w:eastAsia="方正仿宋_GBK" w:cs="Times New Roman"/>
                <w:sz w:val="22"/>
                <w:szCs w:val="22"/>
                <w:lang w:val="en-US" w:eastAsia="zh-CN"/>
              </w:rPr>
              <w:t>68157768</w:t>
            </w:r>
          </w:p>
        </w:tc>
        <w:tc>
          <w:tcPr>
            <w:tcW w:w="1905" w:type="dxa"/>
            <w:shd w:val="clear" w:color="auto" w:fill="auto"/>
            <w:noWrap w:val="0"/>
            <w:vAlign w:val="top"/>
          </w:tcPr>
          <w:p w14:paraId="2C743B84">
            <w:pPr>
              <w:topLinePunct/>
              <w:spacing w:line="594" w:lineRule="exact"/>
              <w:jc w:val="lef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lang w:val="en-US" w:eastAsia="zh-CN"/>
              </w:rPr>
              <w:t>程远程梦</w:t>
            </w:r>
          </w:p>
        </w:tc>
        <w:tc>
          <w:tcPr>
            <w:tcW w:w="2081" w:type="dxa"/>
            <w:shd w:val="clear" w:color="auto" w:fill="auto"/>
            <w:noWrap w:val="0"/>
            <w:vAlign w:val="top"/>
          </w:tcPr>
          <w:p w14:paraId="5ECD5DC2">
            <w:pPr>
              <w:topLinePunct/>
              <w:spacing w:line="594" w:lineRule="exact"/>
              <w:jc w:val="left"/>
              <w:rPr>
                <w:rFonts w:hint="eastAsia" w:ascii="方正仿宋_GBK" w:hAnsi="方正仿宋_GBK" w:eastAsia="方正仿宋_GBK" w:cs="方正仿宋_GBK"/>
                <w:kern w:val="2"/>
                <w:sz w:val="22"/>
                <w:szCs w:val="22"/>
                <w:lang w:val="en-US" w:eastAsia="zh-CN" w:bidi="ar-SA"/>
              </w:rPr>
            </w:pPr>
            <w:r>
              <w:rPr>
                <w:rFonts w:hint="default" w:ascii="Times New Roman" w:hAnsi="Times New Roman" w:eastAsia="方正仿宋_GBK" w:cs="Times New Roman"/>
                <w:sz w:val="22"/>
                <w:szCs w:val="22"/>
                <w:lang w:val="en-US" w:eastAsia="zh-CN"/>
              </w:rPr>
              <w:t>68907717</w:t>
            </w:r>
          </w:p>
        </w:tc>
      </w:tr>
      <w:tr w14:paraId="53A0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top"/>
          </w:tcPr>
          <w:p w14:paraId="15BF9EAA">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跳磴镇</w:t>
            </w:r>
          </w:p>
        </w:tc>
        <w:tc>
          <w:tcPr>
            <w:tcW w:w="2148" w:type="dxa"/>
            <w:shd w:val="clear" w:color="auto" w:fill="auto"/>
            <w:noWrap w:val="0"/>
            <w:vAlign w:val="top"/>
          </w:tcPr>
          <w:p w14:paraId="15952E01">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梁瑞峰</w:t>
            </w:r>
          </w:p>
        </w:tc>
        <w:tc>
          <w:tcPr>
            <w:tcW w:w="2188" w:type="dxa"/>
            <w:shd w:val="clear" w:color="auto" w:fill="auto"/>
            <w:noWrap w:val="0"/>
            <w:vAlign w:val="top"/>
          </w:tcPr>
          <w:p w14:paraId="4F504810">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13996298608</w:t>
            </w:r>
          </w:p>
        </w:tc>
        <w:tc>
          <w:tcPr>
            <w:tcW w:w="1905" w:type="dxa"/>
            <w:shd w:val="clear" w:color="auto" w:fill="auto"/>
            <w:noWrap w:val="0"/>
            <w:vAlign w:val="top"/>
          </w:tcPr>
          <w:p w14:paraId="0CCA6805">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 xml:space="preserve">林雯雯  </w:t>
            </w:r>
          </w:p>
        </w:tc>
        <w:tc>
          <w:tcPr>
            <w:tcW w:w="2081" w:type="dxa"/>
            <w:shd w:val="clear" w:color="auto" w:fill="auto"/>
            <w:noWrap w:val="0"/>
            <w:vAlign w:val="top"/>
          </w:tcPr>
          <w:p w14:paraId="5DA58D57">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18512363196</w:t>
            </w:r>
          </w:p>
        </w:tc>
      </w:tr>
      <w:tr w14:paraId="7E40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top"/>
          </w:tcPr>
          <w:p w14:paraId="30E2908D">
            <w:pPr>
              <w:topLinePunct/>
              <w:spacing w:line="594" w:lineRule="exact"/>
              <w:jc w:val="left"/>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z w:val="22"/>
                <w:szCs w:val="22"/>
              </w:rPr>
              <w:t>新山村街道</w:t>
            </w:r>
          </w:p>
        </w:tc>
        <w:tc>
          <w:tcPr>
            <w:tcW w:w="2148" w:type="dxa"/>
            <w:shd w:val="clear" w:color="auto" w:fill="auto"/>
            <w:noWrap w:val="0"/>
            <w:vAlign w:val="top"/>
          </w:tcPr>
          <w:p w14:paraId="5593525A">
            <w:pPr>
              <w:topLinePunct/>
              <w:spacing w:line="594" w:lineRule="exact"/>
              <w:jc w:val="left"/>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z w:val="22"/>
                <w:szCs w:val="22"/>
              </w:rPr>
              <w:t>唐华伦</w:t>
            </w:r>
          </w:p>
        </w:tc>
        <w:tc>
          <w:tcPr>
            <w:tcW w:w="2188" w:type="dxa"/>
            <w:shd w:val="clear" w:color="auto" w:fill="auto"/>
            <w:noWrap w:val="0"/>
            <w:vAlign w:val="top"/>
          </w:tcPr>
          <w:p w14:paraId="5BC4E15D">
            <w:pPr>
              <w:topLinePunct/>
              <w:spacing w:line="594" w:lineRule="exact"/>
              <w:jc w:val="left"/>
              <w:rPr>
                <w:rFonts w:hint="eastAsia" w:ascii="方正仿宋_GBK" w:hAnsi="方正仿宋_GBK" w:eastAsia="方正仿宋_GBK" w:cs="方正仿宋_GBK"/>
                <w:spacing w:val="0"/>
                <w:w w:val="100"/>
                <w:kern w:val="2"/>
                <w:sz w:val="22"/>
                <w:szCs w:val="22"/>
                <w:vertAlign w:val="baseline"/>
                <w:lang w:val="en-US" w:eastAsia="zh-CN" w:bidi="ar-SA"/>
              </w:rPr>
            </w:pPr>
            <w:r>
              <w:rPr>
                <w:rFonts w:hint="default" w:ascii="Times New Roman" w:hAnsi="Times New Roman" w:eastAsia="方正仿宋_GBK" w:cs="Times New Roman"/>
                <w:sz w:val="22"/>
                <w:szCs w:val="22"/>
              </w:rPr>
              <w:t>68561729</w:t>
            </w:r>
          </w:p>
        </w:tc>
        <w:tc>
          <w:tcPr>
            <w:tcW w:w="1905" w:type="dxa"/>
            <w:shd w:val="clear" w:color="auto" w:fill="auto"/>
            <w:noWrap w:val="0"/>
            <w:vAlign w:val="top"/>
          </w:tcPr>
          <w:p w14:paraId="04DC0B65">
            <w:pPr>
              <w:topLinePunct/>
              <w:spacing w:line="594" w:lineRule="exact"/>
              <w:jc w:val="left"/>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z w:val="22"/>
                <w:szCs w:val="22"/>
              </w:rPr>
              <w:t>周媛媛</w:t>
            </w:r>
          </w:p>
        </w:tc>
        <w:tc>
          <w:tcPr>
            <w:tcW w:w="2081" w:type="dxa"/>
            <w:shd w:val="clear" w:color="auto" w:fill="auto"/>
            <w:noWrap w:val="0"/>
            <w:vAlign w:val="top"/>
          </w:tcPr>
          <w:p w14:paraId="5853EE32">
            <w:pPr>
              <w:topLinePunct/>
              <w:spacing w:line="594" w:lineRule="exact"/>
              <w:jc w:val="left"/>
              <w:rPr>
                <w:rFonts w:hint="eastAsia" w:ascii="方正仿宋_GBK" w:hAnsi="方正仿宋_GBK" w:eastAsia="方正仿宋_GBK" w:cs="方正仿宋_GBK"/>
                <w:spacing w:val="0"/>
                <w:w w:val="100"/>
                <w:kern w:val="2"/>
                <w:sz w:val="22"/>
                <w:szCs w:val="22"/>
                <w:vertAlign w:val="baseline"/>
                <w:lang w:val="en-US" w:eastAsia="zh-CN" w:bidi="ar-SA"/>
              </w:rPr>
            </w:pPr>
            <w:r>
              <w:rPr>
                <w:rFonts w:hint="default" w:ascii="Times New Roman" w:hAnsi="Times New Roman" w:eastAsia="方正仿宋_GBK" w:cs="Times New Roman"/>
                <w:sz w:val="22"/>
                <w:szCs w:val="22"/>
              </w:rPr>
              <w:t>68835674</w:t>
            </w:r>
          </w:p>
        </w:tc>
      </w:tr>
      <w:tr w14:paraId="5AEC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top"/>
          </w:tcPr>
          <w:p w14:paraId="74BC22E2">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跃进村街道</w:t>
            </w:r>
          </w:p>
        </w:tc>
        <w:tc>
          <w:tcPr>
            <w:tcW w:w="2148" w:type="dxa"/>
            <w:shd w:val="clear" w:color="auto" w:fill="auto"/>
            <w:noWrap w:val="0"/>
            <w:vAlign w:val="top"/>
          </w:tcPr>
          <w:p w14:paraId="21F18CA0">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丁娟</w:t>
            </w:r>
          </w:p>
        </w:tc>
        <w:tc>
          <w:tcPr>
            <w:tcW w:w="2188" w:type="dxa"/>
            <w:shd w:val="clear" w:color="auto" w:fill="auto"/>
            <w:noWrap w:val="0"/>
            <w:vAlign w:val="top"/>
          </w:tcPr>
          <w:p w14:paraId="001C7B18">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68831196</w:t>
            </w:r>
          </w:p>
        </w:tc>
        <w:tc>
          <w:tcPr>
            <w:tcW w:w="1905" w:type="dxa"/>
            <w:shd w:val="clear" w:color="auto" w:fill="auto"/>
            <w:noWrap w:val="0"/>
            <w:vAlign w:val="top"/>
          </w:tcPr>
          <w:p w14:paraId="4126DD43">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刁翔</w:t>
            </w:r>
          </w:p>
        </w:tc>
        <w:tc>
          <w:tcPr>
            <w:tcW w:w="2081" w:type="dxa"/>
            <w:shd w:val="clear" w:color="auto" w:fill="auto"/>
            <w:noWrap w:val="0"/>
            <w:vAlign w:val="top"/>
          </w:tcPr>
          <w:p w14:paraId="2CC02CD9">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68919737</w:t>
            </w:r>
          </w:p>
        </w:tc>
      </w:tr>
      <w:tr w14:paraId="6003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top"/>
          </w:tcPr>
          <w:p w14:paraId="0C045C16">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九宫庙街道</w:t>
            </w:r>
          </w:p>
        </w:tc>
        <w:tc>
          <w:tcPr>
            <w:tcW w:w="2148" w:type="dxa"/>
            <w:shd w:val="clear" w:color="auto" w:fill="auto"/>
            <w:noWrap w:val="0"/>
            <w:vAlign w:val="top"/>
          </w:tcPr>
          <w:p w14:paraId="63FEB2D5">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裴培</w:t>
            </w:r>
          </w:p>
        </w:tc>
        <w:tc>
          <w:tcPr>
            <w:tcW w:w="2188" w:type="dxa"/>
            <w:shd w:val="clear" w:color="auto" w:fill="auto"/>
            <w:noWrap w:val="0"/>
            <w:vAlign w:val="top"/>
          </w:tcPr>
          <w:p w14:paraId="0AB9CF6D">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13983619507</w:t>
            </w:r>
          </w:p>
        </w:tc>
        <w:tc>
          <w:tcPr>
            <w:tcW w:w="1905" w:type="dxa"/>
            <w:shd w:val="clear" w:color="auto" w:fill="auto"/>
            <w:noWrap w:val="0"/>
            <w:vAlign w:val="top"/>
          </w:tcPr>
          <w:p w14:paraId="088BF73F">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刘凌绽</w:t>
            </w:r>
          </w:p>
        </w:tc>
        <w:tc>
          <w:tcPr>
            <w:tcW w:w="2081" w:type="dxa"/>
            <w:shd w:val="clear" w:color="auto" w:fill="auto"/>
            <w:noWrap w:val="0"/>
            <w:vAlign w:val="top"/>
          </w:tcPr>
          <w:p w14:paraId="31A7DA1E">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18996990886</w:t>
            </w:r>
          </w:p>
        </w:tc>
      </w:tr>
      <w:tr w14:paraId="6D1A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top"/>
          </w:tcPr>
          <w:p w14:paraId="53CBF03F">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春晖路街道</w:t>
            </w:r>
          </w:p>
        </w:tc>
        <w:tc>
          <w:tcPr>
            <w:tcW w:w="2148" w:type="dxa"/>
            <w:shd w:val="clear" w:color="auto" w:fill="auto"/>
            <w:noWrap w:val="0"/>
            <w:vAlign w:val="top"/>
          </w:tcPr>
          <w:p w14:paraId="023BADA8">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何明轩</w:t>
            </w:r>
          </w:p>
        </w:tc>
        <w:tc>
          <w:tcPr>
            <w:tcW w:w="2188" w:type="dxa"/>
            <w:shd w:val="clear" w:color="auto" w:fill="auto"/>
            <w:noWrap w:val="0"/>
            <w:vAlign w:val="top"/>
          </w:tcPr>
          <w:p w14:paraId="1451AAE7">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13883541066</w:t>
            </w:r>
          </w:p>
        </w:tc>
        <w:tc>
          <w:tcPr>
            <w:tcW w:w="1905" w:type="dxa"/>
            <w:shd w:val="clear" w:color="auto" w:fill="auto"/>
            <w:noWrap w:val="0"/>
            <w:vAlign w:val="top"/>
          </w:tcPr>
          <w:p w14:paraId="1DD115DE">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洪立立</w:t>
            </w:r>
          </w:p>
        </w:tc>
        <w:tc>
          <w:tcPr>
            <w:tcW w:w="2081" w:type="dxa"/>
            <w:shd w:val="clear" w:color="auto" w:fill="auto"/>
            <w:noWrap w:val="0"/>
            <w:vAlign w:val="top"/>
          </w:tcPr>
          <w:p w14:paraId="03048549">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15826116313</w:t>
            </w:r>
          </w:p>
        </w:tc>
      </w:tr>
      <w:tr w14:paraId="6D61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shd w:val="clear" w:color="auto" w:fill="auto"/>
            <w:noWrap w:val="0"/>
            <w:vAlign w:val="top"/>
          </w:tcPr>
          <w:p w14:paraId="0D6FD73D">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茄子溪街道</w:t>
            </w:r>
          </w:p>
        </w:tc>
        <w:tc>
          <w:tcPr>
            <w:tcW w:w="2148" w:type="dxa"/>
            <w:shd w:val="clear" w:color="auto" w:fill="auto"/>
            <w:noWrap w:val="0"/>
            <w:vAlign w:val="top"/>
          </w:tcPr>
          <w:p w14:paraId="0288214D">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王友声</w:t>
            </w:r>
          </w:p>
        </w:tc>
        <w:tc>
          <w:tcPr>
            <w:tcW w:w="2188" w:type="dxa"/>
            <w:shd w:val="clear" w:color="auto" w:fill="auto"/>
            <w:noWrap w:val="0"/>
            <w:vAlign w:val="top"/>
          </w:tcPr>
          <w:p w14:paraId="14166584">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13983950777</w:t>
            </w:r>
          </w:p>
        </w:tc>
        <w:tc>
          <w:tcPr>
            <w:tcW w:w="1905" w:type="dxa"/>
            <w:shd w:val="clear" w:color="auto" w:fill="auto"/>
            <w:noWrap w:val="0"/>
            <w:vAlign w:val="top"/>
          </w:tcPr>
          <w:p w14:paraId="37ED822E">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eastAsia" w:ascii="方正仿宋_GBK" w:hAnsi="方正仿宋_GBK" w:eastAsia="方正仿宋_GBK" w:cs="方正仿宋_GBK"/>
                <w:spacing w:val="0"/>
                <w:w w:val="100"/>
                <w:sz w:val="22"/>
                <w:szCs w:val="22"/>
                <w:vertAlign w:val="baseline"/>
                <w:lang w:val="en-US" w:eastAsia="zh-CN"/>
              </w:rPr>
              <w:t>吴美红</w:t>
            </w:r>
          </w:p>
        </w:tc>
        <w:tc>
          <w:tcPr>
            <w:tcW w:w="2081" w:type="dxa"/>
            <w:shd w:val="clear" w:color="auto" w:fill="auto"/>
            <w:noWrap w:val="0"/>
            <w:vAlign w:val="top"/>
          </w:tcPr>
          <w:p w14:paraId="7B2DDF0C">
            <w:pPr>
              <w:keepNext w:val="0"/>
              <w:keepLines w:val="0"/>
              <w:pageBreakBefore w:val="0"/>
              <w:widowControl w:val="0"/>
              <w:kinsoku/>
              <w:wordWrap/>
              <w:overflowPunct/>
              <w:topLinePunct/>
              <w:autoSpaceDE/>
              <w:autoSpaceDN/>
              <w:bidi w:val="0"/>
              <w:adjustRightInd/>
              <w:snapToGrid/>
              <w:spacing w:after="0" w:line="594" w:lineRule="exact"/>
              <w:ind w:right="0" w:rightChars="0"/>
              <w:jc w:val="left"/>
              <w:textAlignment w:val="auto"/>
              <w:rPr>
                <w:rFonts w:hint="eastAsia" w:ascii="方正仿宋_GBK" w:hAnsi="方正仿宋_GBK" w:eastAsia="方正仿宋_GBK" w:cs="方正仿宋_GBK"/>
                <w:spacing w:val="0"/>
                <w:w w:val="100"/>
                <w:kern w:val="2"/>
                <w:sz w:val="22"/>
                <w:szCs w:val="22"/>
                <w:vertAlign w:val="baseline"/>
                <w:lang w:val="en-US" w:eastAsia="zh-CN" w:bidi="ar-SA"/>
              </w:rPr>
            </w:pPr>
            <w:r>
              <w:rPr>
                <w:rFonts w:hint="default" w:ascii="Times New Roman" w:hAnsi="Times New Roman" w:eastAsia="方正仿宋_GBK" w:cs="Times New Roman"/>
                <w:spacing w:val="0"/>
                <w:w w:val="100"/>
                <w:sz w:val="22"/>
                <w:szCs w:val="22"/>
                <w:vertAlign w:val="baseline"/>
                <w:lang w:val="en-US" w:eastAsia="zh-CN"/>
              </w:rPr>
              <w:t>19823440162</w:t>
            </w:r>
          </w:p>
        </w:tc>
      </w:tr>
    </w:tbl>
    <w:p w14:paraId="4246C1A2">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left"/>
        <w:textAlignment w:val="auto"/>
        <w:outlineLvl w:val="9"/>
        <w:rPr>
          <w:rFonts w:hint="eastAsia" w:ascii="Times New Roman" w:hAnsi="Times New Roman"/>
        </w:rPr>
      </w:pPr>
    </w:p>
    <w:p w14:paraId="5AF0293A">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Times New Roman" w:hAnsi="Times New Roman"/>
        </w:rPr>
      </w:pPr>
    </w:p>
    <w:p w14:paraId="78E9D039">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Times New Roman" w:hAnsi="Times New Roman"/>
        </w:rPr>
      </w:pPr>
    </w:p>
    <w:p w14:paraId="4DF74E88">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Times New Roman" w:hAnsi="Times New Roman"/>
        </w:rPr>
      </w:pPr>
    </w:p>
    <w:p w14:paraId="440667F3">
      <w:pPr>
        <w:pBdr>
          <w:top w:val="none" w:color="auto" w:sz="0" w:space="1"/>
          <w:left w:val="none" w:color="auto" w:sz="0" w:space="4"/>
          <w:bottom w:val="none" w:color="auto" w:sz="0" w:space="1"/>
          <w:right w:val="none" w:color="auto" w:sz="0" w:space="4"/>
          <w:between w:val="none" w:color="auto" w:sz="0" w:space="0"/>
        </w:pBdr>
        <w:tabs>
          <w:tab w:val="left" w:pos="8581"/>
        </w:tabs>
        <w:adjustRightInd w:val="0"/>
        <w:rPr>
          <w:rFonts w:hint="eastAsia" w:ascii="Times New Roman" w:hAnsi="Times New Roman"/>
        </w:rPr>
      </w:pPr>
    </w:p>
    <w:sectPr>
      <w:pgSz w:w="16838" w:h="11906" w:orient="landscape"/>
      <w:pgMar w:top="1531" w:right="2098" w:bottom="1531" w:left="1985" w:header="851" w:footer="1474" w:gutter="0"/>
      <w:pgBorders>
        <w:top w:val="none" w:sz="0" w:space="0"/>
        <w:left w:val="none" w:sz="0" w:space="0"/>
        <w:bottom w:val="none" w:sz="0" w:space="0"/>
        <w:right w:val="none" w:sz="0" w:space="0"/>
      </w:pgBorders>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6F3D6">
    <w:pPr>
      <w:pStyle w:val="6"/>
      <w:ind w:right="360" w:firstLine="360"/>
      <w:jc w:val="right"/>
      <w:rPr>
        <w:sz w:val="28"/>
      </w:rPr>
    </w:pPr>
    <w:r>
      <w:rPr>
        <w:rStyle w:val="14"/>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w:t>
    </w:r>
    <w:r>
      <w:rPr>
        <w:kern w:val="0"/>
        <w:sz w:val="28"/>
      </w:rPr>
      <w:fldChar w:fldCharType="end"/>
    </w:r>
    <w:r>
      <w:rPr>
        <w:kern w:val="0"/>
        <w:sz w:val="28"/>
      </w:rPr>
      <w:t xml:space="preserve"> </w:t>
    </w:r>
    <w:r>
      <w:rPr>
        <w:rStyle w:val="14"/>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F84B7">
    <w:pPr>
      <w:pStyle w:val="6"/>
      <w:ind w:right="360" w:firstLine="360"/>
      <w:rPr>
        <w:sz w:val="28"/>
      </w:rPr>
    </w:pPr>
    <w:r>
      <w:rPr>
        <w:rStyle w:val="14"/>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Style w:val="14"/>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31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46D13"/>
    <w:rsid w:val="00000382"/>
    <w:rsid w:val="00003093"/>
    <w:rsid w:val="0000329F"/>
    <w:rsid w:val="00007FC6"/>
    <w:rsid w:val="000116DA"/>
    <w:rsid w:val="00013335"/>
    <w:rsid w:val="00014B91"/>
    <w:rsid w:val="00015E64"/>
    <w:rsid w:val="00017121"/>
    <w:rsid w:val="0002225C"/>
    <w:rsid w:val="0002331B"/>
    <w:rsid w:val="0002417D"/>
    <w:rsid w:val="00024B01"/>
    <w:rsid w:val="00026F0E"/>
    <w:rsid w:val="000274E9"/>
    <w:rsid w:val="00030168"/>
    <w:rsid w:val="00031173"/>
    <w:rsid w:val="00031C22"/>
    <w:rsid w:val="00032977"/>
    <w:rsid w:val="00032B25"/>
    <w:rsid w:val="00033BC7"/>
    <w:rsid w:val="00035E05"/>
    <w:rsid w:val="00037023"/>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1529"/>
    <w:rsid w:val="0009670D"/>
    <w:rsid w:val="00096AB3"/>
    <w:rsid w:val="000A4164"/>
    <w:rsid w:val="000A7420"/>
    <w:rsid w:val="000A79DD"/>
    <w:rsid w:val="000B1CE9"/>
    <w:rsid w:val="000B43B8"/>
    <w:rsid w:val="000B4781"/>
    <w:rsid w:val="000B5FDB"/>
    <w:rsid w:val="000B6C65"/>
    <w:rsid w:val="000B7B3D"/>
    <w:rsid w:val="000C2038"/>
    <w:rsid w:val="000C2609"/>
    <w:rsid w:val="000C3C38"/>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E8F"/>
    <w:rsid w:val="000E3696"/>
    <w:rsid w:val="000E5323"/>
    <w:rsid w:val="000E534A"/>
    <w:rsid w:val="000F045B"/>
    <w:rsid w:val="000F2923"/>
    <w:rsid w:val="000F51C7"/>
    <w:rsid w:val="000F54A2"/>
    <w:rsid w:val="00106917"/>
    <w:rsid w:val="00113397"/>
    <w:rsid w:val="0011527B"/>
    <w:rsid w:val="0011669C"/>
    <w:rsid w:val="00122F31"/>
    <w:rsid w:val="001230FC"/>
    <w:rsid w:val="00125E3B"/>
    <w:rsid w:val="0012609C"/>
    <w:rsid w:val="00126520"/>
    <w:rsid w:val="00130780"/>
    <w:rsid w:val="0013201D"/>
    <w:rsid w:val="00132A20"/>
    <w:rsid w:val="0014002A"/>
    <w:rsid w:val="00140220"/>
    <w:rsid w:val="001411E4"/>
    <w:rsid w:val="00142AA9"/>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5C23"/>
    <w:rsid w:val="0017677B"/>
    <w:rsid w:val="00180B55"/>
    <w:rsid w:val="00181320"/>
    <w:rsid w:val="00182365"/>
    <w:rsid w:val="00190910"/>
    <w:rsid w:val="00190B5C"/>
    <w:rsid w:val="00192BD7"/>
    <w:rsid w:val="0019633C"/>
    <w:rsid w:val="00197446"/>
    <w:rsid w:val="001A0CE8"/>
    <w:rsid w:val="001A35F7"/>
    <w:rsid w:val="001A368C"/>
    <w:rsid w:val="001A3C53"/>
    <w:rsid w:val="001A3D12"/>
    <w:rsid w:val="001A3EB5"/>
    <w:rsid w:val="001A3EDE"/>
    <w:rsid w:val="001A7BC4"/>
    <w:rsid w:val="001B1681"/>
    <w:rsid w:val="001B232E"/>
    <w:rsid w:val="001B236F"/>
    <w:rsid w:val="001B5281"/>
    <w:rsid w:val="001B5FA3"/>
    <w:rsid w:val="001B6981"/>
    <w:rsid w:val="001B796D"/>
    <w:rsid w:val="001C0AE4"/>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5DD4"/>
    <w:rsid w:val="001E6849"/>
    <w:rsid w:val="001E7EA3"/>
    <w:rsid w:val="001F345D"/>
    <w:rsid w:val="001F5290"/>
    <w:rsid w:val="001F5A35"/>
    <w:rsid w:val="001F6064"/>
    <w:rsid w:val="001F6855"/>
    <w:rsid w:val="001F6DA4"/>
    <w:rsid w:val="001F76DB"/>
    <w:rsid w:val="00200EFD"/>
    <w:rsid w:val="002010BC"/>
    <w:rsid w:val="0020136C"/>
    <w:rsid w:val="002045EA"/>
    <w:rsid w:val="00204C4A"/>
    <w:rsid w:val="002052BE"/>
    <w:rsid w:val="00206690"/>
    <w:rsid w:val="0021037F"/>
    <w:rsid w:val="002103C1"/>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6678"/>
    <w:rsid w:val="00257070"/>
    <w:rsid w:val="0026223F"/>
    <w:rsid w:val="0026233C"/>
    <w:rsid w:val="0026342D"/>
    <w:rsid w:val="00264224"/>
    <w:rsid w:val="00265878"/>
    <w:rsid w:val="002669DB"/>
    <w:rsid w:val="002678DD"/>
    <w:rsid w:val="00267B54"/>
    <w:rsid w:val="00270AF8"/>
    <w:rsid w:val="00271879"/>
    <w:rsid w:val="00275090"/>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293B"/>
    <w:rsid w:val="002C5979"/>
    <w:rsid w:val="002C667B"/>
    <w:rsid w:val="002C79F6"/>
    <w:rsid w:val="002D00D5"/>
    <w:rsid w:val="002D1241"/>
    <w:rsid w:val="002D3AF1"/>
    <w:rsid w:val="002E1618"/>
    <w:rsid w:val="002E3E9F"/>
    <w:rsid w:val="002E5373"/>
    <w:rsid w:val="002E5E4E"/>
    <w:rsid w:val="002E792F"/>
    <w:rsid w:val="002F07E9"/>
    <w:rsid w:val="002F0EDC"/>
    <w:rsid w:val="002F1C37"/>
    <w:rsid w:val="002F3CB6"/>
    <w:rsid w:val="002F7604"/>
    <w:rsid w:val="002F7853"/>
    <w:rsid w:val="002F78BD"/>
    <w:rsid w:val="002F7CF4"/>
    <w:rsid w:val="003001CF"/>
    <w:rsid w:val="003018F7"/>
    <w:rsid w:val="00302648"/>
    <w:rsid w:val="00304155"/>
    <w:rsid w:val="00306347"/>
    <w:rsid w:val="003102BA"/>
    <w:rsid w:val="00312B2A"/>
    <w:rsid w:val="00313459"/>
    <w:rsid w:val="00314E9E"/>
    <w:rsid w:val="00315C61"/>
    <w:rsid w:val="00315E67"/>
    <w:rsid w:val="00316D18"/>
    <w:rsid w:val="00317A16"/>
    <w:rsid w:val="00323594"/>
    <w:rsid w:val="003247B9"/>
    <w:rsid w:val="00325703"/>
    <w:rsid w:val="00327FAD"/>
    <w:rsid w:val="00330574"/>
    <w:rsid w:val="003319E3"/>
    <w:rsid w:val="00331F3D"/>
    <w:rsid w:val="00332A67"/>
    <w:rsid w:val="00333F1D"/>
    <w:rsid w:val="00336B22"/>
    <w:rsid w:val="00336D04"/>
    <w:rsid w:val="00336FE1"/>
    <w:rsid w:val="00340685"/>
    <w:rsid w:val="003422A9"/>
    <w:rsid w:val="00342B1E"/>
    <w:rsid w:val="00344BEE"/>
    <w:rsid w:val="00346317"/>
    <w:rsid w:val="00350DEA"/>
    <w:rsid w:val="003530C5"/>
    <w:rsid w:val="00355240"/>
    <w:rsid w:val="003570D8"/>
    <w:rsid w:val="00357D61"/>
    <w:rsid w:val="0036009E"/>
    <w:rsid w:val="00360684"/>
    <w:rsid w:val="00360E8E"/>
    <w:rsid w:val="003611A8"/>
    <w:rsid w:val="0036123E"/>
    <w:rsid w:val="00363066"/>
    <w:rsid w:val="00371B13"/>
    <w:rsid w:val="00372810"/>
    <w:rsid w:val="003770C7"/>
    <w:rsid w:val="0037719B"/>
    <w:rsid w:val="00380BB0"/>
    <w:rsid w:val="00380D5A"/>
    <w:rsid w:val="00380EB5"/>
    <w:rsid w:val="0038208F"/>
    <w:rsid w:val="00384420"/>
    <w:rsid w:val="0038564B"/>
    <w:rsid w:val="003903E3"/>
    <w:rsid w:val="003913F0"/>
    <w:rsid w:val="00392691"/>
    <w:rsid w:val="00392F1C"/>
    <w:rsid w:val="003958FD"/>
    <w:rsid w:val="00395F25"/>
    <w:rsid w:val="003A09FD"/>
    <w:rsid w:val="003A29D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5DAC"/>
    <w:rsid w:val="003C730F"/>
    <w:rsid w:val="003D010F"/>
    <w:rsid w:val="003D3543"/>
    <w:rsid w:val="003D3ABF"/>
    <w:rsid w:val="003D5597"/>
    <w:rsid w:val="003D5CA0"/>
    <w:rsid w:val="003D61DD"/>
    <w:rsid w:val="003D7775"/>
    <w:rsid w:val="003E0FD8"/>
    <w:rsid w:val="003E4469"/>
    <w:rsid w:val="003F0225"/>
    <w:rsid w:val="003F4E5F"/>
    <w:rsid w:val="003F5E8A"/>
    <w:rsid w:val="004002C1"/>
    <w:rsid w:val="00401638"/>
    <w:rsid w:val="00401FD1"/>
    <w:rsid w:val="00406782"/>
    <w:rsid w:val="00407B6E"/>
    <w:rsid w:val="00410789"/>
    <w:rsid w:val="00411D13"/>
    <w:rsid w:val="00412BB8"/>
    <w:rsid w:val="004148F8"/>
    <w:rsid w:val="0041595F"/>
    <w:rsid w:val="00415A2B"/>
    <w:rsid w:val="00415B16"/>
    <w:rsid w:val="00416796"/>
    <w:rsid w:val="00416C1B"/>
    <w:rsid w:val="00416E30"/>
    <w:rsid w:val="00422B22"/>
    <w:rsid w:val="00422ED4"/>
    <w:rsid w:val="0042331F"/>
    <w:rsid w:val="0042580B"/>
    <w:rsid w:val="00426909"/>
    <w:rsid w:val="004271EF"/>
    <w:rsid w:val="00430559"/>
    <w:rsid w:val="00432138"/>
    <w:rsid w:val="00432546"/>
    <w:rsid w:val="00432DDA"/>
    <w:rsid w:val="00433CAD"/>
    <w:rsid w:val="00436211"/>
    <w:rsid w:val="0044037B"/>
    <w:rsid w:val="004422E1"/>
    <w:rsid w:val="00442BEA"/>
    <w:rsid w:val="00443407"/>
    <w:rsid w:val="00446F3A"/>
    <w:rsid w:val="00451491"/>
    <w:rsid w:val="00452A7D"/>
    <w:rsid w:val="004563B2"/>
    <w:rsid w:val="00456F24"/>
    <w:rsid w:val="00456FE6"/>
    <w:rsid w:val="004648E5"/>
    <w:rsid w:val="00466CDC"/>
    <w:rsid w:val="004670BA"/>
    <w:rsid w:val="0047035B"/>
    <w:rsid w:val="004707C9"/>
    <w:rsid w:val="00472AA6"/>
    <w:rsid w:val="004730AE"/>
    <w:rsid w:val="004735E9"/>
    <w:rsid w:val="00473DA3"/>
    <w:rsid w:val="004756FE"/>
    <w:rsid w:val="004757F9"/>
    <w:rsid w:val="00475856"/>
    <w:rsid w:val="0047618E"/>
    <w:rsid w:val="00476FEC"/>
    <w:rsid w:val="00480ADB"/>
    <w:rsid w:val="004813F7"/>
    <w:rsid w:val="00482441"/>
    <w:rsid w:val="00484A69"/>
    <w:rsid w:val="0048562D"/>
    <w:rsid w:val="00486B4A"/>
    <w:rsid w:val="00490890"/>
    <w:rsid w:val="004918FD"/>
    <w:rsid w:val="00493354"/>
    <w:rsid w:val="00497655"/>
    <w:rsid w:val="004A1974"/>
    <w:rsid w:val="004A1B93"/>
    <w:rsid w:val="004A22B3"/>
    <w:rsid w:val="004A276A"/>
    <w:rsid w:val="004A27F8"/>
    <w:rsid w:val="004A4E91"/>
    <w:rsid w:val="004A5289"/>
    <w:rsid w:val="004A55B2"/>
    <w:rsid w:val="004A55BD"/>
    <w:rsid w:val="004A5A3E"/>
    <w:rsid w:val="004B00B2"/>
    <w:rsid w:val="004B034D"/>
    <w:rsid w:val="004B05C2"/>
    <w:rsid w:val="004B1AA9"/>
    <w:rsid w:val="004B1AE8"/>
    <w:rsid w:val="004B22A6"/>
    <w:rsid w:val="004B2A16"/>
    <w:rsid w:val="004B353B"/>
    <w:rsid w:val="004B77ED"/>
    <w:rsid w:val="004C1BB7"/>
    <w:rsid w:val="004C2358"/>
    <w:rsid w:val="004C602E"/>
    <w:rsid w:val="004C6C3F"/>
    <w:rsid w:val="004D0001"/>
    <w:rsid w:val="004D05A4"/>
    <w:rsid w:val="004D2B5A"/>
    <w:rsid w:val="004D2FAE"/>
    <w:rsid w:val="004D37D9"/>
    <w:rsid w:val="004D53E2"/>
    <w:rsid w:val="004E045E"/>
    <w:rsid w:val="004E2003"/>
    <w:rsid w:val="004E34B5"/>
    <w:rsid w:val="004E4451"/>
    <w:rsid w:val="004E4AB6"/>
    <w:rsid w:val="004E5B19"/>
    <w:rsid w:val="004E6476"/>
    <w:rsid w:val="004F2EF7"/>
    <w:rsid w:val="004F4E03"/>
    <w:rsid w:val="004F4E3A"/>
    <w:rsid w:val="004F4E6A"/>
    <w:rsid w:val="004F632C"/>
    <w:rsid w:val="00501FED"/>
    <w:rsid w:val="0050495F"/>
    <w:rsid w:val="00504D06"/>
    <w:rsid w:val="00505CF1"/>
    <w:rsid w:val="00506344"/>
    <w:rsid w:val="005063E2"/>
    <w:rsid w:val="005075C4"/>
    <w:rsid w:val="00511CF8"/>
    <w:rsid w:val="00517738"/>
    <w:rsid w:val="00517C76"/>
    <w:rsid w:val="00521D36"/>
    <w:rsid w:val="00523D39"/>
    <w:rsid w:val="00525073"/>
    <w:rsid w:val="0052522F"/>
    <w:rsid w:val="00526832"/>
    <w:rsid w:val="00527BE2"/>
    <w:rsid w:val="00527C67"/>
    <w:rsid w:val="0053488A"/>
    <w:rsid w:val="00534AB0"/>
    <w:rsid w:val="005355AE"/>
    <w:rsid w:val="00544048"/>
    <w:rsid w:val="0054409A"/>
    <w:rsid w:val="00552ABE"/>
    <w:rsid w:val="00553517"/>
    <w:rsid w:val="005537DE"/>
    <w:rsid w:val="005550A0"/>
    <w:rsid w:val="0055528E"/>
    <w:rsid w:val="00555808"/>
    <w:rsid w:val="00555C9A"/>
    <w:rsid w:val="005633B2"/>
    <w:rsid w:val="005645AA"/>
    <w:rsid w:val="00564F93"/>
    <w:rsid w:val="00566C60"/>
    <w:rsid w:val="00567AB2"/>
    <w:rsid w:val="00567E6D"/>
    <w:rsid w:val="00572219"/>
    <w:rsid w:val="0057299E"/>
    <w:rsid w:val="005735B2"/>
    <w:rsid w:val="00575FE2"/>
    <w:rsid w:val="005768CC"/>
    <w:rsid w:val="00576B02"/>
    <w:rsid w:val="00576BF2"/>
    <w:rsid w:val="0058062E"/>
    <w:rsid w:val="005813FC"/>
    <w:rsid w:val="00582E9D"/>
    <w:rsid w:val="00584AFF"/>
    <w:rsid w:val="00586EDE"/>
    <w:rsid w:val="00586EE6"/>
    <w:rsid w:val="00587BF5"/>
    <w:rsid w:val="00590FF3"/>
    <w:rsid w:val="00591049"/>
    <w:rsid w:val="0059296C"/>
    <w:rsid w:val="005935FE"/>
    <w:rsid w:val="00593B26"/>
    <w:rsid w:val="00594305"/>
    <w:rsid w:val="00594FC3"/>
    <w:rsid w:val="00595909"/>
    <w:rsid w:val="00595EB6"/>
    <w:rsid w:val="005A1AB2"/>
    <w:rsid w:val="005A36D7"/>
    <w:rsid w:val="005A64F6"/>
    <w:rsid w:val="005B030E"/>
    <w:rsid w:val="005B0E4B"/>
    <w:rsid w:val="005B2CD4"/>
    <w:rsid w:val="005B3681"/>
    <w:rsid w:val="005C176B"/>
    <w:rsid w:val="005C31F3"/>
    <w:rsid w:val="005C361D"/>
    <w:rsid w:val="005C3DA5"/>
    <w:rsid w:val="005C5515"/>
    <w:rsid w:val="005C771F"/>
    <w:rsid w:val="005D06DD"/>
    <w:rsid w:val="005D765C"/>
    <w:rsid w:val="005D78D1"/>
    <w:rsid w:val="005E2129"/>
    <w:rsid w:val="005E4D94"/>
    <w:rsid w:val="005F01D9"/>
    <w:rsid w:val="005F2796"/>
    <w:rsid w:val="005F4EF1"/>
    <w:rsid w:val="005F6171"/>
    <w:rsid w:val="005F7336"/>
    <w:rsid w:val="005F7C32"/>
    <w:rsid w:val="00601AEE"/>
    <w:rsid w:val="00606B42"/>
    <w:rsid w:val="00607B3F"/>
    <w:rsid w:val="00610419"/>
    <w:rsid w:val="00611EEE"/>
    <w:rsid w:val="00612373"/>
    <w:rsid w:val="00615CA2"/>
    <w:rsid w:val="006162DD"/>
    <w:rsid w:val="00616B00"/>
    <w:rsid w:val="00617191"/>
    <w:rsid w:val="00617CF7"/>
    <w:rsid w:val="00621730"/>
    <w:rsid w:val="0062280C"/>
    <w:rsid w:val="006230A9"/>
    <w:rsid w:val="006231AB"/>
    <w:rsid w:val="0062542F"/>
    <w:rsid w:val="006265EB"/>
    <w:rsid w:val="0062703C"/>
    <w:rsid w:val="006275AA"/>
    <w:rsid w:val="00631FFA"/>
    <w:rsid w:val="006400EF"/>
    <w:rsid w:val="00640E01"/>
    <w:rsid w:val="00640FC0"/>
    <w:rsid w:val="00641C93"/>
    <w:rsid w:val="00642FD9"/>
    <w:rsid w:val="00643053"/>
    <w:rsid w:val="0064596F"/>
    <w:rsid w:val="006461FA"/>
    <w:rsid w:val="00646FA8"/>
    <w:rsid w:val="00647779"/>
    <w:rsid w:val="006507D1"/>
    <w:rsid w:val="00652324"/>
    <w:rsid w:val="006526DA"/>
    <w:rsid w:val="00655BFB"/>
    <w:rsid w:val="006568D4"/>
    <w:rsid w:val="0066022F"/>
    <w:rsid w:val="00660332"/>
    <w:rsid w:val="0066095C"/>
    <w:rsid w:val="00662C3F"/>
    <w:rsid w:val="00663278"/>
    <w:rsid w:val="006637B3"/>
    <w:rsid w:val="00665338"/>
    <w:rsid w:val="0066777D"/>
    <w:rsid w:val="006718B7"/>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37F9"/>
    <w:rsid w:val="006A5983"/>
    <w:rsid w:val="006A6056"/>
    <w:rsid w:val="006A72DD"/>
    <w:rsid w:val="006A7719"/>
    <w:rsid w:val="006B0914"/>
    <w:rsid w:val="006B0CB0"/>
    <w:rsid w:val="006B2BBC"/>
    <w:rsid w:val="006B402B"/>
    <w:rsid w:val="006B42D1"/>
    <w:rsid w:val="006B52BB"/>
    <w:rsid w:val="006B678E"/>
    <w:rsid w:val="006C10DA"/>
    <w:rsid w:val="006C36C2"/>
    <w:rsid w:val="006C6213"/>
    <w:rsid w:val="006C6C44"/>
    <w:rsid w:val="006C7961"/>
    <w:rsid w:val="006D1279"/>
    <w:rsid w:val="006D210F"/>
    <w:rsid w:val="006D2A94"/>
    <w:rsid w:val="006D3E0D"/>
    <w:rsid w:val="006D3FE7"/>
    <w:rsid w:val="006D4CBB"/>
    <w:rsid w:val="006D6265"/>
    <w:rsid w:val="006D7E39"/>
    <w:rsid w:val="006E35BD"/>
    <w:rsid w:val="006E3745"/>
    <w:rsid w:val="006E644B"/>
    <w:rsid w:val="006E65FF"/>
    <w:rsid w:val="006E75A6"/>
    <w:rsid w:val="006E794F"/>
    <w:rsid w:val="006F0ECC"/>
    <w:rsid w:val="006F1165"/>
    <w:rsid w:val="006F2093"/>
    <w:rsid w:val="006F292D"/>
    <w:rsid w:val="006F42C2"/>
    <w:rsid w:val="006F5B19"/>
    <w:rsid w:val="00700DB7"/>
    <w:rsid w:val="00701690"/>
    <w:rsid w:val="0070368B"/>
    <w:rsid w:val="007069BB"/>
    <w:rsid w:val="00711FF0"/>
    <w:rsid w:val="00712141"/>
    <w:rsid w:val="007144F4"/>
    <w:rsid w:val="007164B9"/>
    <w:rsid w:val="007164FB"/>
    <w:rsid w:val="00721D23"/>
    <w:rsid w:val="00721FD5"/>
    <w:rsid w:val="0072376D"/>
    <w:rsid w:val="0072529B"/>
    <w:rsid w:val="00725E29"/>
    <w:rsid w:val="007260CA"/>
    <w:rsid w:val="007303B8"/>
    <w:rsid w:val="00733008"/>
    <w:rsid w:val="007332DE"/>
    <w:rsid w:val="00737AE4"/>
    <w:rsid w:val="00740AAD"/>
    <w:rsid w:val="00742385"/>
    <w:rsid w:val="00745ADA"/>
    <w:rsid w:val="00746629"/>
    <w:rsid w:val="00747577"/>
    <w:rsid w:val="007517B2"/>
    <w:rsid w:val="0075193E"/>
    <w:rsid w:val="00752483"/>
    <w:rsid w:val="007527F6"/>
    <w:rsid w:val="007534DB"/>
    <w:rsid w:val="00753CF7"/>
    <w:rsid w:val="00754ECE"/>
    <w:rsid w:val="00757405"/>
    <w:rsid w:val="00760E60"/>
    <w:rsid w:val="0076159F"/>
    <w:rsid w:val="00764F3C"/>
    <w:rsid w:val="00766BBE"/>
    <w:rsid w:val="00770632"/>
    <w:rsid w:val="00770B22"/>
    <w:rsid w:val="0077352A"/>
    <w:rsid w:val="00773980"/>
    <w:rsid w:val="007741CD"/>
    <w:rsid w:val="00774A71"/>
    <w:rsid w:val="00774FF8"/>
    <w:rsid w:val="007753F5"/>
    <w:rsid w:val="00775F80"/>
    <w:rsid w:val="00775F81"/>
    <w:rsid w:val="00782A04"/>
    <w:rsid w:val="00783418"/>
    <w:rsid w:val="007835AD"/>
    <w:rsid w:val="00787B1F"/>
    <w:rsid w:val="007916DF"/>
    <w:rsid w:val="0079195B"/>
    <w:rsid w:val="007919A3"/>
    <w:rsid w:val="00791C06"/>
    <w:rsid w:val="0079556B"/>
    <w:rsid w:val="007959AF"/>
    <w:rsid w:val="00796335"/>
    <w:rsid w:val="007A00C5"/>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174C"/>
    <w:rsid w:val="007B1F4F"/>
    <w:rsid w:val="007B244B"/>
    <w:rsid w:val="007B3344"/>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4A2"/>
    <w:rsid w:val="007E0DD6"/>
    <w:rsid w:val="007E25A3"/>
    <w:rsid w:val="007E2840"/>
    <w:rsid w:val="007E4AD3"/>
    <w:rsid w:val="007E7945"/>
    <w:rsid w:val="007F2486"/>
    <w:rsid w:val="007F7679"/>
    <w:rsid w:val="007F796B"/>
    <w:rsid w:val="0080486D"/>
    <w:rsid w:val="00805493"/>
    <w:rsid w:val="008073F7"/>
    <w:rsid w:val="008149ED"/>
    <w:rsid w:val="008203D2"/>
    <w:rsid w:val="00820AB7"/>
    <w:rsid w:val="0082111A"/>
    <w:rsid w:val="00821D6E"/>
    <w:rsid w:val="00823BB0"/>
    <w:rsid w:val="00826C16"/>
    <w:rsid w:val="0083061C"/>
    <w:rsid w:val="00830995"/>
    <w:rsid w:val="008310EE"/>
    <w:rsid w:val="008322B8"/>
    <w:rsid w:val="00832878"/>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B46"/>
    <w:rsid w:val="00883F82"/>
    <w:rsid w:val="00885D0A"/>
    <w:rsid w:val="00891775"/>
    <w:rsid w:val="00891951"/>
    <w:rsid w:val="0089281F"/>
    <w:rsid w:val="0089368F"/>
    <w:rsid w:val="00894DA4"/>
    <w:rsid w:val="00895441"/>
    <w:rsid w:val="00897AE2"/>
    <w:rsid w:val="008A1198"/>
    <w:rsid w:val="008A16C7"/>
    <w:rsid w:val="008A1FC1"/>
    <w:rsid w:val="008A2069"/>
    <w:rsid w:val="008A31AB"/>
    <w:rsid w:val="008A3431"/>
    <w:rsid w:val="008A37BF"/>
    <w:rsid w:val="008A4020"/>
    <w:rsid w:val="008A64E8"/>
    <w:rsid w:val="008B0970"/>
    <w:rsid w:val="008B11F2"/>
    <w:rsid w:val="008B5BED"/>
    <w:rsid w:val="008B7C55"/>
    <w:rsid w:val="008C0F4D"/>
    <w:rsid w:val="008C0F68"/>
    <w:rsid w:val="008C48DA"/>
    <w:rsid w:val="008C5684"/>
    <w:rsid w:val="008C654B"/>
    <w:rsid w:val="008C6BCA"/>
    <w:rsid w:val="008C6E8B"/>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EFC"/>
    <w:rsid w:val="00900F59"/>
    <w:rsid w:val="009010D0"/>
    <w:rsid w:val="00905624"/>
    <w:rsid w:val="0090597F"/>
    <w:rsid w:val="009127E4"/>
    <w:rsid w:val="00912D37"/>
    <w:rsid w:val="009144A2"/>
    <w:rsid w:val="00915305"/>
    <w:rsid w:val="0091584A"/>
    <w:rsid w:val="00915BDF"/>
    <w:rsid w:val="00917804"/>
    <w:rsid w:val="00920BFE"/>
    <w:rsid w:val="009220AD"/>
    <w:rsid w:val="00923EAB"/>
    <w:rsid w:val="00924F1A"/>
    <w:rsid w:val="00924FA4"/>
    <w:rsid w:val="00925447"/>
    <w:rsid w:val="00925D10"/>
    <w:rsid w:val="00925FAE"/>
    <w:rsid w:val="009275E5"/>
    <w:rsid w:val="0093094B"/>
    <w:rsid w:val="009312AE"/>
    <w:rsid w:val="00932605"/>
    <w:rsid w:val="009343FB"/>
    <w:rsid w:val="00935F67"/>
    <w:rsid w:val="00935FDB"/>
    <w:rsid w:val="0093693A"/>
    <w:rsid w:val="00937477"/>
    <w:rsid w:val="00937A22"/>
    <w:rsid w:val="00940C90"/>
    <w:rsid w:val="0094338D"/>
    <w:rsid w:val="0094342A"/>
    <w:rsid w:val="00944A1B"/>
    <w:rsid w:val="00952FF8"/>
    <w:rsid w:val="0095359D"/>
    <w:rsid w:val="009565C1"/>
    <w:rsid w:val="00960845"/>
    <w:rsid w:val="009608AB"/>
    <w:rsid w:val="00960CBA"/>
    <w:rsid w:val="009636F2"/>
    <w:rsid w:val="00963F82"/>
    <w:rsid w:val="009645A2"/>
    <w:rsid w:val="009671F5"/>
    <w:rsid w:val="009677B5"/>
    <w:rsid w:val="00967A48"/>
    <w:rsid w:val="00971B4F"/>
    <w:rsid w:val="009738C6"/>
    <w:rsid w:val="00974996"/>
    <w:rsid w:val="009766D9"/>
    <w:rsid w:val="00976D3F"/>
    <w:rsid w:val="009778FB"/>
    <w:rsid w:val="0098484C"/>
    <w:rsid w:val="00990553"/>
    <w:rsid w:val="00991F30"/>
    <w:rsid w:val="0099578F"/>
    <w:rsid w:val="009A0002"/>
    <w:rsid w:val="009A0286"/>
    <w:rsid w:val="009A17CF"/>
    <w:rsid w:val="009A2369"/>
    <w:rsid w:val="009A326B"/>
    <w:rsid w:val="009A5FAA"/>
    <w:rsid w:val="009B0912"/>
    <w:rsid w:val="009B3011"/>
    <w:rsid w:val="009B3F6C"/>
    <w:rsid w:val="009B4213"/>
    <w:rsid w:val="009B51B7"/>
    <w:rsid w:val="009B5ABC"/>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6337"/>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6F21"/>
    <w:rsid w:val="00A607D0"/>
    <w:rsid w:val="00A60EDC"/>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F43"/>
    <w:rsid w:val="00A80907"/>
    <w:rsid w:val="00A81210"/>
    <w:rsid w:val="00A81B04"/>
    <w:rsid w:val="00A8279C"/>
    <w:rsid w:val="00A82ACC"/>
    <w:rsid w:val="00A83961"/>
    <w:rsid w:val="00A86D2B"/>
    <w:rsid w:val="00A879E4"/>
    <w:rsid w:val="00A87BCF"/>
    <w:rsid w:val="00A92905"/>
    <w:rsid w:val="00A93088"/>
    <w:rsid w:val="00A9318A"/>
    <w:rsid w:val="00A94393"/>
    <w:rsid w:val="00A95E83"/>
    <w:rsid w:val="00A961F2"/>
    <w:rsid w:val="00A9736E"/>
    <w:rsid w:val="00AA037D"/>
    <w:rsid w:val="00AA3A50"/>
    <w:rsid w:val="00AA5DCF"/>
    <w:rsid w:val="00AB021E"/>
    <w:rsid w:val="00AB1FF0"/>
    <w:rsid w:val="00AB2B4D"/>
    <w:rsid w:val="00AB33DD"/>
    <w:rsid w:val="00AB47D5"/>
    <w:rsid w:val="00AB47DB"/>
    <w:rsid w:val="00AB49AD"/>
    <w:rsid w:val="00AB6040"/>
    <w:rsid w:val="00AB6417"/>
    <w:rsid w:val="00AB6EC4"/>
    <w:rsid w:val="00AC06CA"/>
    <w:rsid w:val="00AC23E1"/>
    <w:rsid w:val="00AC2503"/>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F0302"/>
    <w:rsid w:val="00AF05BC"/>
    <w:rsid w:val="00AF1F6F"/>
    <w:rsid w:val="00AF241B"/>
    <w:rsid w:val="00AF3B5C"/>
    <w:rsid w:val="00AF4B25"/>
    <w:rsid w:val="00AF515F"/>
    <w:rsid w:val="00B005D1"/>
    <w:rsid w:val="00B010DC"/>
    <w:rsid w:val="00B04492"/>
    <w:rsid w:val="00B1012C"/>
    <w:rsid w:val="00B1562F"/>
    <w:rsid w:val="00B15AFB"/>
    <w:rsid w:val="00B21660"/>
    <w:rsid w:val="00B21F0D"/>
    <w:rsid w:val="00B2418F"/>
    <w:rsid w:val="00B25152"/>
    <w:rsid w:val="00B25D7F"/>
    <w:rsid w:val="00B25DA1"/>
    <w:rsid w:val="00B31AEC"/>
    <w:rsid w:val="00B33937"/>
    <w:rsid w:val="00B363E3"/>
    <w:rsid w:val="00B370B3"/>
    <w:rsid w:val="00B37873"/>
    <w:rsid w:val="00B40EC6"/>
    <w:rsid w:val="00B44189"/>
    <w:rsid w:val="00B45963"/>
    <w:rsid w:val="00B467AD"/>
    <w:rsid w:val="00B46EAC"/>
    <w:rsid w:val="00B521BE"/>
    <w:rsid w:val="00B5316B"/>
    <w:rsid w:val="00B54524"/>
    <w:rsid w:val="00B5461D"/>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A2005"/>
    <w:rsid w:val="00BA28A7"/>
    <w:rsid w:val="00BA3266"/>
    <w:rsid w:val="00BA60DC"/>
    <w:rsid w:val="00BA6B34"/>
    <w:rsid w:val="00BB04EE"/>
    <w:rsid w:val="00BB403C"/>
    <w:rsid w:val="00BB4E1C"/>
    <w:rsid w:val="00BC18BD"/>
    <w:rsid w:val="00BC1FCD"/>
    <w:rsid w:val="00BC36E9"/>
    <w:rsid w:val="00BC3715"/>
    <w:rsid w:val="00BC5266"/>
    <w:rsid w:val="00BC5BFA"/>
    <w:rsid w:val="00BC67BD"/>
    <w:rsid w:val="00BC6EAF"/>
    <w:rsid w:val="00BD09B6"/>
    <w:rsid w:val="00BD1F5E"/>
    <w:rsid w:val="00BD2187"/>
    <w:rsid w:val="00BD2C23"/>
    <w:rsid w:val="00BD32EC"/>
    <w:rsid w:val="00BD376E"/>
    <w:rsid w:val="00BD5308"/>
    <w:rsid w:val="00BD585E"/>
    <w:rsid w:val="00BD6FF8"/>
    <w:rsid w:val="00BE2B93"/>
    <w:rsid w:val="00BE3107"/>
    <w:rsid w:val="00BE4897"/>
    <w:rsid w:val="00BE5F12"/>
    <w:rsid w:val="00BE5F7A"/>
    <w:rsid w:val="00BE73AC"/>
    <w:rsid w:val="00BF31F8"/>
    <w:rsid w:val="00BF33BE"/>
    <w:rsid w:val="00BF38D6"/>
    <w:rsid w:val="00BF3C1E"/>
    <w:rsid w:val="00BF3E2A"/>
    <w:rsid w:val="00BF5967"/>
    <w:rsid w:val="00BF5E3C"/>
    <w:rsid w:val="00BF6395"/>
    <w:rsid w:val="00BF664F"/>
    <w:rsid w:val="00BF6B85"/>
    <w:rsid w:val="00BF7610"/>
    <w:rsid w:val="00C025CF"/>
    <w:rsid w:val="00C03838"/>
    <w:rsid w:val="00C046EE"/>
    <w:rsid w:val="00C0530B"/>
    <w:rsid w:val="00C068AF"/>
    <w:rsid w:val="00C10869"/>
    <w:rsid w:val="00C10C4D"/>
    <w:rsid w:val="00C13F06"/>
    <w:rsid w:val="00C16C53"/>
    <w:rsid w:val="00C20921"/>
    <w:rsid w:val="00C2092F"/>
    <w:rsid w:val="00C219A6"/>
    <w:rsid w:val="00C22CAC"/>
    <w:rsid w:val="00C2344D"/>
    <w:rsid w:val="00C24086"/>
    <w:rsid w:val="00C259E3"/>
    <w:rsid w:val="00C33CAD"/>
    <w:rsid w:val="00C3502E"/>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609E9"/>
    <w:rsid w:val="00C61B0B"/>
    <w:rsid w:val="00C61F68"/>
    <w:rsid w:val="00C62314"/>
    <w:rsid w:val="00C633D2"/>
    <w:rsid w:val="00C63AE6"/>
    <w:rsid w:val="00C700EA"/>
    <w:rsid w:val="00C74178"/>
    <w:rsid w:val="00C81540"/>
    <w:rsid w:val="00C81BA6"/>
    <w:rsid w:val="00C820D0"/>
    <w:rsid w:val="00C86C66"/>
    <w:rsid w:val="00C90238"/>
    <w:rsid w:val="00C91605"/>
    <w:rsid w:val="00C92A4B"/>
    <w:rsid w:val="00C9346F"/>
    <w:rsid w:val="00C93652"/>
    <w:rsid w:val="00C94455"/>
    <w:rsid w:val="00C9497A"/>
    <w:rsid w:val="00C94C33"/>
    <w:rsid w:val="00C957C9"/>
    <w:rsid w:val="00C9630F"/>
    <w:rsid w:val="00C963C8"/>
    <w:rsid w:val="00CA03B8"/>
    <w:rsid w:val="00CA0828"/>
    <w:rsid w:val="00CA102E"/>
    <w:rsid w:val="00CA40B0"/>
    <w:rsid w:val="00CA6D37"/>
    <w:rsid w:val="00CB271C"/>
    <w:rsid w:val="00CB2D6D"/>
    <w:rsid w:val="00CB3596"/>
    <w:rsid w:val="00CB40FF"/>
    <w:rsid w:val="00CB4639"/>
    <w:rsid w:val="00CB4FA8"/>
    <w:rsid w:val="00CB7034"/>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E21FB"/>
    <w:rsid w:val="00CE2DB9"/>
    <w:rsid w:val="00CE4C45"/>
    <w:rsid w:val="00CE70F4"/>
    <w:rsid w:val="00CF3694"/>
    <w:rsid w:val="00CF4BFB"/>
    <w:rsid w:val="00CF64DE"/>
    <w:rsid w:val="00D003A7"/>
    <w:rsid w:val="00D01BBC"/>
    <w:rsid w:val="00D04A3B"/>
    <w:rsid w:val="00D0591C"/>
    <w:rsid w:val="00D059C4"/>
    <w:rsid w:val="00D067F1"/>
    <w:rsid w:val="00D06CD4"/>
    <w:rsid w:val="00D10662"/>
    <w:rsid w:val="00D149EA"/>
    <w:rsid w:val="00D17447"/>
    <w:rsid w:val="00D17BCF"/>
    <w:rsid w:val="00D2106F"/>
    <w:rsid w:val="00D266AA"/>
    <w:rsid w:val="00D2753C"/>
    <w:rsid w:val="00D31737"/>
    <w:rsid w:val="00D317CE"/>
    <w:rsid w:val="00D3260C"/>
    <w:rsid w:val="00D32E49"/>
    <w:rsid w:val="00D32EB9"/>
    <w:rsid w:val="00D35C13"/>
    <w:rsid w:val="00D36772"/>
    <w:rsid w:val="00D3709F"/>
    <w:rsid w:val="00D37FDF"/>
    <w:rsid w:val="00D44201"/>
    <w:rsid w:val="00D449A0"/>
    <w:rsid w:val="00D45301"/>
    <w:rsid w:val="00D51B3F"/>
    <w:rsid w:val="00D56306"/>
    <w:rsid w:val="00D57352"/>
    <w:rsid w:val="00D629FE"/>
    <w:rsid w:val="00D64930"/>
    <w:rsid w:val="00D6531C"/>
    <w:rsid w:val="00D66062"/>
    <w:rsid w:val="00D670CB"/>
    <w:rsid w:val="00D70611"/>
    <w:rsid w:val="00D71EB8"/>
    <w:rsid w:val="00D729CA"/>
    <w:rsid w:val="00D72A74"/>
    <w:rsid w:val="00D7510F"/>
    <w:rsid w:val="00D76291"/>
    <w:rsid w:val="00D80C4C"/>
    <w:rsid w:val="00D821D8"/>
    <w:rsid w:val="00D82C34"/>
    <w:rsid w:val="00D83C6D"/>
    <w:rsid w:val="00D83E69"/>
    <w:rsid w:val="00D852CF"/>
    <w:rsid w:val="00D856F4"/>
    <w:rsid w:val="00D856F8"/>
    <w:rsid w:val="00D87744"/>
    <w:rsid w:val="00D9153C"/>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5B9"/>
    <w:rsid w:val="00DA478B"/>
    <w:rsid w:val="00DA4A04"/>
    <w:rsid w:val="00DB09F4"/>
    <w:rsid w:val="00DB1E63"/>
    <w:rsid w:val="00DB2EB6"/>
    <w:rsid w:val="00DB347E"/>
    <w:rsid w:val="00DB58A0"/>
    <w:rsid w:val="00DB58CB"/>
    <w:rsid w:val="00DB69B6"/>
    <w:rsid w:val="00DB7B65"/>
    <w:rsid w:val="00DC5A62"/>
    <w:rsid w:val="00DC69E4"/>
    <w:rsid w:val="00DD19A5"/>
    <w:rsid w:val="00DD3D7D"/>
    <w:rsid w:val="00DD517B"/>
    <w:rsid w:val="00DD5BEF"/>
    <w:rsid w:val="00DD5EBE"/>
    <w:rsid w:val="00DE0422"/>
    <w:rsid w:val="00DE0530"/>
    <w:rsid w:val="00DE05A3"/>
    <w:rsid w:val="00DE0DF8"/>
    <w:rsid w:val="00DE43AF"/>
    <w:rsid w:val="00DE4C9C"/>
    <w:rsid w:val="00DF0E0A"/>
    <w:rsid w:val="00DF1864"/>
    <w:rsid w:val="00DF4C16"/>
    <w:rsid w:val="00DF66B4"/>
    <w:rsid w:val="00DF7206"/>
    <w:rsid w:val="00E024B3"/>
    <w:rsid w:val="00E0443C"/>
    <w:rsid w:val="00E06582"/>
    <w:rsid w:val="00E076A9"/>
    <w:rsid w:val="00E13489"/>
    <w:rsid w:val="00E14E9B"/>
    <w:rsid w:val="00E15DFA"/>
    <w:rsid w:val="00E20280"/>
    <w:rsid w:val="00E22566"/>
    <w:rsid w:val="00E30C6E"/>
    <w:rsid w:val="00E31A4F"/>
    <w:rsid w:val="00E356F8"/>
    <w:rsid w:val="00E3733F"/>
    <w:rsid w:val="00E375C2"/>
    <w:rsid w:val="00E4144F"/>
    <w:rsid w:val="00E435D2"/>
    <w:rsid w:val="00E44203"/>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D46"/>
    <w:rsid w:val="00E75662"/>
    <w:rsid w:val="00E76B34"/>
    <w:rsid w:val="00E7720F"/>
    <w:rsid w:val="00E81D50"/>
    <w:rsid w:val="00E834CC"/>
    <w:rsid w:val="00E84742"/>
    <w:rsid w:val="00E8643F"/>
    <w:rsid w:val="00E90435"/>
    <w:rsid w:val="00E9287C"/>
    <w:rsid w:val="00E92B24"/>
    <w:rsid w:val="00E92BE7"/>
    <w:rsid w:val="00E9438F"/>
    <w:rsid w:val="00E96C3A"/>
    <w:rsid w:val="00E97C0B"/>
    <w:rsid w:val="00E97E09"/>
    <w:rsid w:val="00EA1CF8"/>
    <w:rsid w:val="00EA243C"/>
    <w:rsid w:val="00EA2742"/>
    <w:rsid w:val="00EA29CF"/>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B7D"/>
    <w:rsid w:val="00ED4623"/>
    <w:rsid w:val="00ED579A"/>
    <w:rsid w:val="00ED59ED"/>
    <w:rsid w:val="00ED6047"/>
    <w:rsid w:val="00ED6521"/>
    <w:rsid w:val="00ED65C3"/>
    <w:rsid w:val="00ED6CFE"/>
    <w:rsid w:val="00ED7A52"/>
    <w:rsid w:val="00EE0584"/>
    <w:rsid w:val="00EE06C4"/>
    <w:rsid w:val="00EE24C6"/>
    <w:rsid w:val="00EE31E5"/>
    <w:rsid w:val="00EE3534"/>
    <w:rsid w:val="00EE568F"/>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5134"/>
    <w:rsid w:val="00F17245"/>
    <w:rsid w:val="00F20AE0"/>
    <w:rsid w:val="00F21D33"/>
    <w:rsid w:val="00F22A55"/>
    <w:rsid w:val="00F23101"/>
    <w:rsid w:val="00F26226"/>
    <w:rsid w:val="00F26537"/>
    <w:rsid w:val="00F27FB2"/>
    <w:rsid w:val="00F30799"/>
    <w:rsid w:val="00F32897"/>
    <w:rsid w:val="00F32D25"/>
    <w:rsid w:val="00F341A9"/>
    <w:rsid w:val="00F36B44"/>
    <w:rsid w:val="00F44932"/>
    <w:rsid w:val="00F4630A"/>
    <w:rsid w:val="00F46CA7"/>
    <w:rsid w:val="00F47D50"/>
    <w:rsid w:val="00F52CC4"/>
    <w:rsid w:val="00F53B51"/>
    <w:rsid w:val="00F54212"/>
    <w:rsid w:val="00F60282"/>
    <w:rsid w:val="00F654FA"/>
    <w:rsid w:val="00F66E71"/>
    <w:rsid w:val="00F67769"/>
    <w:rsid w:val="00F67AF9"/>
    <w:rsid w:val="00F7023B"/>
    <w:rsid w:val="00F7348A"/>
    <w:rsid w:val="00F73653"/>
    <w:rsid w:val="00F758DF"/>
    <w:rsid w:val="00F76DF5"/>
    <w:rsid w:val="00F7733F"/>
    <w:rsid w:val="00F81A1F"/>
    <w:rsid w:val="00F82061"/>
    <w:rsid w:val="00F82C7D"/>
    <w:rsid w:val="00F85A25"/>
    <w:rsid w:val="00F85BAC"/>
    <w:rsid w:val="00F87669"/>
    <w:rsid w:val="00F87913"/>
    <w:rsid w:val="00F90088"/>
    <w:rsid w:val="00F92D15"/>
    <w:rsid w:val="00F92DC1"/>
    <w:rsid w:val="00F93083"/>
    <w:rsid w:val="00F93C6E"/>
    <w:rsid w:val="00F95BF4"/>
    <w:rsid w:val="00F97404"/>
    <w:rsid w:val="00FA043E"/>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F7F"/>
    <w:rsid w:val="00FD67EC"/>
    <w:rsid w:val="00FE0C99"/>
    <w:rsid w:val="00FE0FC6"/>
    <w:rsid w:val="00FE5C93"/>
    <w:rsid w:val="00FE5EF8"/>
    <w:rsid w:val="00FF4347"/>
    <w:rsid w:val="00FF43E0"/>
    <w:rsid w:val="00FF464C"/>
    <w:rsid w:val="00FF4C39"/>
    <w:rsid w:val="022B441A"/>
    <w:rsid w:val="02C92A83"/>
    <w:rsid w:val="03AA6FCE"/>
    <w:rsid w:val="04284DF6"/>
    <w:rsid w:val="0468597E"/>
    <w:rsid w:val="052B3EB7"/>
    <w:rsid w:val="05873EF9"/>
    <w:rsid w:val="062B4740"/>
    <w:rsid w:val="06D20300"/>
    <w:rsid w:val="07013622"/>
    <w:rsid w:val="0854256E"/>
    <w:rsid w:val="08960EA3"/>
    <w:rsid w:val="08B57184"/>
    <w:rsid w:val="0A3A594D"/>
    <w:rsid w:val="0AD90D88"/>
    <w:rsid w:val="0BB54E17"/>
    <w:rsid w:val="0D627664"/>
    <w:rsid w:val="0F2458AA"/>
    <w:rsid w:val="1006794B"/>
    <w:rsid w:val="164654D0"/>
    <w:rsid w:val="1711713D"/>
    <w:rsid w:val="17D0681C"/>
    <w:rsid w:val="17DB207B"/>
    <w:rsid w:val="17FC03BD"/>
    <w:rsid w:val="18E979BE"/>
    <w:rsid w:val="194079E7"/>
    <w:rsid w:val="1C405EB7"/>
    <w:rsid w:val="1DAE2A5E"/>
    <w:rsid w:val="1DFF51EA"/>
    <w:rsid w:val="1F1B3C9E"/>
    <w:rsid w:val="209E3D72"/>
    <w:rsid w:val="20DA3EDC"/>
    <w:rsid w:val="2299568B"/>
    <w:rsid w:val="24185E22"/>
    <w:rsid w:val="24AD6C39"/>
    <w:rsid w:val="24C0322E"/>
    <w:rsid w:val="25F0544D"/>
    <w:rsid w:val="26472DAE"/>
    <w:rsid w:val="27C00971"/>
    <w:rsid w:val="290A4C6E"/>
    <w:rsid w:val="296E0CA3"/>
    <w:rsid w:val="29CB64BF"/>
    <w:rsid w:val="2AEC7478"/>
    <w:rsid w:val="2B7D59D5"/>
    <w:rsid w:val="2BAF218D"/>
    <w:rsid w:val="2C1255D3"/>
    <w:rsid w:val="2C136A7F"/>
    <w:rsid w:val="2C264119"/>
    <w:rsid w:val="2CAD691B"/>
    <w:rsid w:val="2DBE7052"/>
    <w:rsid w:val="2F034443"/>
    <w:rsid w:val="2FFB15BE"/>
    <w:rsid w:val="30D84EDD"/>
    <w:rsid w:val="3110040D"/>
    <w:rsid w:val="31ED747E"/>
    <w:rsid w:val="322C7CCB"/>
    <w:rsid w:val="32510B78"/>
    <w:rsid w:val="333861BF"/>
    <w:rsid w:val="335C5815"/>
    <w:rsid w:val="338F340F"/>
    <w:rsid w:val="33B026C0"/>
    <w:rsid w:val="347E631A"/>
    <w:rsid w:val="348E0B27"/>
    <w:rsid w:val="35A860D2"/>
    <w:rsid w:val="36153982"/>
    <w:rsid w:val="382B031B"/>
    <w:rsid w:val="386A03C3"/>
    <w:rsid w:val="38CF1244"/>
    <w:rsid w:val="3908151F"/>
    <w:rsid w:val="3A811D69"/>
    <w:rsid w:val="3AEF28A8"/>
    <w:rsid w:val="3B632771"/>
    <w:rsid w:val="3BF14D7A"/>
    <w:rsid w:val="3C167C5B"/>
    <w:rsid w:val="3CB423C7"/>
    <w:rsid w:val="3D3D47C7"/>
    <w:rsid w:val="3F75572D"/>
    <w:rsid w:val="3FA87638"/>
    <w:rsid w:val="40980FBD"/>
    <w:rsid w:val="416A4C97"/>
    <w:rsid w:val="41E52CA5"/>
    <w:rsid w:val="42B673D4"/>
    <w:rsid w:val="4559032A"/>
    <w:rsid w:val="45C342B5"/>
    <w:rsid w:val="461940F5"/>
    <w:rsid w:val="4654655D"/>
    <w:rsid w:val="46C329DE"/>
    <w:rsid w:val="4702571E"/>
    <w:rsid w:val="498B2138"/>
    <w:rsid w:val="4A545300"/>
    <w:rsid w:val="4B215F25"/>
    <w:rsid w:val="4B425E9C"/>
    <w:rsid w:val="4BC60A62"/>
    <w:rsid w:val="4DAD60E5"/>
    <w:rsid w:val="4E4C7F4F"/>
    <w:rsid w:val="4F942CC6"/>
    <w:rsid w:val="4FB250F7"/>
    <w:rsid w:val="515823F3"/>
    <w:rsid w:val="538D251B"/>
    <w:rsid w:val="544B3126"/>
    <w:rsid w:val="5451593D"/>
    <w:rsid w:val="54A0089A"/>
    <w:rsid w:val="55785BF0"/>
    <w:rsid w:val="55DC20D8"/>
    <w:rsid w:val="56B26AD8"/>
    <w:rsid w:val="570135FF"/>
    <w:rsid w:val="57B430E9"/>
    <w:rsid w:val="57E94564"/>
    <w:rsid w:val="588E2ACF"/>
    <w:rsid w:val="595377B9"/>
    <w:rsid w:val="5AB13E12"/>
    <w:rsid w:val="5BED4A22"/>
    <w:rsid w:val="5E020833"/>
    <w:rsid w:val="5FDF5E2D"/>
    <w:rsid w:val="602F482E"/>
    <w:rsid w:val="617E3807"/>
    <w:rsid w:val="6360634B"/>
    <w:rsid w:val="63EF6B23"/>
    <w:rsid w:val="640C47B9"/>
    <w:rsid w:val="644B3444"/>
    <w:rsid w:val="64652116"/>
    <w:rsid w:val="64D40EFB"/>
    <w:rsid w:val="64FD5B72"/>
    <w:rsid w:val="674F7FA0"/>
    <w:rsid w:val="680B0604"/>
    <w:rsid w:val="69550B8F"/>
    <w:rsid w:val="6A3135D2"/>
    <w:rsid w:val="6A863F6D"/>
    <w:rsid w:val="6C630CDF"/>
    <w:rsid w:val="6CDF02CF"/>
    <w:rsid w:val="6D022239"/>
    <w:rsid w:val="6E400882"/>
    <w:rsid w:val="6ECD720D"/>
    <w:rsid w:val="71724D1D"/>
    <w:rsid w:val="71727CF3"/>
    <w:rsid w:val="71EA3760"/>
    <w:rsid w:val="72005127"/>
    <w:rsid w:val="723C5EB6"/>
    <w:rsid w:val="737D4E3B"/>
    <w:rsid w:val="73CE57CC"/>
    <w:rsid w:val="73E00B60"/>
    <w:rsid w:val="7551355B"/>
    <w:rsid w:val="76673B97"/>
    <w:rsid w:val="7698503B"/>
    <w:rsid w:val="770C0DE9"/>
    <w:rsid w:val="778B3118"/>
    <w:rsid w:val="77E46D13"/>
    <w:rsid w:val="783D34F5"/>
    <w:rsid w:val="78BB1A35"/>
    <w:rsid w:val="79A56C22"/>
    <w:rsid w:val="79CA4694"/>
    <w:rsid w:val="79E742FE"/>
    <w:rsid w:val="7AE92BC5"/>
    <w:rsid w:val="7B7900AE"/>
    <w:rsid w:val="7C9E2E3E"/>
    <w:rsid w:val="7CC511F9"/>
    <w:rsid w:val="7CC75ED7"/>
    <w:rsid w:val="7D617F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link w:val="20"/>
    <w:qFormat/>
    <w:uiPriority w:val="0"/>
    <w:pPr>
      <w:keepNext w:val="0"/>
      <w:keepLines w:val="0"/>
      <w:adjustRightInd w:val="0"/>
      <w:spacing w:beforeLines="0" w:beforeAutospacing="0" w:afterLines="0" w:afterAutospacing="0" w:line="590" w:lineRule="exact"/>
      <w:jc w:val="center"/>
      <w:outlineLvl w:val="0"/>
    </w:pPr>
    <w:rPr>
      <w:rFonts w:eastAsia="方正小标宋_GBK"/>
      <w:kern w:val="44"/>
      <w:sz w:val="44"/>
    </w:rPr>
  </w:style>
  <w:style w:type="paragraph" w:styleId="3">
    <w:name w:val="heading 2"/>
    <w:basedOn w:val="1"/>
    <w:next w:val="1"/>
    <w:unhideWhenUsed/>
    <w:qFormat/>
    <w:uiPriority w:val="0"/>
    <w:pPr>
      <w:keepNext w:val="0"/>
      <w:keepLines w:val="0"/>
      <w:adjustRightInd w:val="0"/>
      <w:spacing w:beforeLines="0" w:beforeAutospacing="0" w:afterLines="0" w:afterAutospacing="0" w:line="240" w:lineRule="auto"/>
      <w:ind w:firstLine="632" w:firstLineChars="200"/>
      <w:outlineLvl w:val="1"/>
    </w:pPr>
    <w:rPr>
      <w:rFonts w:eastAsia="方正黑体_GBK"/>
    </w:rPr>
  </w:style>
  <w:style w:type="paragraph" w:styleId="4">
    <w:name w:val="heading 3"/>
    <w:basedOn w:val="1"/>
    <w:next w:val="1"/>
    <w:link w:val="18"/>
    <w:unhideWhenUsed/>
    <w:qFormat/>
    <w:uiPriority w:val="0"/>
    <w:pPr>
      <w:keepNext w:val="0"/>
      <w:keepLines w:val="0"/>
      <w:adjustRightInd w:val="0"/>
      <w:spacing w:beforeLines="0" w:beforeAutospacing="0" w:afterLines="0" w:afterAutospacing="0" w:line="240" w:lineRule="auto"/>
      <w:ind w:firstLine="632" w:firstLineChars="200"/>
      <w:outlineLvl w:val="2"/>
    </w:pPr>
    <w:rPr>
      <w:rFonts w:eastAsia="方正楷体_GBK"/>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jc w:val="center"/>
    </w:pPr>
    <w:rPr>
      <w:rFonts w:ascii="Times New Roman" w:hAnsi="Times New Roman" w:eastAsia="宋体" w:cs="Times New Roman"/>
      <w:b/>
      <w:bCs/>
    </w:rPr>
  </w:style>
  <w:style w:type="paragraph" w:styleId="6">
    <w:name w:val="footer"/>
    <w:basedOn w:val="1"/>
    <w:next w:val="7"/>
    <w:qFormat/>
    <w:uiPriority w:val="0"/>
    <w:pPr>
      <w:tabs>
        <w:tab w:val="center" w:pos="4153"/>
        <w:tab w:val="right" w:pos="8306"/>
      </w:tabs>
      <w:snapToGrid w:val="0"/>
      <w:jc w:val="left"/>
    </w:pPr>
    <w:rPr>
      <w:sz w:val="18"/>
    </w:rPr>
  </w:style>
  <w:style w:type="paragraph" w:customStyle="1" w:styleId="7">
    <w:name w:val="索引 51"/>
    <w:basedOn w:val="1"/>
    <w:next w:val="1"/>
    <w:qFormat/>
    <w:uiPriority w:val="0"/>
    <w:pPr>
      <w:ind w:left="1680"/>
    </w:p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table of figures1"/>
    <w:basedOn w:val="16"/>
    <w:next w:val="16"/>
    <w:autoRedefine/>
    <w:qFormat/>
    <w:uiPriority w:val="0"/>
    <w:pPr>
      <w:ind w:left="200" w:leftChars="200" w:hanging="200" w:hanging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autoRedefine/>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7">
    <w:name w:val="图表目录1"/>
    <w:basedOn w:val="16"/>
    <w:next w:val="16"/>
    <w:autoRedefine/>
    <w:qFormat/>
    <w:uiPriority w:val="0"/>
    <w:pPr>
      <w:ind w:left="200" w:leftChars="200" w:hanging="200" w:hangingChars="200"/>
    </w:pPr>
  </w:style>
  <w:style w:type="character" w:customStyle="1" w:styleId="18">
    <w:name w:val="标题 3 Char"/>
    <w:link w:val="4"/>
    <w:qFormat/>
    <w:uiPriority w:val="0"/>
    <w:rPr>
      <w:rFonts w:eastAsia="方正楷体_GBK"/>
    </w:rPr>
  </w:style>
  <w:style w:type="paragraph" w:customStyle="1" w:styleId="19">
    <w:name w:val="大标题"/>
    <w:basedOn w:val="1"/>
    <w:next w:val="1"/>
    <w:qFormat/>
    <w:uiPriority w:val="0"/>
    <w:pPr>
      <w:spacing w:line="590" w:lineRule="exact"/>
      <w:jc w:val="center"/>
    </w:pPr>
    <w:rPr>
      <w:rFonts w:ascii="Times New Roman" w:hAnsi="Times New Roman" w:eastAsia="方正小标宋_GBK"/>
      <w:sz w:val="44"/>
      <w:szCs w:val="44"/>
    </w:rPr>
  </w:style>
  <w:style w:type="character" w:customStyle="1" w:styleId="20">
    <w:name w:val="标题 1 Char"/>
    <w:link w:val="2"/>
    <w:qFormat/>
    <w:uiPriority w:val="0"/>
    <w:rPr>
      <w:rFonts w:eastAsia="方正小标宋_GBK"/>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9488</Words>
  <Characters>10363</Characters>
  <Lines>1</Lines>
  <Paragraphs>1</Paragraphs>
  <TotalTime>15</TotalTime>
  <ScaleCrop>false</ScaleCrop>
  <LinksUpToDate>false</LinksUpToDate>
  <CharactersWithSpaces>10480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2024-10-30T17:26:00Z</dcterms:created>
  <dc:creator>suma</dc:creator>
  <cp:lastModifiedBy>安然弱水</cp:lastModifiedBy>
  <cp:lastPrinted>2025-01-03T06:13:00Z</cp:lastPrinted>
  <dcterms:modified xsi:type="dcterms:W3CDTF">2025-07-07T09:53:48Z</dcterms:modified>
  <dc:title>渝府办发〔2024〕84号</dc:title>
  <cp:revision>6322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C494D022604840A0BF74DAF67A9E585D_13</vt:lpwstr>
  </property>
  <property fmtid="{D5CDD505-2E9C-101B-9397-08002B2CF9AE}" pid="4" name="KSOTemplateDocerSaveRecord">
    <vt:lpwstr>eyJoZGlkIjoiN2U0N2Q2ZTM2ZDQ4MjgxNDVjNzFiNjJmOWEwODI3OGEiLCJ1c2VySWQiOiIxMzAwNjA3NzU5In0=</vt:lpwstr>
  </property>
</Properties>
</file>