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F652A0B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</w:p>
    <w:tbl>
      <w:tblPr>
        <w:tblStyle w:val="11"/>
        <w:tblW w:w="0" w:type="auto"/>
        <w:tblInd w:w="55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3250"/>
        <w:gridCol w:w="384"/>
      </w:tblGrid>
      <w:tr w14:paraId="21ACF2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BCCFEE8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72118BA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15"/>
                <w:rFonts w:hint="default" w:ascii="楷体_GB2312" w:hAnsi="Times New Roman" w:eastAsia="楷体_GB2312" w:cs="楷体_GB2312"/>
                <w:b/>
                <w:bCs/>
                <w:sz w:val="30"/>
                <w:szCs w:val="30"/>
              </w:rPr>
              <w:t>统一社会信用代码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6E3B774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</w:p>
        </w:tc>
      </w:tr>
      <w:tr w14:paraId="7036E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3343ACE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A39AADF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15"/>
                <w:rFonts w:hint="default" w:ascii="Times New Roman" w:hAnsi="Times New Roman" w:eastAsia="楷体_GB2312" w:cs="Times New Roman"/>
                <w:b/>
                <w:bCs/>
                <w:sz w:val="30"/>
                <w:szCs w:val="30"/>
              </w:rPr>
              <w:t>12500104MB1G16500D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FB7380E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</w:p>
        </w:tc>
      </w:tr>
    </w:tbl>
    <w:p w14:paraId="2D7E06F1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6F6B5F53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48EEC5CC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244E9134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052D7E78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Style w:val="16"/>
          <w:rFonts w:hint="eastAsia" w:ascii="黑体" w:hAnsi="宋体" w:eastAsia="黑体" w:cs="黑体"/>
          <w:b/>
          <w:bCs/>
          <w:spacing w:val="40"/>
          <w:sz w:val="52"/>
          <w:szCs w:val="52"/>
        </w:rPr>
        <w:t>事业单位法人年度报告书</w:t>
      </w:r>
    </w:p>
    <w:p w14:paraId="2FD88BE6">
      <w:pPr>
        <w:jc w:val="center"/>
        <w:rPr>
          <w:rFonts w:hint="default" w:ascii="Times New Roman" w:hAnsi="Times New Roman" w:eastAsia="黑体" w:cs="Times New Roman"/>
          <w:b/>
          <w:bCs/>
          <w:spacing w:val="30"/>
          <w:kern w:val="2"/>
          <w:sz w:val="21"/>
          <w:szCs w:val="21"/>
        </w:rPr>
      </w:pPr>
      <w:r>
        <w:rPr>
          <w:rFonts w:hint="default" w:ascii="Times New Roman" w:hAnsi="Times New Roman" w:eastAsia="黑体" w:cs="Times New Roman"/>
          <w:b/>
          <w:bCs/>
          <w:spacing w:val="30"/>
          <w:kern w:val="2"/>
          <w:sz w:val="21"/>
          <w:szCs w:val="21"/>
        </w:rPr>
        <w:t xml:space="preserve"> </w:t>
      </w:r>
    </w:p>
    <w:tbl>
      <w:tblPr>
        <w:tblStyle w:val="11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1814"/>
        <w:gridCol w:w="1440"/>
      </w:tblGrid>
      <w:tr w14:paraId="4BAD3D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1F0F2FC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15"/>
                <w:rFonts w:hint="default" w:ascii="楷体_GB2312" w:hAnsi="Times New Roman" w:eastAsia="楷体_GB2312" w:cs="楷体_GB2312"/>
                <w:b/>
                <w:bCs/>
                <w:sz w:val="30"/>
                <w:szCs w:val="30"/>
              </w:rPr>
              <w:t>（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638F957C">
            <w:pPr>
              <w:jc w:val="center"/>
              <w:rPr>
                <w:rFonts w:hint="eastAsia" w:ascii="宋体" w:hAnsi="Times New Roman" w:eastAsia="楷体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Style w:val="15"/>
                <w:rFonts w:hint="default" w:ascii="Times New Roman" w:hAnsi="Times New Roman" w:eastAsia="楷体_GB2312" w:cs="Times New Roman"/>
                <w:b/>
                <w:bCs/>
                <w:sz w:val="30"/>
                <w:szCs w:val="30"/>
              </w:rPr>
              <w:t>202</w:t>
            </w:r>
            <w:r>
              <w:rPr>
                <w:rStyle w:val="15"/>
                <w:rFonts w:hint="eastAsia" w:eastAsia="楷体_GB2312" w:cs="Times New Roman"/>
                <w:b/>
                <w:bCs/>
                <w:sz w:val="30"/>
                <w:szCs w:val="30"/>
                <w:lang w:val="en-US" w:eastAsia="zh-CN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87E610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15"/>
                <w:rFonts w:hint="default" w:ascii="楷体_GB2312" w:hAnsi="Times New Roman" w:eastAsia="楷体_GB2312" w:cs="楷体_GB2312"/>
                <w:b/>
                <w:bCs/>
                <w:sz w:val="30"/>
                <w:szCs w:val="30"/>
              </w:rPr>
              <w:t>）年度</w:t>
            </w:r>
          </w:p>
        </w:tc>
      </w:tr>
    </w:tbl>
    <w:p w14:paraId="526B7DCA">
      <w:pPr>
        <w:jc w:val="center"/>
        <w:rPr>
          <w:rFonts w:hint="default" w:ascii="Times New Roman" w:hAnsi="Times New Roman" w:eastAsia="宋体" w:cs="Times New Roman"/>
          <w:b/>
          <w:bCs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1"/>
          <w:szCs w:val="21"/>
        </w:rPr>
        <w:t xml:space="preserve"> </w:t>
      </w:r>
    </w:p>
    <w:p w14:paraId="3805E102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312FD830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6D43E182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6D12D193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tbl>
      <w:tblPr>
        <w:tblStyle w:val="11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5294"/>
      </w:tblGrid>
      <w:tr w14:paraId="2B5F4A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E25142">
            <w:pPr>
              <w:jc w:val="distribute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1"/>
                <w:rFonts w:hint="eastAsia" w:ascii="黑体" w:hAnsi="宋体" w:eastAsia="黑体" w:cs="黑体"/>
                <w:b/>
                <w:bCs/>
                <w:sz w:val="36"/>
                <w:szCs w:val="36"/>
              </w:rPr>
              <w:t>单 位 名 称</w:t>
            </w:r>
          </w:p>
        </w:tc>
        <w:tc>
          <w:tcPr>
            <w:tcW w:w="529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bottom"/>
          </w:tcPr>
          <w:p w14:paraId="78E6CC8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sz w:val="32"/>
                <w:szCs w:val="32"/>
              </w:rPr>
              <w:t>重庆市大渡口区春晖路街道便民服务中心（重庆市大渡口区春晖路街道退役军人服务站）</w:t>
            </w:r>
          </w:p>
        </w:tc>
      </w:tr>
    </w:tbl>
    <w:p w14:paraId="00759E39">
      <w:pPr>
        <w:rPr>
          <w:rFonts w:hint="eastAsia" w:ascii="黑体" w:hAnsi="宋体" w:eastAsia="黑体" w:cs="黑体"/>
          <w:b/>
          <w:bCs/>
          <w:kern w:val="2"/>
          <w:sz w:val="24"/>
          <w:szCs w:val="24"/>
          <w:u w:val="single"/>
        </w:rPr>
      </w:pPr>
      <w:r>
        <w:rPr>
          <w:rFonts w:hint="eastAsia" w:ascii="黑体" w:hAnsi="宋体" w:eastAsia="黑体" w:cs="黑体"/>
          <w:b/>
          <w:bCs/>
          <w:kern w:val="2"/>
          <w:sz w:val="24"/>
          <w:szCs w:val="24"/>
          <w:u w:val="single"/>
        </w:rPr>
        <w:t xml:space="preserve"> </w:t>
      </w:r>
    </w:p>
    <w:tbl>
      <w:tblPr>
        <w:tblStyle w:val="11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5"/>
        <w:gridCol w:w="5254"/>
      </w:tblGrid>
      <w:tr w14:paraId="031141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F70DAA">
            <w:pPr>
              <w:jc w:val="distribute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1"/>
                <w:rFonts w:hint="eastAsia" w:ascii="黑体" w:hAnsi="宋体" w:eastAsia="黑体" w:cs="黑体"/>
                <w:b/>
                <w:bCs/>
                <w:sz w:val="36"/>
                <w:szCs w:val="36"/>
              </w:rPr>
              <w:t>法</w:t>
            </w:r>
            <w:r>
              <w:rPr>
                <w:rStyle w:val="31"/>
                <w:rFonts w:hint="eastAsia" w:ascii="黑体" w:hAnsi="宋体" w:eastAsia="黑体" w:cs="黑体"/>
                <w:b/>
                <w:bCs/>
                <w:spacing w:val="30"/>
                <w:sz w:val="36"/>
                <w:szCs w:val="36"/>
              </w:rPr>
              <w:t>定代表</w:t>
            </w:r>
            <w:r>
              <w:rPr>
                <w:rStyle w:val="31"/>
                <w:rFonts w:hint="eastAsia" w:ascii="黑体" w:hAnsi="宋体" w:eastAsia="黑体" w:cs="黑体"/>
                <w:b/>
                <w:bCs/>
                <w:sz w:val="36"/>
                <w:szCs w:val="36"/>
              </w:rPr>
              <w:t>人</w:t>
            </w:r>
          </w:p>
        </w:tc>
        <w:tc>
          <w:tcPr>
            <w:tcW w:w="525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bottom"/>
          </w:tcPr>
          <w:p w14:paraId="1A072972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Style w:val="30"/>
                <w:rFonts w:hint="eastAsia" w:ascii="楷体_GB2312" w:hAnsi="Times New Roman" w:eastAsia="楷体_GB2312" w:cs="楷体_GB2312"/>
                <w:sz w:val="32"/>
                <w:szCs w:val="32"/>
                <w:lang w:eastAsia="zh-CN"/>
              </w:rPr>
              <w:t>陈语</w:t>
            </w:r>
          </w:p>
        </w:tc>
      </w:tr>
    </w:tbl>
    <w:p w14:paraId="32F97672">
      <w:pPr>
        <w:ind w:left="0" w:firstLine="723" w:firstLineChars="300"/>
        <w:rPr>
          <w:rFonts w:hint="eastAsia" w:ascii="黑体" w:hAnsi="宋体" w:eastAsia="黑体" w:cs="黑体"/>
          <w:b/>
          <w:bCs/>
          <w:kern w:val="2"/>
          <w:sz w:val="24"/>
          <w:szCs w:val="24"/>
          <w:u w:val="single"/>
        </w:rPr>
      </w:pPr>
      <w:r>
        <w:rPr>
          <w:rFonts w:hint="eastAsia" w:ascii="黑体" w:hAnsi="宋体" w:eastAsia="黑体" w:cs="黑体"/>
          <w:b/>
          <w:bCs/>
          <w:kern w:val="2"/>
          <w:sz w:val="24"/>
          <w:szCs w:val="24"/>
          <w:u w:val="single"/>
        </w:rPr>
        <w:t xml:space="preserve"> </w:t>
      </w:r>
    </w:p>
    <w:tbl>
      <w:tblPr>
        <w:tblStyle w:val="11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5294"/>
      </w:tblGrid>
      <w:tr w14:paraId="7160D9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74EF59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B07D1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14:paraId="4BE2AB04">
      <w:pPr>
        <w:jc w:val="center"/>
        <w:rPr>
          <w:rFonts w:hint="eastAsia" w:ascii="黑体" w:hAnsi="宋体" w:eastAsia="黑体" w:cs="黑体"/>
          <w:b/>
          <w:bCs/>
          <w:kern w:val="2"/>
          <w:sz w:val="30"/>
          <w:szCs w:val="30"/>
          <w:u w:val="single"/>
        </w:rPr>
      </w:pPr>
      <w:r>
        <w:rPr>
          <w:rFonts w:hint="eastAsia" w:ascii="宋体" w:hAnsi="宋体" w:eastAsia="宋体" w:cs="宋体"/>
          <w:b/>
          <w:bCs/>
          <w:kern w:val="2"/>
          <w:sz w:val="30"/>
          <w:szCs w:val="30"/>
          <w:u w:val="single"/>
        </w:rPr>
        <w:t xml:space="preserve"> </w:t>
      </w:r>
    </w:p>
    <w:p w14:paraId="1F6C6FD8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p w14:paraId="47192E75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Style w:val="30"/>
          <w:rFonts w:hint="default" w:ascii="楷体_GB2312" w:hAnsi="Times New Roman" w:eastAsia="楷体_GB2312" w:cs="楷体_GB2312"/>
          <w:b/>
          <w:bCs/>
          <w:sz w:val="32"/>
          <w:szCs w:val="32"/>
        </w:rPr>
        <w:t>国家事业单位登记管理局制</w:t>
      </w:r>
    </w:p>
    <w:p w14:paraId="6E5A7731">
      <w:pP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tbl>
      <w:tblPr>
        <w:tblStyle w:val="11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1"/>
        <w:gridCol w:w="2287"/>
        <w:gridCol w:w="1480"/>
        <w:gridCol w:w="1930"/>
        <w:gridCol w:w="1951"/>
      </w:tblGrid>
      <w:tr w14:paraId="1291B4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  <w:jc w:val="center"/>
        </w:trPr>
        <w:tc>
          <w:tcPr>
            <w:tcW w:w="2111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5703151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《事业</w:t>
            </w:r>
          </w:p>
          <w:p w14:paraId="05C00FBD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单位</w:t>
            </w:r>
          </w:p>
          <w:p w14:paraId="4BBD8D4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法人</w:t>
            </w:r>
          </w:p>
          <w:p w14:paraId="2CD18FBF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证书》</w:t>
            </w:r>
          </w:p>
          <w:p w14:paraId="6C7F10E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登载</w:t>
            </w:r>
          </w:p>
          <w:p w14:paraId="37B963E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事项</w:t>
            </w:r>
          </w:p>
        </w:tc>
        <w:tc>
          <w:tcPr>
            <w:tcW w:w="2287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B10D9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单位名称</w:t>
            </w:r>
          </w:p>
        </w:tc>
        <w:tc>
          <w:tcPr>
            <w:tcW w:w="5361" w:type="dxa"/>
            <w:gridSpan w:val="3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4A4CCF3A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sz w:val="32"/>
                <w:szCs w:val="32"/>
              </w:rPr>
              <w:t>重庆市大渡口区春晖路街道便民服务中心（重庆市大渡口区春晖路街道退役军人服务站）</w:t>
            </w:r>
          </w:p>
        </w:tc>
      </w:tr>
      <w:tr w14:paraId="1B6919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6" w:hRule="atLeast"/>
          <w:jc w:val="center"/>
        </w:trPr>
        <w:tc>
          <w:tcPr>
            <w:tcW w:w="2111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5E26DC3E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5073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宗</w:t>
            </w:r>
            <w:r>
              <w:rPr>
                <w:rStyle w:val="30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旨</w:t>
            </w:r>
            <w:r>
              <w:rPr>
                <w:rStyle w:val="30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和</w:t>
            </w:r>
          </w:p>
          <w:p w14:paraId="01FD9BDF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业务范围</w:t>
            </w:r>
          </w:p>
        </w:tc>
        <w:tc>
          <w:tcPr>
            <w:tcW w:w="536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02CD0A61">
            <w:pPr>
              <w:spacing w:line="320" w:lineRule="exact"/>
              <w:jc w:val="left"/>
              <w:rPr>
                <w:rFonts w:hint="default" w:ascii="Times New Roman" w:hAnsi="Times New Roman" w:eastAsia="楷体_GB2312" w:cs="楷体_GB2312"/>
                <w:kern w:val="2"/>
                <w:sz w:val="28"/>
                <w:szCs w:val="28"/>
              </w:rPr>
            </w:pPr>
            <w:r>
              <w:rPr>
                <w:rStyle w:val="24"/>
                <w:rFonts w:hint="default" w:ascii="楷体_GB2312" w:hAnsi="Times New Roman" w:eastAsia="楷体_GB2312" w:cs="楷体_GB2312"/>
                <w:sz w:val="28"/>
                <w:szCs w:val="28"/>
              </w:rPr>
              <w:t>为人民群众提供一站式便民服务</w:t>
            </w:r>
          </w:p>
        </w:tc>
      </w:tr>
      <w:tr w14:paraId="353A564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111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704A902A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47109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住</w:t>
            </w:r>
            <w:r>
              <w:rPr>
                <w:rStyle w:val="30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   </w:t>
            </w: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所</w:t>
            </w:r>
          </w:p>
        </w:tc>
        <w:tc>
          <w:tcPr>
            <w:tcW w:w="536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11D44D91">
            <w:pPr>
              <w:spacing w:line="320" w:lineRule="exact"/>
              <w:jc w:val="left"/>
              <w:rPr>
                <w:rFonts w:hint="default" w:ascii="Times New Roman" w:hAnsi="Times New Roman" w:eastAsia="楷体_GB2312" w:cs="楷体_GB2312"/>
                <w:kern w:val="2"/>
                <w:sz w:val="28"/>
                <w:szCs w:val="28"/>
              </w:rPr>
            </w:pPr>
            <w:r>
              <w:rPr>
                <w:rStyle w:val="24"/>
                <w:rFonts w:hint="default" w:ascii="楷体_GB2312" w:hAnsi="Times New Roman" w:eastAsia="楷体_GB2312" w:cs="楷体_GB2312"/>
                <w:sz w:val="28"/>
                <w:szCs w:val="28"/>
              </w:rPr>
              <w:t>重庆市大渡口区春晖路街道鑫康路</w:t>
            </w:r>
            <w:r>
              <w:rPr>
                <w:rStyle w:val="24"/>
                <w:rFonts w:hint="default" w:ascii="Times New Roman" w:hAnsi="Times New Roman" w:eastAsia="楷体_GB2312" w:cs="Times New Roman"/>
                <w:sz w:val="28"/>
                <w:szCs w:val="28"/>
              </w:rPr>
              <w:t>16</w:t>
            </w:r>
            <w:r>
              <w:rPr>
                <w:rStyle w:val="24"/>
                <w:rFonts w:hint="default" w:ascii="楷体_GB2312" w:hAnsi="Times New Roman" w:eastAsia="楷体_GB2312" w:cs="楷体_GB2312"/>
                <w:sz w:val="28"/>
                <w:szCs w:val="28"/>
              </w:rPr>
              <w:t>号</w:t>
            </w:r>
          </w:p>
        </w:tc>
      </w:tr>
      <w:tr w14:paraId="385B112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111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1D19B908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088E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法定代表人</w:t>
            </w:r>
          </w:p>
        </w:tc>
        <w:tc>
          <w:tcPr>
            <w:tcW w:w="536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0785E122">
            <w:pPr>
              <w:spacing w:line="320" w:lineRule="exact"/>
              <w:jc w:val="left"/>
              <w:rPr>
                <w:rFonts w:hint="default" w:ascii="Times New Roman" w:hAnsi="Times New Roman" w:eastAsia="楷体_GB2312" w:cs="楷体_GB2312"/>
                <w:kern w:val="2"/>
                <w:sz w:val="28"/>
                <w:szCs w:val="28"/>
              </w:rPr>
            </w:pPr>
            <w:r>
              <w:rPr>
                <w:rStyle w:val="24"/>
                <w:rFonts w:hint="default" w:ascii="楷体_GB2312" w:hAnsi="Times New Roman" w:eastAsia="楷体_GB2312" w:cs="楷体_GB2312"/>
                <w:sz w:val="28"/>
                <w:szCs w:val="28"/>
              </w:rPr>
              <w:t>陈语</w:t>
            </w:r>
          </w:p>
        </w:tc>
      </w:tr>
      <w:tr w14:paraId="7658B9E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111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17E3BB79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BA8F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开办资金</w:t>
            </w:r>
          </w:p>
        </w:tc>
        <w:tc>
          <w:tcPr>
            <w:tcW w:w="536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4F8FF20F">
            <w:pPr>
              <w:spacing w:line="320" w:lineRule="exact"/>
              <w:jc w:val="left"/>
              <w:rPr>
                <w:rFonts w:hint="default" w:ascii="Times New Roman" w:hAnsi="Times New Roman" w:eastAsia="楷体_GB2312" w:cs="楷体_GB2312"/>
                <w:kern w:val="2"/>
                <w:sz w:val="28"/>
                <w:szCs w:val="28"/>
              </w:rPr>
            </w:pPr>
            <w:r>
              <w:rPr>
                <w:rStyle w:val="24"/>
                <w:rFonts w:hint="default" w:ascii="Times New Roman" w:hAnsi="Times New Roman" w:eastAsia="楷体_GB2312" w:cs="Times New Roman"/>
                <w:sz w:val="28"/>
                <w:szCs w:val="28"/>
              </w:rPr>
              <w:t>3</w:t>
            </w:r>
            <w:r>
              <w:rPr>
                <w:rStyle w:val="24"/>
                <w:rFonts w:hint="default" w:ascii="楷体_GB2312" w:hAnsi="Times New Roman" w:eastAsia="楷体_GB2312" w:cs="楷体_GB2312"/>
                <w:sz w:val="28"/>
                <w:szCs w:val="28"/>
              </w:rPr>
              <w:t>万元</w:t>
            </w:r>
          </w:p>
        </w:tc>
      </w:tr>
      <w:tr w14:paraId="3553F7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111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07501DA6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A89D2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经费来源</w:t>
            </w:r>
          </w:p>
        </w:tc>
        <w:tc>
          <w:tcPr>
            <w:tcW w:w="536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2D710848">
            <w:pPr>
              <w:spacing w:line="320" w:lineRule="exact"/>
              <w:jc w:val="left"/>
              <w:rPr>
                <w:rFonts w:hint="default" w:ascii="Times New Roman" w:hAnsi="Times New Roman" w:eastAsia="楷体_GB2312" w:cs="楷体_GB2312"/>
                <w:kern w:val="2"/>
                <w:sz w:val="28"/>
                <w:szCs w:val="28"/>
              </w:rPr>
            </w:pPr>
            <w:r>
              <w:rPr>
                <w:rStyle w:val="24"/>
                <w:rFonts w:hint="default" w:ascii="楷体_GB2312" w:hAnsi="Times New Roman" w:eastAsia="楷体_GB2312" w:cs="楷体_GB2312"/>
                <w:sz w:val="28"/>
                <w:szCs w:val="28"/>
              </w:rPr>
              <w:t>财政补助</w:t>
            </w:r>
          </w:p>
        </w:tc>
      </w:tr>
      <w:tr w14:paraId="15E53D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111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166239A5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F37F6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举办单位</w:t>
            </w:r>
          </w:p>
        </w:tc>
        <w:tc>
          <w:tcPr>
            <w:tcW w:w="536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44C87CB6">
            <w:pPr>
              <w:spacing w:line="320" w:lineRule="exact"/>
              <w:jc w:val="left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Style w:val="24"/>
                <w:rFonts w:hint="default" w:ascii="楷体_GB2312" w:hAnsi="Times New Roman" w:eastAsia="楷体_GB2312" w:cs="楷体_GB2312"/>
                <w:sz w:val="28"/>
                <w:szCs w:val="28"/>
              </w:rPr>
              <w:t>重庆市大渡口区人民政府春晖路街道办事处</w:t>
            </w:r>
          </w:p>
        </w:tc>
      </w:tr>
      <w:tr w14:paraId="21B8CB4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2111" w:type="dxa"/>
            <w:vMerge w:val="restart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6E67D9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资产</w:t>
            </w:r>
          </w:p>
          <w:p w14:paraId="40F4694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损益</w:t>
            </w:r>
          </w:p>
          <w:p w14:paraId="1265635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情况</w:t>
            </w:r>
          </w:p>
        </w:tc>
        <w:tc>
          <w:tcPr>
            <w:tcW w:w="764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4CA2B73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净资产合计（所有者权益合计）</w:t>
            </w:r>
          </w:p>
        </w:tc>
      </w:tr>
      <w:tr w14:paraId="0EE516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2111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7697B1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BBE86D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年初数（万元）</w:t>
            </w:r>
          </w:p>
        </w:tc>
        <w:tc>
          <w:tcPr>
            <w:tcW w:w="38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7C207743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年末数（万元）</w:t>
            </w:r>
          </w:p>
        </w:tc>
      </w:tr>
      <w:tr w14:paraId="47081AE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2111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2B013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A7CD2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Times New Roman"/>
                <w:kern w:val="2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38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24929315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Times New Roman"/>
                <w:kern w:val="2"/>
                <w:sz w:val="24"/>
                <w:szCs w:val="24"/>
                <w:lang w:val="en-US" w:eastAsia="zh-CN"/>
              </w:rPr>
              <w:t>0</w:t>
            </w:r>
          </w:p>
        </w:tc>
      </w:tr>
      <w:tr w14:paraId="70A722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2111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73D2D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网上名称</w:t>
            </w:r>
          </w:p>
        </w:tc>
        <w:tc>
          <w:tcPr>
            <w:tcW w:w="37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AFECEF">
            <w:pPr>
              <w:spacing w:line="320" w:lineRule="exact"/>
              <w:jc w:val="center"/>
              <w:rPr>
                <w:rStyle w:val="24"/>
                <w:rFonts w:hint="eastAsia" w:ascii="楷体_GB2312" w:hAnsi="Times New Roman" w:eastAsia="楷体_GB2312" w:cs="楷体_GB2312"/>
                <w:sz w:val="28"/>
                <w:szCs w:val="28"/>
                <w:lang w:eastAsia="zh-CN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sz w:val="32"/>
                <w:szCs w:val="32"/>
              </w:rPr>
              <w:t>重庆市大渡口区春晖路街道便民服务中心（重庆市大渡口区春晖路街道退役军人服务站）</w:t>
            </w:r>
          </w:p>
        </w:tc>
        <w:tc>
          <w:tcPr>
            <w:tcW w:w="19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8CDB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从业人数</w:t>
            </w:r>
          </w:p>
        </w:tc>
        <w:tc>
          <w:tcPr>
            <w:tcW w:w="19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24102D8A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</w:tr>
      <w:tr w14:paraId="10EFD3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5" w:hRule="atLeast"/>
          <w:jc w:val="center"/>
        </w:trPr>
        <w:tc>
          <w:tcPr>
            <w:tcW w:w="2111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 w14:paraId="7FB669F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对《条</w:t>
            </w:r>
          </w:p>
          <w:p w14:paraId="6A726B6D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例》和</w:t>
            </w:r>
          </w:p>
          <w:p w14:paraId="0464B946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实施细</w:t>
            </w:r>
          </w:p>
          <w:p w14:paraId="7CB273C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则有关</w:t>
            </w:r>
          </w:p>
          <w:p w14:paraId="0D5BAF9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变更登</w:t>
            </w:r>
          </w:p>
          <w:p w14:paraId="192AC9F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记规定</w:t>
            </w:r>
          </w:p>
          <w:p w14:paraId="2B60A20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的执行</w:t>
            </w:r>
          </w:p>
          <w:p w14:paraId="763DAC3C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情</w:t>
            </w:r>
            <w:r>
              <w:rPr>
                <w:rStyle w:val="30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况</w:t>
            </w:r>
          </w:p>
        </w:tc>
        <w:tc>
          <w:tcPr>
            <w:tcW w:w="7648" w:type="dxa"/>
            <w:gridSpan w:val="4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  <w:shd w:val="clear" w:color="auto" w:fill="auto"/>
            <w:vAlign w:val="top"/>
          </w:tcPr>
          <w:p w14:paraId="7874B647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宋体" w:cs="Times New Roman"/>
                <w:kern w:val="2"/>
                <w:sz w:val="24"/>
                <w:szCs w:val="24"/>
                <w:lang w:eastAsia="zh-CN"/>
              </w:rPr>
              <w:t>无</w:t>
            </w:r>
          </w:p>
        </w:tc>
      </w:tr>
      <w:tr w14:paraId="562836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0" w:hRule="atLeast"/>
          <w:jc w:val="center"/>
        </w:trPr>
        <w:tc>
          <w:tcPr>
            <w:tcW w:w="211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 w14:paraId="41EADB6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开</w:t>
            </w:r>
          </w:p>
          <w:p w14:paraId="76A05AFD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展</w:t>
            </w:r>
          </w:p>
          <w:p w14:paraId="77EC9A08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业</w:t>
            </w:r>
          </w:p>
          <w:p w14:paraId="1C7B3F2F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务</w:t>
            </w:r>
          </w:p>
          <w:p w14:paraId="5470AE2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活</w:t>
            </w:r>
          </w:p>
          <w:p w14:paraId="49998B58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动</w:t>
            </w:r>
          </w:p>
          <w:p w14:paraId="61AF375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情</w:t>
            </w:r>
          </w:p>
          <w:p w14:paraId="4569716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况</w:t>
            </w:r>
          </w:p>
        </w:tc>
        <w:tc>
          <w:tcPr>
            <w:tcW w:w="7648" w:type="dxa"/>
            <w:gridSpan w:val="4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shd w:val="clear" w:color="auto" w:fill="auto"/>
            <w:vAlign w:val="top"/>
          </w:tcPr>
          <w:p w14:paraId="7ABC41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right="0" w:rightChars="0" w:firstLine="480" w:firstLineChars="200"/>
              <w:textAlignment w:val="auto"/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2025年，围绕退役军人服务、武装、便民服务、政务服务等重点领域，扎实推进各项工作，取得显著成效。</w:t>
            </w:r>
          </w:p>
          <w:p w14:paraId="79353E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right="0" w:rightChars="0" w:firstLine="480" w:firstLineChars="200"/>
              <w:textAlignment w:val="auto"/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退役军人工作</w:t>
            </w:r>
          </w:p>
          <w:p w14:paraId="357DF0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right="0" w:rightChars="0" w:firstLine="480" w:firstLineChars="200"/>
              <w:textAlignment w:val="auto"/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服务基础持续夯实。截至2025年11月，登记备案退役军人3194名。优抚政策精准落实。重点优抚对象48名，全年新增病故军人遗属1人、两参人员1人，核减地方烈属1人、带病回乡军人1人</w:t>
            </w:r>
            <w:r>
              <w:rPr>
                <w:rStyle w:val="24"/>
                <w:rFonts w:hint="eastAsia" w:ascii="楷体_GB2312"/>
                <w:kern w:val="2"/>
                <w:sz w:val="24"/>
                <w:szCs w:val="24"/>
                <w:lang w:val="en-US" w:eastAsia="zh-CN" w:bidi="ar"/>
              </w:rPr>
              <w:t>。</w:t>
            </w: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优待证办理高效推进。 3009人通过审核，通过率94%以上。拥军氛围日益浓厚。 为15户立功受奖家庭送喜报，组织1500余人参与双拥活动。</w:t>
            </w:r>
          </w:p>
          <w:p w14:paraId="435C5F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480" w:firstLineChars="200"/>
              <w:textAlignment w:val="auto"/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武装工作</w:t>
            </w:r>
          </w:p>
          <w:p w14:paraId="4BB5A1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Chars="0" w:right="0" w:rightChars="0" w:firstLine="480" w:firstLineChars="200"/>
              <w:textAlignment w:val="auto"/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民兵队伍不断优化。 编实5支队伍共110人，预建党组织5个</w:t>
            </w:r>
            <w:r>
              <w:rPr>
                <w:rStyle w:val="24"/>
                <w:rFonts w:hint="eastAsia" w:ascii="楷体_GB2312"/>
                <w:kern w:val="2"/>
                <w:sz w:val="24"/>
                <w:szCs w:val="24"/>
                <w:lang w:val="en-US" w:eastAsia="zh-CN" w:bidi="ar"/>
              </w:rPr>
              <w:t>，</w:t>
            </w: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签订战备物资协议5份。征兵任务圆满完成。全面完成年度征集任务，兵役登记与网报任务全部落实。训练成效逐步显现。部分队伍点验率达80%以上，应急连拉动点验率达100%。</w:t>
            </w:r>
          </w:p>
          <w:p w14:paraId="6088B9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480" w:firstLineChars="200"/>
              <w:textAlignment w:val="auto"/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便民服务中心工作</w:t>
            </w:r>
          </w:p>
          <w:p w14:paraId="25AD63FE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right="0" w:rightChars="0" w:firstLine="480" w:firstLineChars="200"/>
              <w:textAlignment w:val="auto"/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楷体_GB2312"/>
                <w:kern w:val="2"/>
                <w:sz w:val="24"/>
                <w:szCs w:val="24"/>
                <w:lang w:val="en-US" w:eastAsia="zh-CN" w:bidi="ar"/>
              </w:rPr>
              <w:t>一是</w:t>
            </w: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就业帮扶精准有力。 建立重点人员帮扶台账664人、高校毕</w:t>
            </w:r>
            <w:r>
              <w:rPr>
                <w:rStyle w:val="24"/>
                <w:rFonts w:hint="eastAsia" w:ascii="楷体_GB2312"/>
                <w:kern w:val="2"/>
                <w:sz w:val="24"/>
                <w:szCs w:val="24"/>
                <w:lang w:val="en-US" w:eastAsia="zh-CN" w:bidi="ar"/>
              </w:rPr>
              <w:t>业</w:t>
            </w: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生台账66人，收集用工岗位2000余个。线上发布招聘信息216条，组织2500余人参加线下招聘会18场，成功介绍就业542人；新增就业2500人。开展职业技能培训20场、246人参加；发放创业担保贴息贷款590万元。发放灵活就业社保补贴85.55万元（169人）；完成失业登记828人、失业保险金申领808人；落实国企“双解”及分流人员补贴24人次。</w:t>
            </w:r>
          </w:p>
          <w:p w14:paraId="7FA52169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right="0" w:rightChars="0" w:firstLine="480" w:firstLineChars="200"/>
              <w:textAlignment w:val="auto"/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楷体_GB2312"/>
                <w:kern w:val="2"/>
                <w:sz w:val="24"/>
                <w:szCs w:val="24"/>
                <w:lang w:val="en-US" w:eastAsia="zh-CN" w:bidi="ar"/>
              </w:rPr>
              <w:t>二是</w:t>
            </w: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养老保障筑牢底线。办理养老待遇资格认证4612人；受理职工/居民养老保险退休154人</w:t>
            </w:r>
            <w:r>
              <w:rPr>
                <w:rStyle w:val="24"/>
                <w:rFonts w:hint="eastAsia" w:ascii="楷体_GB2312"/>
                <w:kern w:val="2"/>
                <w:sz w:val="24"/>
                <w:szCs w:val="24"/>
                <w:lang w:val="en-US" w:eastAsia="zh-CN" w:bidi="ar"/>
              </w:rPr>
              <w:t>；</w:t>
            </w: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为67名低保及重度残疾人员办理养老保险零申报；办理灵活就业人员职工养老保险新参保、续保313人，城乡居民养老保险新参保40人。</w:t>
            </w:r>
          </w:p>
          <w:p w14:paraId="71AECB80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right="0" w:rightChars="0" w:firstLine="480" w:firstLineChars="200"/>
              <w:textAlignment w:val="auto"/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楷体_GB2312"/>
                <w:kern w:val="2"/>
                <w:sz w:val="24"/>
                <w:szCs w:val="24"/>
                <w:lang w:val="en-US" w:eastAsia="zh-CN" w:bidi="ar"/>
              </w:rPr>
              <w:t>三是</w:t>
            </w: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医保参保广泛覆盖</w:t>
            </w:r>
            <w:r>
              <w:rPr>
                <w:rStyle w:val="24"/>
                <w:rFonts w:hint="eastAsia" w:ascii="楷体_GB2312"/>
                <w:kern w:val="2"/>
                <w:sz w:val="24"/>
                <w:szCs w:val="24"/>
                <w:lang w:val="en-US" w:eastAsia="zh-CN" w:bidi="ar"/>
              </w:rPr>
              <w:t>。</w:t>
            </w: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以个人身份参加职工医保138人</w:t>
            </w:r>
            <w:r>
              <w:rPr>
                <w:rStyle w:val="24"/>
                <w:rFonts w:hint="eastAsia" w:ascii="楷体_GB2312"/>
                <w:kern w:val="2"/>
                <w:sz w:val="24"/>
                <w:szCs w:val="24"/>
                <w:lang w:val="en-US" w:eastAsia="zh-CN" w:bidi="ar"/>
              </w:rPr>
              <w:t>，</w:t>
            </w: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居民医保参保35634人。</w:t>
            </w:r>
          </w:p>
          <w:p w14:paraId="254BE790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right="0" w:rightChars="0" w:firstLine="480" w:firstLineChars="200"/>
              <w:textAlignment w:val="auto"/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楷体_GB2312"/>
                <w:kern w:val="2"/>
                <w:sz w:val="24"/>
                <w:szCs w:val="24"/>
                <w:lang w:val="en-US" w:eastAsia="zh-CN" w:bidi="ar"/>
              </w:rPr>
              <w:t>四是</w:t>
            </w: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欠薪治理成效显著</w:t>
            </w:r>
            <w:r>
              <w:rPr>
                <w:rStyle w:val="24"/>
                <w:rFonts w:hint="eastAsia" w:ascii="楷体_GB2312"/>
                <w:kern w:val="2"/>
                <w:sz w:val="24"/>
                <w:szCs w:val="24"/>
                <w:lang w:val="en-US" w:eastAsia="zh-CN" w:bidi="ar"/>
              </w:rPr>
              <w:t>、</w:t>
            </w: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排查企业440家、工地48个次</w:t>
            </w:r>
            <w:r>
              <w:rPr>
                <w:rStyle w:val="24"/>
                <w:rFonts w:hint="eastAsia" w:ascii="楷体_GB2312"/>
                <w:kern w:val="2"/>
                <w:sz w:val="24"/>
                <w:szCs w:val="24"/>
                <w:lang w:val="en-US" w:eastAsia="zh-CN" w:bidi="ar"/>
              </w:rPr>
              <w:t>，</w:t>
            </w: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整改率100%；开展专项检查15次，覆盖企业560家；处置欠薪投诉案件113起，全部妥善解决。</w:t>
            </w:r>
          </w:p>
          <w:p w14:paraId="49003E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right="0" w:rightChars="0" w:firstLine="480" w:firstLineChars="200"/>
              <w:textAlignment w:val="auto"/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政务服务效能</w:t>
            </w:r>
          </w:p>
          <w:p w14:paraId="0E0D53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Chars="0" w:right="0" w:rightChars="0" w:firstLine="480" w:firstLineChars="200"/>
              <w:textAlignment w:val="auto"/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政务服务提质增效。全年办件量28624件，全程网办522件；“高效办成一件事”办理120件；为特殊群体提供上门帮办、代办服务。“民呼我为”高效办理。受理工单2045件，受理办结1303件</w:t>
            </w:r>
            <w:r>
              <w:rPr>
                <w:rStyle w:val="24"/>
                <w:rFonts w:hint="eastAsia" w:ascii="楷体_GB2312"/>
                <w:kern w:val="2"/>
                <w:sz w:val="24"/>
                <w:szCs w:val="24"/>
                <w:lang w:val="en-US" w:eastAsia="zh-CN" w:bidi="ar"/>
              </w:rPr>
              <w:t>，</w:t>
            </w:r>
            <w:r>
              <w:rPr>
                <w:rStyle w:val="24"/>
                <w:rFonts w:hint="default" w:ascii="楷体_GB2312" w:hAnsi="Times New Roman"/>
                <w:kern w:val="2"/>
                <w:sz w:val="24"/>
                <w:szCs w:val="24"/>
                <w:lang w:val="en-US" w:eastAsia="zh-CN" w:bidi="ar"/>
              </w:rPr>
              <w:t>综合满意度96.25%。</w:t>
            </w:r>
          </w:p>
          <w:p w14:paraId="399AF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ind w:firstLine="420" w:firstLineChars="200"/>
              <w:jc w:val="left"/>
              <w:textAlignment w:val="auto"/>
            </w:pPr>
          </w:p>
          <w:p w14:paraId="7A773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textAlignment w:val="auto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eastAsia="zh-CN"/>
              </w:rPr>
            </w:pPr>
          </w:p>
        </w:tc>
      </w:tr>
      <w:tr w14:paraId="0A6E89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3" w:hRule="atLeast"/>
          <w:jc w:val="center"/>
        </w:trPr>
        <w:tc>
          <w:tcPr>
            <w:tcW w:w="2111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5F52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相关资质</w:t>
            </w:r>
          </w:p>
          <w:p w14:paraId="37CDE79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认可或执</w:t>
            </w:r>
          </w:p>
          <w:p w14:paraId="1BB06C0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业许可证</w:t>
            </w:r>
          </w:p>
          <w:p w14:paraId="3887DDA8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明文件及</w:t>
            </w:r>
          </w:p>
          <w:p w14:paraId="4EE0AA66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有效期</w:t>
            </w:r>
          </w:p>
        </w:tc>
        <w:tc>
          <w:tcPr>
            <w:tcW w:w="764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top"/>
          </w:tcPr>
          <w:p w14:paraId="6D002030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Style w:val="24"/>
                <w:rFonts w:hint="default" w:ascii="楷体_GB2312" w:hAnsi="Times New Roman" w:eastAsia="楷体_GB2312" w:cs="楷体_GB2312"/>
                <w:sz w:val="28"/>
                <w:szCs w:val="28"/>
              </w:rPr>
              <w:t>有效期</w:t>
            </w:r>
            <w:r>
              <w:rPr>
                <w:rStyle w:val="24"/>
                <w:rFonts w:hint="eastAsia" w:ascii="楷体_GB2312" w:eastAsia="楷体_GB2312" w:cs="楷体_GB2312"/>
                <w:sz w:val="28"/>
                <w:szCs w:val="28"/>
                <w:lang w:eastAsia="zh-CN"/>
              </w:rPr>
              <w:t>自</w:t>
            </w:r>
            <w:r>
              <w:rPr>
                <w:rStyle w:val="24"/>
                <w:rFonts w:hint="eastAsia" w:ascii="楷体_GB2312" w:eastAsia="楷体_GB2312" w:cs="楷体_GB2312"/>
                <w:sz w:val="28"/>
                <w:szCs w:val="28"/>
                <w:lang w:val="en-US" w:eastAsia="zh-CN"/>
              </w:rPr>
              <w:t>2026年3月30日</w:t>
            </w:r>
            <w:r>
              <w:rPr>
                <w:rStyle w:val="24"/>
                <w:rFonts w:hint="default" w:ascii="楷体_GB2312" w:hAnsi="Times New Roman" w:eastAsia="楷体_GB2312" w:cs="楷体_GB2312"/>
                <w:sz w:val="28"/>
                <w:szCs w:val="28"/>
              </w:rPr>
              <w:t>至</w:t>
            </w:r>
            <w:r>
              <w:rPr>
                <w:rStyle w:val="24"/>
                <w:rFonts w:hint="eastAsia" w:ascii="楷体_GB2312" w:eastAsia="楷体_GB2312" w:cs="楷体_GB2312"/>
                <w:sz w:val="28"/>
                <w:szCs w:val="28"/>
                <w:lang w:val="en-US" w:eastAsia="zh-CN"/>
              </w:rPr>
              <w:t>2031</w:t>
            </w:r>
            <w:r>
              <w:rPr>
                <w:rStyle w:val="24"/>
                <w:rFonts w:hint="default" w:ascii="楷体_GB2312" w:hAnsi="Times New Roman" w:eastAsia="楷体_GB2312" w:cs="楷体_GB2312"/>
                <w:sz w:val="28"/>
                <w:szCs w:val="28"/>
              </w:rPr>
              <w:t>年</w:t>
            </w:r>
            <w:r>
              <w:rPr>
                <w:rStyle w:val="24"/>
                <w:rFonts w:hint="eastAsia" w:ascii="楷体_GB2312" w:eastAsia="楷体_GB2312" w:cs="楷体_GB2312"/>
                <w:sz w:val="28"/>
                <w:szCs w:val="28"/>
                <w:lang w:val="en-US" w:eastAsia="zh-CN"/>
              </w:rPr>
              <w:t>3</w:t>
            </w:r>
            <w:r>
              <w:rPr>
                <w:rStyle w:val="24"/>
                <w:rFonts w:hint="default" w:ascii="楷体_GB2312" w:hAnsi="Times New Roman" w:eastAsia="楷体_GB2312" w:cs="楷体_GB2312"/>
                <w:sz w:val="28"/>
                <w:szCs w:val="28"/>
              </w:rPr>
              <w:t>月</w:t>
            </w:r>
            <w:r>
              <w:rPr>
                <w:rStyle w:val="24"/>
                <w:rFonts w:hint="eastAsia" w:ascii="楷体_GB2312" w:eastAsia="楷体_GB2312" w:cs="楷体_GB2312"/>
                <w:sz w:val="28"/>
                <w:szCs w:val="28"/>
                <w:lang w:val="en-US" w:eastAsia="zh-CN"/>
              </w:rPr>
              <w:t>29</w:t>
            </w:r>
            <w:r>
              <w:rPr>
                <w:rStyle w:val="24"/>
                <w:rFonts w:hint="default" w:ascii="楷体_GB2312" w:hAnsi="Times New Roman" w:eastAsia="楷体_GB2312" w:cs="楷体_GB2312"/>
                <w:sz w:val="28"/>
                <w:szCs w:val="28"/>
              </w:rPr>
              <w:t>日</w:t>
            </w:r>
          </w:p>
        </w:tc>
      </w:tr>
      <w:tr w14:paraId="4AA0C78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9" w:hRule="atLeast"/>
          <w:jc w:val="center"/>
        </w:trPr>
        <w:tc>
          <w:tcPr>
            <w:tcW w:w="2111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45B723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绩</w:t>
            </w:r>
            <w:r>
              <w:rPr>
                <w:rStyle w:val="30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效</w:t>
            </w:r>
            <w:r>
              <w:rPr>
                <w:rStyle w:val="30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和</w:t>
            </w:r>
          </w:p>
          <w:p w14:paraId="7609E03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受奖惩及</w:t>
            </w:r>
          </w:p>
          <w:p w14:paraId="7CB288B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诉讼投诉</w:t>
            </w:r>
          </w:p>
          <w:p w14:paraId="2CFE6C1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情</w:t>
            </w:r>
            <w:r>
              <w:rPr>
                <w:rStyle w:val="30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况</w:t>
            </w:r>
          </w:p>
        </w:tc>
        <w:tc>
          <w:tcPr>
            <w:tcW w:w="764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top"/>
          </w:tcPr>
          <w:p w14:paraId="024F0FFA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宋体" w:cs="Times New Roman"/>
                <w:kern w:val="2"/>
                <w:sz w:val="24"/>
                <w:szCs w:val="24"/>
                <w:lang w:eastAsia="zh-CN"/>
              </w:rPr>
              <w:t>无</w:t>
            </w:r>
          </w:p>
        </w:tc>
      </w:tr>
      <w:tr w14:paraId="55F479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3" w:hRule="atLeast"/>
          <w:jc w:val="center"/>
        </w:trPr>
        <w:tc>
          <w:tcPr>
            <w:tcW w:w="2111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2051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接受捐赠</w:t>
            </w:r>
          </w:p>
          <w:p w14:paraId="32F70953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资助及其</w:t>
            </w:r>
          </w:p>
          <w:p w14:paraId="5A63B309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30"/>
                <w:rFonts w:hint="default" w:ascii="楷体_GB2312" w:hAnsi="Times New Roman" w:eastAsia="楷体_GB2312" w:cs="楷体_GB2312"/>
                <w:b/>
                <w:bCs/>
                <w:sz w:val="32"/>
                <w:szCs w:val="32"/>
              </w:rPr>
              <w:t>使用情况</w:t>
            </w:r>
          </w:p>
        </w:tc>
        <w:tc>
          <w:tcPr>
            <w:tcW w:w="764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top"/>
          </w:tcPr>
          <w:p w14:paraId="1D7DBD06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宋体" w:cs="Times New Roman"/>
                <w:kern w:val="2"/>
                <w:sz w:val="24"/>
                <w:szCs w:val="24"/>
                <w:lang w:eastAsia="zh-CN"/>
              </w:rPr>
              <w:t>无</w:t>
            </w:r>
          </w:p>
        </w:tc>
      </w:tr>
    </w:tbl>
    <w:p w14:paraId="11AF949E">
      <w:pPr>
        <w:jc w:val="left"/>
        <w:rPr>
          <w:rFonts w:hint="default" w:ascii="楷体_GB2312" w:hAnsi="Times New Roman" w:eastAsia="楷体_GB2312" w:cs="楷体_GB2312"/>
          <w:b/>
          <w:bCs/>
          <w:kern w:val="2"/>
          <w:sz w:val="18"/>
          <w:szCs w:val="18"/>
        </w:rPr>
      </w:pPr>
      <w:bookmarkStart w:id="0" w:name="_GoBack"/>
      <w:bookmarkEnd w:id="0"/>
      <w:r>
        <w:rPr>
          <w:rFonts w:hint="default" w:ascii="Times New Roman" w:hAnsi="Times New Roman" w:eastAsia="楷体_GB2312" w:cs="Times New Roman"/>
          <w:b/>
          <w:bCs/>
          <w:kern w:val="2"/>
          <w:sz w:val="18"/>
          <w:szCs w:val="18"/>
        </w:rPr>
        <w:t xml:space="preserve"> </w:t>
      </w:r>
    </w:p>
    <w:sectPr>
      <w:pgSz w:w="11906" w:h="16838"/>
      <w:pgMar w:top="1440" w:right="1135" w:bottom="1440" w:left="1135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E02FE"/>
    <w:multiLevelType w:val="singleLevel"/>
    <w:tmpl w:val="FFFE02F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7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balanceSingleByteDoubleByteWidth/>
    <w:doNotExpandShiftReturn/>
    <w:adjustLineHeightInTable/>
    <w:doNotBreakWrappedTables/>
    <w:doNotWrapTextWithPunct/>
    <w:doNotUseEastAsianBreakRules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3E2A1D"/>
    <w:rsid w:val="376BD299"/>
    <w:rsid w:val="4FFD949E"/>
    <w:rsid w:val="759305D2"/>
    <w:rsid w:val="79BB338A"/>
    <w:rsid w:val="7B9FD0E2"/>
    <w:rsid w:val="7CD7F6A7"/>
    <w:rsid w:val="7D777511"/>
    <w:rsid w:val="7ECABF5B"/>
    <w:rsid w:val="7FCF8A2E"/>
    <w:rsid w:val="D3F19572"/>
    <w:rsid w:val="DBDB95BB"/>
    <w:rsid w:val="DBFF8E41"/>
    <w:rsid w:val="DFF9E9B4"/>
    <w:rsid w:val="EB5EB2FE"/>
    <w:rsid w:val="EFBB35BC"/>
    <w:rsid w:val="FDBFF621"/>
    <w:rsid w:val="FFFF14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99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3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6">
    <w:name w:val="heading 4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7">
    <w:name w:val="heading 5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8">
    <w:name w:val="heading 6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2">
    <w:name w:val="Default Paragraph Font"/>
    <w:semiHidden/>
    <w:unhideWhenUsed/>
    <w:qFormat/>
    <w:uiPriority w:val="99"/>
  </w:style>
  <w:style w:type="table" w:default="1" w:styleId="11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594" w:lineRule="exact"/>
      <w:ind w:firstLine="200" w:firstLineChars="200"/>
    </w:pPr>
    <w:rPr>
      <w:rFonts w:eastAsia="方正仿宋_GBK"/>
      <w:sz w:val="32"/>
    </w:rPr>
  </w:style>
  <w:style w:type="paragraph" w:styleId="9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0">
    <w:name w:val="Normal (Web)"/>
    <w:basedOn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styleId="13">
    <w:name w:val="Strong"/>
    <w:basedOn w:val="12"/>
    <w:qFormat/>
    <w:uiPriority w:val="0"/>
    <w:rPr>
      <w:b/>
    </w:rPr>
  </w:style>
  <w:style w:type="paragraph" w:customStyle="1" w:styleId="14">
    <w:name w:val="font6"/>
    <w:basedOn w:val="1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default" w:ascii="Times New Roman" w:hAnsi="宋体" w:eastAsia="楷体_GB2312" w:cs="楷体_GB2312"/>
      <w:kern w:val="0"/>
      <w:sz w:val="32"/>
      <w:szCs w:val="32"/>
      <w:lang w:val="en-US" w:eastAsia="zh-CN" w:bidi="ar"/>
    </w:rPr>
  </w:style>
  <w:style w:type="character" w:customStyle="1" w:styleId="15">
    <w:name w:val="15"/>
    <w:basedOn w:val="12"/>
    <w:qFormat/>
    <w:uiPriority w:val="0"/>
    <w:rPr>
      <w:rFonts w:hint="default" w:ascii="Times New Roman" w:eastAsia="楷体_GB2312" w:cs="楷体_GB2312"/>
      <w:sz w:val="30"/>
      <w:szCs w:val="30"/>
    </w:rPr>
  </w:style>
  <w:style w:type="character" w:customStyle="1" w:styleId="16">
    <w:name w:val="17"/>
    <w:basedOn w:val="12"/>
    <w:qFormat/>
    <w:uiPriority w:val="0"/>
    <w:rPr>
      <w:rFonts w:hint="eastAsia" w:ascii="Times New Roman" w:hAnsi="宋体" w:eastAsia="黑体" w:cs="黑体"/>
      <w:spacing w:val="40"/>
      <w:sz w:val="52"/>
      <w:szCs w:val="52"/>
    </w:rPr>
  </w:style>
  <w:style w:type="character" w:customStyle="1" w:styleId="17">
    <w:name w:val="19"/>
    <w:basedOn w:val="12"/>
    <w:qFormat/>
    <w:uiPriority w:val="0"/>
    <w:rPr>
      <w:rFonts w:hint="default" w:ascii="Times New Roman" w:hAnsi="Times New Roman" w:cs="Times New Roman"/>
    </w:rPr>
  </w:style>
  <w:style w:type="paragraph" w:customStyle="1" w:styleId="18">
    <w:name w:val="font3"/>
    <w:basedOn w:val="1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Times New Roman" w:hAnsi="宋体" w:eastAsia="黑体" w:cs="黑体"/>
      <w:spacing w:val="40"/>
      <w:kern w:val="0"/>
      <w:sz w:val="52"/>
      <w:szCs w:val="52"/>
      <w:lang w:val="en-US" w:eastAsia="zh-CN" w:bidi="ar"/>
    </w:rPr>
  </w:style>
  <w:style w:type="paragraph" w:customStyle="1" w:styleId="19">
    <w:name w:val="font1"/>
    <w:basedOn w:val="1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default" w:ascii="宋体" w:hAnsi="宋体" w:eastAsia="仿宋_GB2312" w:cs="宋体"/>
      <w:kern w:val="0"/>
      <w:sz w:val="30"/>
      <w:szCs w:val="30"/>
      <w:lang w:val="en-US" w:eastAsia="zh-CN" w:bidi="ar"/>
    </w:rPr>
  </w:style>
  <w:style w:type="paragraph" w:customStyle="1" w:styleId="20">
    <w:name w:val="普通(网站) Char"/>
    <w:basedOn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21">
    <w:name w:val="HTML 预设格式 Char"/>
    <w:basedOn w:val="1"/>
    <w:qFormat/>
    <w:uiPriority w:val="0"/>
    <w:pPr>
      <w:keepNext w:val="0"/>
      <w:keepLines w:val="0"/>
      <w:widowControl/>
      <w:suppressLineNumber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22">
    <w:name w:val="font7"/>
    <w:basedOn w:val="1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default" w:ascii="Times New Roman" w:hAnsi="宋体" w:eastAsia="楷体_GB2312" w:cs="楷体_GB2312"/>
      <w:kern w:val="0"/>
      <w:sz w:val="28"/>
      <w:szCs w:val="28"/>
      <w:lang w:val="en-US" w:eastAsia="zh-CN" w:bidi="ar"/>
    </w:rPr>
  </w:style>
  <w:style w:type="paragraph" w:customStyle="1" w:styleId="23">
    <w:name w:val="font4"/>
    <w:basedOn w:val="1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default" w:ascii="宋体" w:hAnsi="宋体" w:eastAsia="楷体_GB2312" w:cs="宋体"/>
      <w:spacing w:val="30"/>
      <w:kern w:val="0"/>
      <w:sz w:val="36"/>
      <w:szCs w:val="36"/>
      <w:lang w:val="en-US" w:eastAsia="zh-CN" w:bidi="ar"/>
    </w:rPr>
  </w:style>
  <w:style w:type="character" w:customStyle="1" w:styleId="24">
    <w:name w:val="20"/>
    <w:basedOn w:val="12"/>
    <w:qFormat/>
    <w:uiPriority w:val="0"/>
    <w:rPr>
      <w:rFonts w:hint="default" w:ascii="Times New Roman" w:eastAsia="楷体_GB2312" w:cs="楷体_GB2312"/>
      <w:sz w:val="28"/>
      <w:szCs w:val="28"/>
    </w:rPr>
  </w:style>
  <w:style w:type="character" w:customStyle="1" w:styleId="25">
    <w:name w:val="10"/>
    <w:basedOn w:val="12"/>
    <w:qFormat/>
    <w:uiPriority w:val="0"/>
    <w:rPr>
      <w:rFonts w:hint="default" w:ascii="Times New Roman" w:hAnsi="Times New Roman" w:cs="Times New Roman"/>
    </w:rPr>
  </w:style>
  <w:style w:type="paragraph" w:customStyle="1" w:styleId="26">
    <w:name w:val="font8"/>
    <w:basedOn w:val="1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default" w:ascii="Times New Roman" w:hAnsi="宋体" w:eastAsia="楷体_GB2312" w:cs="楷体_GB2312"/>
      <w:kern w:val="0"/>
      <w:sz w:val="24"/>
      <w:szCs w:val="24"/>
      <w:lang w:val="en-US" w:eastAsia="zh-CN" w:bidi="ar"/>
    </w:rPr>
  </w:style>
  <w:style w:type="character" w:customStyle="1" w:styleId="27">
    <w:name w:val="21"/>
    <w:basedOn w:val="12"/>
    <w:qFormat/>
    <w:uiPriority w:val="0"/>
    <w:rPr>
      <w:rFonts w:hint="default" w:ascii="Times New Roman" w:hAnsi="Times New Roman" w:eastAsia="仿宋_GB2312" w:cs="Times New Roman"/>
      <w:sz w:val="30"/>
      <w:szCs w:val="30"/>
    </w:rPr>
  </w:style>
  <w:style w:type="paragraph" w:customStyle="1" w:styleId="28">
    <w:name w:val="font2"/>
    <w:basedOn w:val="1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default" w:ascii="Times New Roman" w:hAnsi="宋体" w:eastAsia="楷体_GB2312" w:cs="楷体_GB2312"/>
      <w:kern w:val="0"/>
      <w:sz w:val="30"/>
      <w:szCs w:val="30"/>
      <w:lang w:val="en-US" w:eastAsia="zh-CN" w:bidi="ar"/>
    </w:rPr>
  </w:style>
  <w:style w:type="character" w:customStyle="1" w:styleId="29">
    <w:name w:val="18"/>
    <w:basedOn w:val="12"/>
    <w:qFormat/>
    <w:uiPriority w:val="0"/>
    <w:rPr>
      <w:rFonts w:hint="default" w:ascii="Times New Roman" w:hAnsi="Times New Roman" w:eastAsia="楷体_GB2312" w:cs="Times New Roman"/>
      <w:spacing w:val="30"/>
      <w:sz w:val="36"/>
      <w:szCs w:val="36"/>
    </w:rPr>
  </w:style>
  <w:style w:type="character" w:customStyle="1" w:styleId="30">
    <w:name w:val="16"/>
    <w:basedOn w:val="12"/>
    <w:qFormat/>
    <w:uiPriority w:val="0"/>
    <w:rPr>
      <w:rFonts w:hint="default" w:ascii="Times New Roman" w:eastAsia="楷体_GB2312" w:cs="楷体_GB2312"/>
      <w:sz w:val="32"/>
      <w:szCs w:val="32"/>
    </w:rPr>
  </w:style>
  <w:style w:type="character" w:customStyle="1" w:styleId="31">
    <w:name w:val="22"/>
    <w:basedOn w:val="12"/>
    <w:qFormat/>
    <w:uiPriority w:val="0"/>
    <w:rPr>
      <w:rFonts w:hint="eastAsia" w:ascii="黑体" w:hAnsi="宋体" w:eastAsia="黑体" w:cs="黑体"/>
      <w:sz w:val="36"/>
      <w:szCs w:val="36"/>
    </w:rPr>
  </w:style>
  <w:style w:type="paragraph" w:customStyle="1" w:styleId="32">
    <w:name w:val="p Char"/>
    <w:basedOn w:val="1"/>
    <w:qFormat/>
    <w:uiPriority w:val="0"/>
    <w:pPr>
      <w:widowControl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33">
    <w:name w:val="font5"/>
    <w:basedOn w:val="1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黑体" w:hAnsi="宋体" w:eastAsia="黑体" w:cs="黑体"/>
      <w:kern w:val="0"/>
      <w:sz w:val="36"/>
      <w:szCs w:val="36"/>
      <w:lang w:val="en-US" w:eastAsia="zh-CN" w:bidi="ar"/>
    </w:rPr>
  </w:style>
  <w:style w:type="paragraph" w:styleId="3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1178</Words>
  <Characters>1312</Characters>
  <Lines>1</Lines>
  <Paragraphs>1</Paragraphs>
  <TotalTime>318</TotalTime>
  <ScaleCrop>false</ScaleCrop>
  <LinksUpToDate>false</LinksUpToDate>
  <CharactersWithSpaces>1346</CharactersWithSpaces>
  <Application>WPS Office_12.8.2.21176_F1E327BC-269C-435d-A152-05C5408002CA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2026-04-03T19:05:00Z</dcterms:created>
  <dc:creator>Administrator</dc:creator>
  <cp:lastModifiedBy>user</cp:lastModifiedBy>
  <dcterms:modified xsi:type="dcterms:W3CDTF">2026-04-30T15:58:07Z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eyJoZGlkIjoiZTE0ODFkMjczNzcxZmJiNDkzMzcxODkzYzliMDk3M2YiLCJ1c2VySWQiOiIxNzIyOTk1OTQzIn0=</vt:lpwstr>
  </property>
  <property fmtid="{D5CDD505-2E9C-101B-9397-08002B2CF9AE}" pid="3" name="KSOProductBuildVer">
    <vt:lpwstr>2052-12.8.2.21176</vt:lpwstr>
  </property>
  <property fmtid="{D5CDD505-2E9C-101B-9397-08002B2CF9AE}" pid="4" name="ICV">
    <vt:lpwstr>CA69D620F13334D98F0BF369774F65D4_43</vt:lpwstr>
  </property>
</Properties>
</file>