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after="0" w:line="594" w:lineRule="exact"/>
        <w:jc w:val="center"/>
        <w:rPr>
          <w:rFonts w:ascii="Times New Roman" w:hAnsi="Times New Roman" w:eastAsia="方正小标宋_GBK" w:cs="Times New Roman"/>
          <w:color w:val="000000" w:themeColor="text1"/>
          <w:kern w:val="2"/>
          <w:sz w:val="44"/>
          <w:szCs w:val="44"/>
          <w14:textFill>
            <w14:solidFill>
              <w14:schemeClr w14:val="tx1"/>
            </w14:solidFill>
          </w14:textFill>
        </w:rPr>
      </w:pPr>
      <w:r>
        <w:rPr>
          <w:rFonts w:hint="eastAsia" w:ascii="Times New Roman" w:hAnsi="Times New Roman" w:eastAsia="方正小标宋_GBK" w:cs="Times New Roman"/>
          <w:color w:val="000000" w:themeColor="text1"/>
          <w:kern w:val="2"/>
          <w:sz w:val="44"/>
          <w:szCs w:val="44"/>
          <w:lang w:eastAsia="zh-CN"/>
          <w14:textFill>
            <w14:solidFill>
              <w14:schemeClr w14:val="tx1"/>
            </w14:solidFill>
          </w14:textFill>
        </w:rPr>
        <w:t>关于</w:t>
      </w:r>
      <w:bookmarkStart w:id="4" w:name="_GoBack"/>
      <w:bookmarkEnd w:id="4"/>
      <w:r>
        <w:rPr>
          <w:rFonts w:ascii="Times New Roman" w:hAnsi="Times New Roman" w:eastAsia="方正小标宋_GBK" w:cs="Times New Roman"/>
          <w:color w:val="000000" w:themeColor="text1"/>
          <w:kern w:val="2"/>
          <w:sz w:val="44"/>
          <w:szCs w:val="44"/>
          <w14:textFill>
            <w14:solidFill>
              <w14:schemeClr w14:val="tx1"/>
            </w14:solidFill>
          </w14:textFill>
        </w:rPr>
        <w:t>重庆市大渡口区2023年国民经济和社会</w:t>
      </w:r>
    </w:p>
    <w:p>
      <w:pPr>
        <w:widowControl w:val="0"/>
        <w:spacing w:after="0" w:line="594" w:lineRule="exact"/>
        <w:jc w:val="center"/>
        <w:rPr>
          <w:rFonts w:ascii="Times New Roman" w:hAnsi="Times New Roman" w:eastAsia="方正小标宋_GBK" w:cs="Times New Roman"/>
          <w:color w:val="000000" w:themeColor="text1"/>
          <w:kern w:val="2"/>
          <w:sz w:val="44"/>
          <w:szCs w:val="44"/>
          <w14:textFill>
            <w14:solidFill>
              <w14:schemeClr w14:val="tx1"/>
            </w14:solidFill>
          </w14:textFill>
        </w:rPr>
      </w:pPr>
      <w:r>
        <w:rPr>
          <w:rFonts w:ascii="Times New Roman" w:hAnsi="Times New Roman" w:eastAsia="方正小标宋_GBK" w:cs="Times New Roman"/>
          <w:color w:val="000000" w:themeColor="text1"/>
          <w:kern w:val="2"/>
          <w:sz w:val="44"/>
          <w:szCs w:val="44"/>
          <w14:textFill>
            <w14:solidFill>
              <w14:schemeClr w14:val="tx1"/>
            </w14:solidFill>
          </w14:textFill>
        </w:rPr>
        <w:t>发展计划执行情况及2024年计划草案的报告</w:t>
      </w:r>
    </w:p>
    <w:p>
      <w:pPr>
        <w:widowControl w:val="0"/>
        <w:spacing w:after="0" w:line="594" w:lineRule="exact"/>
        <w:jc w:val="both"/>
        <w:rPr>
          <w:rFonts w:ascii="Times New Roman" w:hAnsi="Times New Roman" w:eastAsia="方正仿宋_GBK" w:cs="Times New Roman"/>
          <w:color w:val="000000" w:themeColor="text1"/>
          <w:kern w:val="2"/>
          <w:sz w:val="32"/>
          <w:szCs w:val="32"/>
          <w14:textFill>
            <w14:solidFill>
              <w14:schemeClr w14:val="tx1"/>
            </w14:solidFill>
          </w14:textFill>
        </w:rPr>
      </w:pPr>
    </w:p>
    <w:p>
      <w:pPr>
        <w:widowControl w:val="0"/>
        <w:spacing w:after="0" w:line="594" w:lineRule="exact"/>
        <w:jc w:val="both"/>
        <w:rPr>
          <w:rFonts w:ascii="Times New Roman" w:hAnsi="Times New Roman" w:eastAsia="方正仿宋_GBK" w:cs="Times New Roman"/>
          <w:color w:val="000000" w:themeColor="text1"/>
          <w:kern w:val="2"/>
          <w:sz w:val="32"/>
          <w:szCs w:val="32"/>
          <w14:textFill>
            <w14:solidFill>
              <w14:schemeClr w14:val="tx1"/>
            </w14:solidFill>
          </w14:textFill>
        </w:rPr>
      </w:pPr>
      <w:r>
        <w:rPr>
          <w:rFonts w:ascii="Times New Roman" w:hAnsi="Times New Roman" w:eastAsia="方正仿宋_GBK" w:cs="Times New Roman"/>
          <w:color w:val="000000" w:themeColor="text1"/>
          <w:kern w:val="2"/>
          <w:sz w:val="32"/>
          <w:szCs w:val="32"/>
          <w14:textFill>
            <w14:solidFill>
              <w14:schemeClr w14:val="tx1"/>
            </w14:solidFill>
          </w14:textFill>
        </w:rPr>
        <w:t>各位代表：</w:t>
      </w:r>
    </w:p>
    <w:p>
      <w:pPr>
        <w:widowControl w:val="0"/>
        <w:spacing w:after="0" w:line="594" w:lineRule="exact"/>
        <w:ind w:firstLine="640" w:firstLineChars="200"/>
        <w:jc w:val="both"/>
        <w:rPr>
          <w:rFonts w:ascii="Times New Roman" w:hAnsi="Times New Roman" w:eastAsia="方正仿宋_GBK" w:cs="Times New Roman"/>
          <w:color w:val="000000" w:themeColor="text1"/>
          <w:kern w:val="2"/>
          <w:sz w:val="32"/>
          <w:szCs w:val="32"/>
          <w14:textFill>
            <w14:solidFill>
              <w14:schemeClr w14:val="tx1"/>
            </w14:solidFill>
          </w14:textFill>
        </w:rPr>
      </w:pPr>
      <w:r>
        <w:rPr>
          <w:rFonts w:ascii="Times New Roman" w:hAnsi="Times New Roman" w:eastAsia="方正仿宋_GBK" w:cs="Times New Roman"/>
          <w:color w:val="000000" w:themeColor="text1"/>
          <w:kern w:val="2"/>
          <w:sz w:val="32"/>
          <w:szCs w:val="32"/>
          <w14:textFill>
            <w14:solidFill>
              <w14:schemeClr w14:val="tx1"/>
            </w14:solidFill>
          </w14:textFill>
        </w:rPr>
        <w:t>受重庆市大渡口区人民政府委托，现将2023年国民经济和社会发展计划执行情况及2024年计划草案的报告提请大会审查，并请各位政协委员提出意见。</w:t>
      </w:r>
    </w:p>
    <w:p>
      <w:pPr>
        <w:widowControl w:val="0"/>
        <w:spacing w:after="0" w:line="594" w:lineRule="exact"/>
        <w:ind w:firstLine="640" w:firstLineChars="200"/>
        <w:jc w:val="both"/>
        <w:rPr>
          <w:rFonts w:ascii="Times New Roman" w:hAnsi="Times New Roman" w:eastAsia="方正黑体_GBK" w:cs="Times New Roman"/>
          <w:color w:val="000000" w:themeColor="text1"/>
          <w:kern w:val="2"/>
          <w:sz w:val="32"/>
          <w:szCs w:val="32"/>
          <w14:textFill>
            <w14:solidFill>
              <w14:schemeClr w14:val="tx1"/>
            </w14:solidFill>
          </w14:textFill>
        </w:rPr>
      </w:pPr>
      <w:r>
        <w:rPr>
          <w:rFonts w:ascii="Times New Roman" w:hAnsi="Times New Roman" w:eastAsia="方正黑体_GBK" w:cs="Times New Roman"/>
          <w:color w:val="000000" w:themeColor="text1"/>
          <w:kern w:val="2"/>
          <w:sz w:val="32"/>
          <w:szCs w:val="32"/>
          <w14:textFill>
            <w14:solidFill>
              <w14:schemeClr w14:val="tx1"/>
            </w14:solidFill>
          </w14:textFill>
        </w:rPr>
        <w:t>一、2023年国民经济和社会发展计划执行情况</w:t>
      </w:r>
    </w:p>
    <w:p>
      <w:pPr>
        <w:widowControl w:val="0"/>
        <w:spacing w:after="0" w:line="594" w:lineRule="exact"/>
        <w:ind w:firstLine="640" w:firstLineChars="200"/>
        <w:jc w:val="both"/>
        <w:rPr>
          <w:rFonts w:ascii="方正仿宋_GBK" w:hAnsi="方正仿宋_GBK" w:eastAsia="方正仿宋_GBK" w:cs="方正仿宋_GBK"/>
          <w:color w:val="000000" w:themeColor="text1"/>
          <w:kern w:val="2"/>
          <w:sz w:val="32"/>
          <w:szCs w:val="32"/>
          <w14:textFill>
            <w14:solidFill>
              <w14:schemeClr w14:val="tx1"/>
            </w14:solidFill>
          </w14:textFill>
        </w:rPr>
      </w:pPr>
      <w:r>
        <w:rPr>
          <w:rFonts w:ascii="Times New Roman" w:hAnsi="Times New Roman" w:eastAsia="方正仿宋_GBK" w:cs="Times New Roman"/>
          <w:color w:val="000000" w:themeColor="text1"/>
          <w:kern w:val="2"/>
          <w:sz w:val="32"/>
          <w14:textFill>
            <w14:solidFill>
              <w14:schemeClr w14:val="tx1"/>
            </w14:solidFill>
          </w14:textFill>
        </w:rPr>
        <w:t>2023年，是全面贯彻党的二十大精神的开局之年，是三年新冠疫情防控转段后经济恢复发展的一年。</w:t>
      </w:r>
      <w:r>
        <w:rPr>
          <w:rFonts w:ascii="Times New Roman" w:hAnsi="Times New Roman" w:eastAsia="方正仿宋_GBK" w:cs="Times New Roman"/>
          <w:color w:val="000000" w:themeColor="text1"/>
          <w:kern w:val="2"/>
          <w:sz w:val="32"/>
          <w:szCs w:val="32"/>
          <w14:textFill>
            <w14:solidFill>
              <w14:schemeClr w14:val="tx1"/>
            </w14:solidFill>
          </w14:textFill>
        </w:rPr>
        <w:t>在区委的正确领导下，在区人大、区政协的监督支持下，全区上下坚持以习近平新时代中国特色社会主义思想为指导，认真贯彻落实党中央、国务院和市委、市政府决策</w:t>
      </w:r>
      <w:r>
        <w:rPr>
          <w:rFonts w:hint="eastAsia" w:ascii="方正仿宋_GBK" w:hAnsi="方正仿宋_GBK" w:eastAsia="方正仿宋_GBK" w:cs="方正仿宋_GBK"/>
          <w:color w:val="000000" w:themeColor="text1"/>
          <w:kern w:val="2"/>
          <w:sz w:val="32"/>
          <w:szCs w:val="32"/>
          <w14:textFill>
            <w14:solidFill>
              <w14:schemeClr w14:val="tx1"/>
            </w14:solidFill>
          </w14:textFill>
        </w:rPr>
        <w:t>部署，坚持稳进增效、除险清患、改革求变、惠民有感工作导向，实施党建统领“八张报表”“八张问题清单”“五项机制”，积极应对经济下行压力，着力稳增长、扩需求、调结构、提信心、防风险，经济恢复稳定、结构持续优化、动能升级加快、改革成效明显、民生保障有力、社会大局稳定，高质量发展态势向上向好，“公园大渡口、多彩艺术湾”深入人心，现代化大渡口建设实现良好开局、迈出坚实步伐。</w:t>
      </w:r>
    </w:p>
    <w:p>
      <w:pPr>
        <w:widowControl w:val="0"/>
        <w:spacing w:after="0" w:line="594" w:lineRule="exact"/>
        <w:ind w:firstLine="640" w:firstLineChars="200"/>
        <w:jc w:val="both"/>
        <w:rPr>
          <w:rFonts w:ascii="Times New Roman" w:hAnsi="Times New Roman" w:eastAsia="方正仿宋_GBK" w:cs="Times New Roman"/>
          <w:color w:val="000000" w:themeColor="text1"/>
          <w14:textFill>
            <w14:solidFill>
              <w14:schemeClr w14:val="tx1"/>
            </w14:solidFill>
          </w14:textFill>
        </w:rPr>
      </w:pPr>
      <w:r>
        <w:rPr>
          <w:rFonts w:ascii="Times New Roman" w:hAnsi="Times New Roman" w:eastAsia="方正楷体_GBK" w:cs="Times New Roman"/>
          <w:color w:val="000000" w:themeColor="text1"/>
          <w:kern w:val="2"/>
          <w:sz w:val="32"/>
          <w:szCs w:val="32"/>
          <w14:textFill>
            <w14:solidFill>
              <w14:schemeClr w14:val="tx1"/>
            </w14:solidFill>
          </w14:textFill>
        </w:rPr>
        <w:t>——全力服务发展大局，重大战略落细落实。</w:t>
      </w:r>
      <w:r>
        <w:rPr>
          <w:rFonts w:ascii="Times New Roman" w:hAnsi="Times New Roman" w:eastAsia="方正仿宋_GBK" w:cs="Times New Roman"/>
          <w:color w:val="000000" w:themeColor="text1"/>
          <w:sz w:val="32"/>
          <w:szCs w:val="32"/>
          <w14:textFill>
            <w14:solidFill>
              <w14:schemeClr w14:val="tx1"/>
            </w14:solidFill>
          </w14:textFill>
        </w:rPr>
        <w:t>深入实施成渝地</w:t>
      </w:r>
      <w:r>
        <w:rPr>
          <w:rFonts w:hint="eastAsia" w:ascii="方正仿宋_GBK" w:hAnsi="方正仿宋_GBK" w:eastAsia="方正仿宋_GBK" w:cs="方正仿宋_GBK"/>
          <w:color w:val="000000" w:themeColor="text1"/>
          <w:sz w:val="32"/>
          <w:szCs w:val="32"/>
          <w14:textFill>
            <w14:solidFill>
              <w14:schemeClr w14:val="tx1"/>
            </w14:solidFill>
          </w14:textFill>
        </w:rPr>
        <w:t>区双城经济圈建设“一号工程”，召开全面融入成渝地区双城经济圈建设工作推进会议，印发实施大渡口区推动成渝地区双城经济圈建设行动方案，打表推进“十项行动”“四张清单”，华韶智算中心、</w:t>
      </w:r>
      <w:r>
        <w:rPr>
          <w:rFonts w:hint="eastAsia" w:ascii="方正仿宋_GBK" w:hAnsi="方正仿宋_GBK" w:eastAsia="方正仿宋_GBK" w:cs="方正仿宋_GBK"/>
          <w:color w:val="000000" w:themeColor="text1"/>
          <w:kern w:val="2"/>
          <w:sz w:val="32"/>
          <w:szCs w:val="32"/>
          <w14:textFill>
            <w14:solidFill>
              <w14:schemeClr w14:val="tx1"/>
            </w14:solidFill>
          </w14:textFill>
        </w:rPr>
        <w:t>萤</w:t>
      </w:r>
      <w:r>
        <w:rPr>
          <w:rFonts w:ascii="Times New Roman" w:hAnsi="Times New Roman" w:eastAsia="方正仿宋_GBK" w:cs="Times New Roman"/>
          <w:color w:val="000000" w:themeColor="text1"/>
          <w:kern w:val="2"/>
          <w:sz w:val="32"/>
          <w:szCs w:val="32"/>
          <w14:textFill>
            <w14:solidFill>
              <w14:schemeClr w14:val="tx1"/>
            </w14:solidFill>
          </w14:textFill>
        </w:rPr>
        <w:t>石生产基地等6个项目</w:t>
      </w:r>
      <w:r>
        <w:rPr>
          <w:rFonts w:ascii="Times New Roman" w:hAnsi="Times New Roman" w:eastAsia="方正仿宋_GBK" w:cs="Times New Roman"/>
          <w:color w:val="000000" w:themeColor="text1"/>
          <w:sz w:val="32"/>
          <w:szCs w:val="32"/>
          <w14:textFill>
            <w14:solidFill>
              <w14:schemeClr w14:val="tx1"/>
            </w14:solidFill>
          </w14:textFill>
        </w:rPr>
        <w:t>纳入市级清单事项及川渝共建项目库。印发</w:t>
      </w:r>
      <w:r>
        <w:rPr>
          <w:rFonts w:hint="eastAsia" w:ascii="Times New Roman" w:hAnsi="Times New Roman" w:eastAsia="方正仿宋_GBK" w:cs="Times New Roman"/>
          <w:color w:val="000000" w:themeColor="text1"/>
          <w:sz w:val="32"/>
          <w:szCs w:val="32"/>
          <w14:textFill>
            <w14:solidFill>
              <w14:schemeClr w14:val="tx1"/>
            </w14:solidFill>
          </w14:textFill>
        </w:rPr>
        <w:t>大渡口</w:t>
      </w:r>
      <w:r>
        <w:rPr>
          <w:rFonts w:ascii="Times New Roman" w:hAnsi="Times New Roman" w:eastAsia="方正仿宋_GBK" w:cs="Times New Roman"/>
          <w:color w:val="000000" w:themeColor="text1"/>
          <w:sz w:val="32"/>
          <w:szCs w:val="32"/>
          <w14:textFill>
            <w14:solidFill>
              <w14:schemeClr w14:val="tx1"/>
            </w14:solidFill>
          </w14:textFill>
        </w:rPr>
        <w:t>区积极融入西部陆海新通道打造内陆开放高地行动方案，全面融</w:t>
      </w:r>
      <w:r>
        <w:rPr>
          <w:rFonts w:hint="eastAsia" w:ascii="方正仿宋_GBK" w:hAnsi="方正仿宋_GBK" w:eastAsia="方正仿宋_GBK" w:cs="方正仿宋_GBK"/>
          <w:color w:val="000000" w:themeColor="text1"/>
          <w:sz w:val="32"/>
          <w:szCs w:val="32"/>
          <w14:textFill>
            <w14:solidFill>
              <w14:schemeClr w14:val="tx1"/>
            </w14:solidFill>
          </w14:textFill>
        </w:rPr>
        <w:t>入共建“一带一路”</w:t>
      </w:r>
      <w:r>
        <w:rPr>
          <w:rFonts w:ascii="Times New Roman" w:hAnsi="Times New Roman" w:eastAsia="方正仿宋_GBK" w:cs="Times New Roman"/>
          <w:color w:val="000000" w:themeColor="text1"/>
          <w:sz w:val="32"/>
          <w:szCs w:val="32"/>
          <w14:textFill>
            <w14:solidFill>
              <w14:schemeClr w14:val="tx1"/>
            </w14:solidFill>
          </w14:textFill>
        </w:rPr>
        <w:t>，全国首个台资企业对接RCEP法律服务中心落地，建桥园区获批重庆自贸区联动创新区。全面推动长江经济带绿色发展，贯彻落实《长江保护法》，出台长江经济带污染治理和生态保护攻坚战行动方案，生态环保</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督察</w:t>
      </w:r>
      <w:r>
        <w:rPr>
          <w:rFonts w:ascii="Times New Roman" w:hAnsi="Times New Roman" w:eastAsia="方正仿宋_GBK" w:cs="Times New Roman"/>
          <w:color w:val="000000" w:themeColor="text1"/>
          <w:sz w:val="32"/>
          <w:szCs w:val="32"/>
          <w14:textFill>
            <w14:solidFill>
              <w14:schemeClr w14:val="tx1"/>
            </w14:solidFill>
          </w14:textFill>
        </w:rPr>
        <w:t>和长江经济带生态环境警示片反馈问题年度整改任务全面完成。</w:t>
      </w:r>
    </w:p>
    <w:p>
      <w:pPr>
        <w:widowControl w:val="0"/>
        <w:spacing w:after="0" w:line="594" w:lineRule="exact"/>
        <w:ind w:firstLine="640" w:firstLineChars="200"/>
        <w:jc w:val="both"/>
        <w:rPr>
          <w:rFonts w:ascii="Times New Roman" w:hAnsi="Times New Roman" w:eastAsia="方正仿宋_GBK" w:cs="Times New Roman"/>
          <w:color w:val="000000" w:themeColor="text1"/>
          <w:kern w:val="2"/>
          <w:sz w:val="32"/>
          <w:szCs w:val="32"/>
          <w14:textFill>
            <w14:solidFill>
              <w14:schemeClr w14:val="tx1"/>
            </w14:solidFill>
          </w14:textFill>
        </w:rPr>
      </w:pPr>
      <w:r>
        <w:rPr>
          <w:rFonts w:ascii="Times New Roman" w:hAnsi="Times New Roman" w:eastAsia="方正楷体_GBK" w:cs="Times New Roman"/>
          <w:color w:val="000000" w:themeColor="text1"/>
          <w:kern w:val="2"/>
          <w:sz w:val="32"/>
          <w:szCs w:val="32"/>
          <w14:textFill>
            <w14:solidFill>
              <w14:schemeClr w14:val="tx1"/>
            </w14:solidFill>
          </w14:textFill>
        </w:rPr>
        <w:t>——全力凝聚工作合力，经济运行企稳向好。</w:t>
      </w:r>
      <w:r>
        <w:rPr>
          <w:rFonts w:ascii="Times New Roman" w:hAnsi="Times New Roman" w:eastAsia="方正仿宋_GBK" w:cs="Times New Roman"/>
          <w:color w:val="000000" w:themeColor="text1"/>
          <w:kern w:val="2"/>
          <w:sz w:val="32"/>
          <w:szCs w:val="32"/>
          <w14:textFill>
            <w14:solidFill>
              <w14:schemeClr w14:val="tx1"/>
            </w14:solidFill>
          </w14:textFill>
        </w:rPr>
        <w:t>狠抓机制建立，出台实施区</w:t>
      </w:r>
      <w:r>
        <w:rPr>
          <w:rFonts w:hint="eastAsia" w:ascii="方正仿宋_GBK" w:hAnsi="方正仿宋_GBK" w:eastAsia="方正仿宋_GBK" w:cs="方正仿宋_GBK"/>
          <w:color w:val="000000" w:themeColor="text1"/>
          <w:kern w:val="2"/>
          <w:sz w:val="32"/>
          <w:szCs w:val="32"/>
          <w14:textFill>
            <w14:solidFill>
              <w14:schemeClr w14:val="tx1"/>
            </w14:solidFill>
          </w14:textFill>
        </w:rPr>
        <w:t>级部门管行业管产业工作机制、镇街服务区域经济高质量发展工作机制，完善全区现代服务业提质发展行动方案等政策体系。狠抓研判调度，圆满完成全区</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“十四五”规划纲</w:t>
      </w:r>
      <w:r>
        <w:rPr>
          <w:rFonts w:ascii="Times New Roman" w:hAnsi="Times New Roman" w:eastAsia="方正仿宋_GBK" w:cs="Times New Roman"/>
          <w:color w:val="000000" w:themeColor="text1"/>
          <w:sz w:val="32"/>
          <w:szCs w:val="32"/>
          <w:shd w:val="clear" w:color="auto" w:fill="FFFFFF"/>
          <w14:textFill>
            <w14:solidFill>
              <w14:schemeClr w14:val="tx1"/>
            </w14:solidFill>
          </w14:textFill>
        </w:rPr>
        <w:t>要中期评估，</w:t>
      </w:r>
      <w:r>
        <w:rPr>
          <w:rFonts w:ascii="Times New Roman" w:hAnsi="Times New Roman" w:eastAsia="方正仿宋_GBK" w:cs="Times New Roman"/>
          <w:color w:val="000000" w:themeColor="text1"/>
          <w:kern w:val="2"/>
          <w:sz w:val="32"/>
          <w:szCs w:val="32"/>
          <w14:textFill>
            <w14:solidFill>
              <w14:schemeClr w14:val="tx1"/>
            </w14:solidFill>
          </w14:textFill>
        </w:rPr>
        <w:t>经济运行调</w:t>
      </w:r>
      <w:r>
        <w:rPr>
          <w:rFonts w:hint="eastAsia" w:ascii="Times New Roman" w:hAnsi="Times New Roman" w:eastAsia="方正仿宋_GBK" w:cs="Times New Roman"/>
          <w:color w:val="000000" w:themeColor="text1"/>
          <w:kern w:val="2"/>
          <w:sz w:val="32"/>
          <w:szCs w:val="32"/>
          <w14:textFill>
            <w14:solidFill>
              <w14:schemeClr w14:val="tx1"/>
            </w14:solidFill>
          </w14:textFill>
        </w:rPr>
        <w:t>度</w:t>
      </w:r>
      <w:r>
        <w:rPr>
          <w:rFonts w:ascii="Times New Roman" w:hAnsi="Times New Roman" w:eastAsia="方正仿宋_GBK" w:cs="Times New Roman"/>
          <w:color w:val="000000" w:themeColor="text1"/>
          <w:kern w:val="2"/>
          <w:sz w:val="32"/>
          <w:szCs w:val="32"/>
          <w14:textFill>
            <w14:solidFill>
              <w14:schemeClr w14:val="tx1"/>
            </w14:solidFill>
          </w14:textFill>
        </w:rPr>
        <w:t>平台一期上线运行，建成GDP分析、重大项目监测、协税护税等17</w:t>
      </w:r>
      <w:r>
        <w:rPr>
          <w:rFonts w:hint="eastAsia" w:ascii="Times New Roman" w:hAnsi="Times New Roman" w:eastAsia="方正仿宋_GBK" w:cs="Times New Roman"/>
          <w:color w:val="000000" w:themeColor="text1"/>
          <w:kern w:val="2"/>
          <w:sz w:val="32"/>
          <w:szCs w:val="32"/>
          <w14:textFill>
            <w14:solidFill>
              <w14:schemeClr w14:val="tx1"/>
            </w14:solidFill>
          </w14:textFill>
        </w:rPr>
        <w:t>个</w:t>
      </w:r>
      <w:r>
        <w:rPr>
          <w:rFonts w:ascii="Times New Roman" w:hAnsi="Times New Roman" w:eastAsia="方正仿宋_GBK" w:cs="Times New Roman"/>
          <w:color w:val="000000" w:themeColor="text1"/>
          <w:kern w:val="2"/>
          <w:sz w:val="32"/>
          <w:szCs w:val="32"/>
          <w14:textFill>
            <w14:solidFill>
              <w14:schemeClr w14:val="tx1"/>
            </w14:solidFill>
          </w14:textFill>
        </w:rPr>
        <w:t>专题板块，初步形成高效共享的经济监测预警系统</w:t>
      </w:r>
      <w:r>
        <w:rPr>
          <w:rFonts w:ascii="Times New Roman" w:hAnsi="Times New Roman" w:eastAsia="方正仿宋_GBK" w:cs="Times New Roman"/>
          <w:color w:val="000000" w:themeColor="text1"/>
          <w:sz w:val="32"/>
          <w:szCs w:val="32"/>
          <w:shd w:val="clear" w:color="auto" w:fill="FFFFFF"/>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全年实现地区生产总值362</w:t>
      </w:r>
      <w:r>
        <w:rPr>
          <w:rFonts w:hint="eastAsia" w:ascii="Times New Roman"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7亿元、同比（下同）增长0.3%</w:t>
      </w:r>
      <w:r>
        <w:rPr>
          <w:rFonts w:hint="eastAsia" w:ascii="Times New Roman"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第一产业增加值1.3亿元，增长5.2%；第三产业增加值165.8亿元，增长8.7%</w:t>
      </w:r>
      <w:r>
        <w:rPr>
          <w:rFonts w:hint="eastAsia" w:ascii="Times New Roman"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社会消费品零售总额增速</w:t>
      </w:r>
      <w:r>
        <w:rPr>
          <w:rFonts w:hint="eastAsia" w:ascii="Times New Roman"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工业投资增</w:t>
      </w:r>
      <w:r>
        <w:rPr>
          <w:rFonts w:hint="eastAsia" w:ascii="Times New Roman" w:hAnsi="Times New Roman" w:eastAsia="方正仿宋_GBK" w:cs="Times New Roman"/>
          <w:color w:val="000000" w:themeColor="text1"/>
          <w:kern w:val="2"/>
          <w:sz w:val="32"/>
          <w:szCs w:val="32"/>
          <w14:textFill>
            <w14:solidFill>
              <w14:schemeClr w14:val="tx1"/>
            </w14:solidFill>
          </w14:textFill>
        </w:rPr>
        <w:t>速</w:t>
      </w:r>
      <w:r>
        <w:rPr>
          <w:rFonts w:ascii="Times New Roman" w:hAnsi="Times New Roman" w:eastAsia="方正仿宋_GBK" w:cs="Times New Roman"/>
          <w:color w:val="000000" w:themeColor="text1"/>
          <w:kern w:val="2"/>
          <w:sz w:val="32"/>
          <w:szCs w:val="32"/>
          <w14:textFill>
            <w14:solidFill>
              <w14:schemeClr w14:val="tx1"/>
            </w14:solidFill>
          </w14:textFill>
        </w:rPr>
        <w:t>等指标位居全市前列。狠</w:t>
      </w:r>
      <w:r>
        <w:rPr>
          <w:rFonts w:ascii="Times New Roman" w:hAnsi="Times New Roman" w:eastAsia="方正仿宋_GBK" w:cs="Times New Roman"/>
          <w:color w:val="000000" w:themeColor="text1"/>
          <w:sz w:val="32"/>
          <w:szCs w:val="32"/>
          <w:shd w:val="clear" w:color="auto" w:fill="FFFFFF"/>
          <w14:textFill>
            <w14:solidFill>
              <w14:schemeClr w14:val="tx1"/>
            </w14:solidFill>
          </w14:textFill>
        </w:rPr>
        <w:t>抓市场主体引育，结合</w:t>
      </w:r>
      <w:r>
        <w:rPr>
          <w:rFonts w:hint="eastAsia" w:ascii="方正仿宋_GBK" w:hAnsi="Times New Roman" w:eastAsia="方正仿宋_GBK" w:cs="Times New Roman"/>
          <w:color w:val="000000" w:themeColor="text1"/>
          <w:sz w:val="32"/>
          <w:szCs w:val="32"/>
          <w:shd w:val="clear" w:color="auto" w:fill="FFFFFF"/>
          <w14:textFill>
            <w14:solidFill>
              <w14:schemeClr w14:val="tx1"/>
            </w14:solidFill>
          </w14:textFill>
        </w:rPr>
        <w:t>“</w:t>
      </w:r>
      <w:r>
        <w:rPr>
          <w:rFonts w:ascii="Times New Roman" w:hAnsi="Times New Roman" w:eastAsia="方正仿宋_GBK" w:cs="Times New Roman"/>
          <w:color w:val="000000" w:themeColor="text1"/>
          <w:sz w:val="32"/>
          <w:szCs w:val="32"/>
          <w:shd w:val="clear" w:color="auto" w:fill="FFFFFF"/>
          <w14:textFill>
            <w14:solidFill>
              <w14:schemeClr w14:val="tx1"/>
            </w14:solidFill>
          </w14:textFill>
        </w:rPr>
        <w:t>五经普</w:t>
      </w:r>
      <w:r>
        <w:rPr>
          <w:rFonts w:hint="eastAsia" w:ascii="方正仿宋_GBK" w:hAnsi="Times New Roman" w:eastAsia="方正仿宋_GBK" w:cs="Times New Roman"/>
          <w:color w:val="000000" w:themeColor="text1"/>
          <w:sz w:val="32"/>
          <w:szCs w:val="32"/>
          <w:shd w:val="clear" w:color="auto" w:fill="FFFFFF"/>
          <w14:textFill>
            <w14:solidFill>
              <w14:schemeClr w14:val="tx1"/>
            </w14:solidFill>
          </w14:textFill>
        </w:rPr>
        <w:t>”</w:t>
      </w:r>
      <w:r>
        <w:rPr>
          <w:rFonts w:ascii="Times New Roman" w:hAnsi="Times New Roman" w:eastAsia="方正仿宋_GBK" w:cs="Times New Roman"/>
          <w:color w:val="000000" w:themeColor="text1"/>
          <w:sz w:val="32"/>
          <w:szCs w:val="32"/>
          <w:shd w:val="clear" w:color="auto" w:fill="FFFFFF"/>
          <w14:textFill>
            <w14:solidFill>
              <w14:schemeClr w14:val="tx1"/>
            </w14:solidFill>
          </w14:textFill>
        </w:rPr>
        <w:t>工作，</w:t>
      </w:r>
      <w:r>
        <w:rPr>
          <w:rFonts w:ascii="Times New Roman" w:hAnsi="Times New Roman" w:eastAsia="方正仿宋_GBK" w:cs="Times New Roman"/>
          <w:color w:val="000000" w:themeColor="text1"/>
          <w:kern w:val="2"/>
          <w:sz w:val="32"/>
          <w:szCs w:val="32"/>
          <w14:textFill>
            <w14:solidFill>
              <w14:schemeClr w14:val="tx1"/>
            </w14:solidFill>
          </w14:textFill>
        </w:rPr>
        <w:t>开展市场主体调查摸底、市场主体升规上限、</w:t>
      </w:r>
      <w:r>
        <w:rPr>
          <w:rFonts w:ascii="Times New Roman" w:hAnsi="Times New Roman" w:eastAsia="方正仿宋_GBK" w:cs="Times New Roman"/>
          <w:color w:val="000000" w:themeColor="text1"/>
          <w:sz w:val="32"/>
          <w:szCs w:val="32"/>
          <w:shd w:val="clear" w:color="auto" w:fill="FFFFFF"/>
          <w14:textFill>
            <w14:solidFill>
              <w14:schemeClr w14:val="tx1"/>
            </w14:solidFill>
          </w14:textFill>
        </w:rPr>
        <w:t>防止</w:t>
      </w:r>
      <w:r>
        <w:rPr>
          <w:rFonts w:hint="eastAsia" w:ascii="方正仿宋_GBK" w:hAnsi="Times New Roman" w:eastAsia="方正仿宋_GBK" w:cs="Times New Roman"/>
          <w:color w:val="000000" w:themeColor="text1"/>
          <w:sz w:val="32"/>
          <w:szCs w:val="32"/>
          <w:shd w:val="clear" w:color="auto" w:fill="FFFFFF"/>
          <w14:textFill>
            <w14:solidFill>
              <w14:schemeClr w14:val="tx1"/>
            </w14:solidFill>
          </w14:textFill>
        </w:rPr>
        <w:t>“</w:t>
      </w:r>
      <w:r>
        <w:rPr>
          <w:rFonts w:ascii="Times New Roman" w:hAnsi="Times New Roman" w:eastAsia="方正仿宋_GBK" w:cs="Times New Roman"/>
          <w:color w:val="000000" w:themeColor="text1"/>
          <w:sz w:val="32"/>
          <w:szCs w:val="32"/>
          <w:shd w:val="clear" w:color="auto" w:fill="FFFFFF"/>
          <w14:textFill>
            <w14:solidFill>
              <w14:schemeClr w14:val="tx1"/>
            </w14:solidFill>
          </w14:textFill>
        </w:rPr>
        <w:t>跑冒滴漏</w:t>
      </w:r>
      <w:r>
        <w:rPr>
          <w:rFonts w:hint="eastAsia" w:ascii="方正仿宋_GBK" w:hAnsi="Times New Roman" w:eastAsia="方正仿宋_GBK" w:cs="Times New Roman"/>
          <w:color w:val="000000" w:themeColor="text1"/>
          <w:sz w:val="32"/>
          <w:szCs w:val="32"/>
          <w:shd w:val="clear" w:color="auto" w:fill="FFFFFF"/>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三个专项行动，激活推动高质量发展的微观基础。全区市场主体总量达42098户、增长8.9%。全年新</w:t>
      </w:r>
      <w:r>
        <w:rPr>
          <w:rFonts w:hint="eastAsia" w:ascii="方正仿宋_GBK" w:hAnsi="方正仿宋_GBK" w:eastAsia="方正仿宋_GBK" w:cs="方正仿宋_GBK"/>
          <w:color w:val="000000" w:themeColor="text1"/>
          <w:kern w:val="2"/>
          <w:sz w:val="32"/>
          <w:szCs w:val="32"/>
          <w14:textFill>
            <w14:solidFill>
              <w14:schemeClr w14:val="tx1"/>
            </w14:solidFill>
          </w14:textFill>
        </w:rPr>
        <w:t>增“四上”单位</w:t>
      </w:r>
      <w:r>
        <w:rPr>
          <w:rFonts w:ascii="Times New Roman" w:hAnsi="Times New Roman" w:eastAsia="方正仿宋_GBK" w:cs="Times New Roman"/>
          <w:color w:val="000000" w:themeColor="text1"/>
          <w:kern w:val="2"/>
          <w:sz w:val="32"/>
          <w:szCs w:val="32"/>
          <w14:textFill>
            <w14:solidFill>
              <w14:schemeClr w14:val="tx1"/>
            </w14:solidFill>
          </w14:textFill>
        </w:rPr>
        <w:t>201户，推动新登记纳税市场主体4533</w:t>
      </w:r>
      <w:r>
        <w:rPr>
          <w:rFonts w:hint="eastAsia" w:ascii="方正仿宋_GBK" w:hAnsi="方正仿宋_GBK" w:eastAsia="方正仿宋_GBK" w:cs="方正仿宋_GBK"/>
          <w:color w:val="000000" w:themeColor="text1"/>
          <w:kern w:val="2"/>
          <w:sz w:val="32"/>
          <w:szCs w:val="32"/>
          <w14:textFill>
            <w14:solidFill>
              <w14:schemeClr w14:val="tx1"/>
            </w14:solidFill>
          </w14:textFill>
        </w:rPr>
        <w:t>户，“四下”单位</w:t>
      </w:r>
      <w:r>
        <w:rPr>
          <w:rFonts w:ascii="Times New Roman" w:hAnsi="Times New Roman" w:eastAsia="方正仿宋_GBK" w:cs="Times New Roman"/>
          <w:color w:val="000000" w:themeColor="text1"/>
          <w:kern w:val="2"/>
          <w:sz w:val="32"/>
          <w:szCs w:val="32"/>
          <w14:textFill>
            <w14:solidFill>
              <w14:schemeClr w14:val="tx1"/>
            </w14:solidFill>
          </w14:textFill>
        </w:rPr>
        <w:t>税收增长18.9%。</w:t>
      </w:r>
    </w:p>
    <w:p>
      <w:pPr>
        <w:widowControl w:val="0"/>
        <w:tabs>
          <w:tab w:val="left" w:pos="4400"/>
        </w:tabs>
        <w:spacing w:after="0" w:line="594" w:lineRule="exact"/>
        <w:ind w:firstLine="640" w:firstLineChars="200"/>
        <w:jc w:val="both"/>
        <w:rPr>
          <w:rFonts w:ascii="Times New Roman" w:hAnsi="Times New Roman" w:eastAsia="方正仿宋_GBK" w:cs="Times New Roman"/>
          <w:color w:val="000000" w:themeColor="text1"/>
          <w:kern w:val="2"/>
          <w:sz w:val="32"/>
          <w:szCs w:val="32"/>
          <w14:textFill>
            <w14:solidFill>
              <w14:schemeClr w14:val="tx1"/>
            </w14:solidFill>
          </w14:textFill>
        </w:rPr>
      </w:pPr>
      <w:r>
        <w:rPr>
          <w:rFonts w:ascii="Times New Roman" w:hAnsi="Times New Roman" w:eastAsia="方正楷体_GBK" w:cs="Times New Roman"/>
          <w:color w:val="000000" w:themeColor="text1"/>
          <w:kern w:val="2"/>
          <w:sz w:val="32"/>
          <w:szCs w:val="32"/>
          <w14:textFill>
            <w14:solidFill>
              <w14:schemeClr w14:val="tx1"/>
            </w14:solidFill>
          </w14:textFill>
        </w:rPr>
        <w:t>——全力推动高质量发展，新旧动能加速转换。</w:t>
      </w:r>
      <w:r>
        <w:rPr>
          <w:rFonts w:ascii="Times New Roman" w:hAnsi="Times New Roman" w:eastAsia="方正仿宋_GBK" w:cs="Times New Roman"/>
          <w:color w:val="000000" w:themeColor="text1"/>
          <w:kern w:val="2"/>
          <w:sz w:val="32"/>
          <w:szCs w:val="32"/>
          <w14:textFill>
            <w14:solidFill>
              <w14:schemeClr w14:val="tx1"/>
            </w14:solidFill>
          </w14:textFill>
        </w:rPr>
        <w:t>国家产业转型升级示范区建设2022年度评估获得优秀等次，老工业基地调整改造连续三年获国家发展改革委通报表扬。积</w:t>
      </w:r>
      <w:r>
        <w:rPr>
          <w:rFonts w:hint="eastAsia" w:ascii="方正仿宋_GBK" w:hAnsi="方正仿宋_GBK" w:eastAsia="方正仿宋_GBK" w:cs="方正仿宋_GBK"/>
          <w:color w:val="000000" w:themeColor="text1"/>
          <w:kern w:val="2"/>
          <w:sz w:val="32"/>
          <w:szCs w:val="32"/>
          <w14:textFill>
            <w14:solidFill>
              <w14:schemeClr w14:val="tx1"/>
            </w14:solidFill>
          </w14:textFill>
        </w:rPr>
        <w:t>极融入“</w:t>
      </w:r>
      <w:r>
        <w:rPr>
          <w:rFonts w:ascii="Times New Roman" w:hAnsi="Times New Roman" w:eastAsia="方正仿宋_GBK" w:cs="Times New Roman"/>
          <w:color w:val="000000" w:themeColor="text1"/>
          <w:kern w:val="2"/>
          <w:sz w:val="32"/>
          <w:szCs w:val="32"/>
          <w14:textFill>
            <w14:solidFill>
              <w14:schemeClr w14:val="tx1"/>
            </w14:solidFill>
          </w14:textFill>
        </w:rPr>
        <w:t>33618</w:t>
      </w:r>
      <w:r>
        <w:rPr>
          <w:rFonts w:hint="eastAsia" w:ascii="方正仿宋_GBK" w:hAnsi="方正仿宋_GBK" w:eastAsia="方正仿宋_GBK" w:cs="方正仿宋_GBK"/>
          <w:color w:val="000000" w:themeColor="text1"/>
          <w:kern w:val="2"/>
          <w:sz w:val="32"/>
          <w:szCs w:val="32"/>
          <w14:textFill>
            <w14:solidFill>
              <w14:schemeClr w14:val="tx1"/>
            </w14:solidFill>
          </w14:textFill>
        </w:rPr>
        <w:t>”现代制造业集群体系，“电子专用设备”“体外诊断产品”“智能家居”“新能源摩托车”“纤维及复合材料”“预制菜”</w:t>
      </w:r>
      <w:r>
        <w:rPr>
          <w:rFonts w:ascii="Times New Roman" w:hAnsi="Times New Roman" w:eastAsia="方正仿宋_GBK" w:cs="Times New Roman"/>
          <w:color w:val="000000" w:themeColor="text1"/>
          <w:kern w:val="2"/>
          <w:sz w:val="32"/>
          <w:szCs w:val="32"/>
          <w14:textFill>
            <w14:solidFill>
              <w14:schemeClr w14:val="tx1"/>
            </w14:solidFill>
          </w14:textFill>
        </w:rPr>
        <w:t>6个主导（特色）产业纳入全市先进制造业发展产业地图。全区科技创新指数72.9%，居全市第6位。全区研发投入强度3.63%，连续6年保持全市前列。优化营商环境工作成效显著获市政府督查激励。</w:t>
      </w:r>
    </w:p>
    <w:p>
      <w:pPr>
        <w:widowControl w:val="0"/>
        <w:spacing w:after="0" w:line="594" w:lineRule="exact"/>
        <w:ind w:firstLine="640" w:firstLineChars="200"/>
        <w:jc w:val="both"/>
        <w:rPr>
          <w:rFonts w:ascii="Times New Roman" w:hAnsi="Times New Roman" w:eastAsia="方正仿宋_GBK" w:cs="Times New Roman"/>
          <w:color w:val="000000" w:themeColor="text1"/>
          <w:kern w:val="2"/>
          <w:sz w:val="32"/>
          <w:szCs w:val="32"/>
          <w14:textFill>
            <w14:solidFill>
              <w14:schemeClr w14:val="tx1"/>
            </w14:solidFill>
          </w14:textFill>
        </w:rPr>
      </w:pPr>
      <w:r>
        <w:rPr>
          <w:rFonts w:ascii="Times New Roman" w:hAnsi="Times New Roman" w:eastAsia="方正楷体_GBK" w:cs="Times New Roman"/>
          <w:color w:val="000000" w:themeColor="text1"/>
          <w:kern w:val="2"/>
          <w:sz w:val="32"/>
          <w:szCs w:val="32"/>
          <w14:textFill>
            <w14:solidFill>
              <w14:schemeClr w14:val="tx1"/>
            </w14:solidFill>
          </w14:textFill>
        </w:rPr>
        <w:t>——全力创造高品质生活，民生短板加快补齐。</w:t>
      </w:r>
      <w:r>
        <w:rPr>
          <w:rFonts w:ascii="Times New Roman" w:hAnsi="Times New Roman" w:eastAsia="方正仿宋_GBK" w:cs="Times New Roman"/>
          <w:color w:val="000000" w:themeColor="text1"/>
          <w:sz w:val="32"/>
          <w:szCs w:val="32"/>
          <w14:textFill>
            <w14:solidFill>
              <w14:schemeClr w14:val="tx1"/>
            </w14:solidFill>
          </w14:textFill>
        </w:rPr>
        <w:t>10件主题教育民生</w:t>
      </w:r>
      <w:r>
        <w:rPr>
          <w:rFonts w:hint="eastAsia" w:ascii="Times New Roman" w:hAnsi="Times New Roman" w:eastAsia="方正仿宋_GBK" w:cs="Times New Roman"/>
          <w:color w:val="000000" w:themeColor="text1"/>
          <w:sz w:val="32"/>
          <w:szCs w:val="32"/>
          <w14:textFill>
            <w14:solidFill>
              <w14:schemeClr w14:val="tx1"/>
            </w14:solidFill>
          </w14:textFill>
        </w:rPr>
        <w:t>事项</w:t>
      </w:r>
      <w:r>
        <w:rPr>
          <w:rFonts w:ascii="Times New Roman" w:hAnsi="Times New Roman" w:eastAsia="方正仿宋_GBK" w:cs="Times New Roman"/>
          <w:color w:val="000000" w:themeColor="text1"/>
          <w:sz w:val="32"/>
          <w:szCs w:val="32"/>
          <w14:textFill>
            <w14:solidFill>
              <w14:schemeClr w14:val="tx1"/>
            </w14:solidFill>
          </w14:textFill>
        </w:rPr>
        <w:t>、15件区级重点民生实事达成年度目标。</w:t>
      </w:r>
      <w:r>
        <w:rPr>
          <w:rFonts w:ascii="Times New Roman" w:hAnsi="Times New Roman" w:eastAsia="方正仿宋_GBK" w:cs="Times New Roman"/>
          <w:color w:val="000000" w:themeColor="text1"/>
          <w:kern w:val="2"/>
          <w:sz w:val="32"/>
          <w:szCs w:val="32"/>
          <w14:textFill>
            <w14:solidFill>
              <w14:schemeClr w14:val="tx1"/>
            </w14:solidFill>
          </w14:textFill>
        </w:rPr>
        <w:t>全年城镇新增就业1.8万人，救助困难群众2.5万余人次，城乡居民基本养老保险、基本医疗保险参保率分别保持97%、95%以上。一般公共预算支出40.6亿元，其中民生支出占比达80%。全体居民人均可支配收入50104元</w:t>
      </w:r>
      <w:r>
        <w:rPr>
          <w:rFonts w:hint="eastAsia" w:ascii="Times New Roman"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增长4.0%</w:t>
      </w:r>
      <w:r>
        <w:rPr>
          <w:rFonts w:hint="eastAsia" w:ascii="Times New Roman"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莫斯科国立</w:t>
      </w:r>
      <w:r>
        <w:rPr>
          <w:rFonts w:ascii="Times New Roman" w:hAnsi="Times New Roman" w:eastAsia="方正仿宋_GBK" w:cs="Times New Roman"/>
          <w:color w:val="000000" w:themeColor="text1"/>
          <w:sz w:val="32"/>
          <w:szCs w:val="32"/>
          <w:shd w:val="clear" w:color="auto" w:fill="FFFFFF"/>
          <w14:textFill>
            <w14:solidFill>
              <w14:schemeClr w14:val="tx1"/>
            </w14:solidFill>
          </w14:textFill>
        </w:rPr>
        <w:t>柴可夫斯基音乐学院重庆项目选址钓鱼嘴半岛，西大附中开工建设，公立三甲医院一期</w:t>
      </w:r>
      <w:r>
        <w:rPr>
          <w:rFonts w:hint="eastAsia" w:ascii="Times New Roman" w:hAnsi="Times New Roman" w:eastAsia="方正仿宋_GBK" w:cs="Times New Roman"/>
          <w:color w:val="000000" w:themeColor="text1"/>
          <w:sz w:val="32"/>
          <w:szCs w:val="32"/>
          <w:shd w:val="clear" w:color="auto" w:fill="FFFFFF"/>
          <w14:textFill>
            <w14:solidFill>
              <w14:schemeClr w14:val="tx1"/>
            </w14:solidFill>
          </w14:textFill>
        </w:rPr>
        <w:t>项目主体工程竣工</w:t>
      </w:r>
      <w:r>
        <w:rPr>
          <w:rFonts w:ascii="Times New Roman" w:hAnsi="Times New Roman" w:eastAsia="方正仿宋_GBK" w:cs="Times New Roman"/>
          <w:color w:val="000000" w:themeColor="text1"/>
          <w:sz w:val="32"/>
          <w:szCs w:val="32"/>
          <w:shd w:val="clear" w:color="auto" w:fill="FFFFFF"/>
          <w14:textFill>
            <w14:solidFill>
              <w14:schemeClr w14:val="tx1"/>
            </w14:solidFill>
          </w14:textFill>
        </w:rPr>
        <w:t>。乡村治理工作获市级督查激励。</w:t>
      </w:r>
    </w:p>
    <w:p>
      <w:pPr>
        <w:widowControl w:val="0"/>
        <w:spacing w:after="0" w:line="594" w:lineRule="exact"/>
        <w:ind w:firstLine="640" w:firstLineChars="200"/>
        <w:contextualSpacing/>
        <w:jc w:val="both"/>
        <w:rPr>
          <w:rFonts w:ascii="Times New Roman" w:hAnsi="Times New Roman" w:eastAsia="方正楷体_GBK" w:cs="Times New Roman"/>
          <w:color w:val="000000" w:themeColor="text1"/>
          <w:sz w:val="28"/>
          <w:szCs w:val="28"/>
          <w14:textFill>
            <w14:solidFill>
              <w14:schemeClr w14:val="tx1"/>
            </w14:solidFill>
          </w14:textFill>
        </w:rPr>
      </w:pPr>
      <w:r>
        <w:rPr>
          <w:rFonts w:ascii="Times New Roman" w:hAnsi="Times New Roman" w:eastAsia="方正楷体_GBK" w:cs="Times New Roman"/>
          <w:color w:val="000000" w:themeColor="text1"/>
          <w:sz w:val="32"/>
          <w:szCs w:val="32"/>
          <w:shd w:val="clear" w:color="auto" w:fill="FFFFFF"/>
          <w14:textFill>
            <w14:solidFill>
              <w14:schemeClr w14:val="tx1"/>
            </w14:solidFill>
          </w14:textFill>
        </w:rPr>
        <w:t>（一）国民经济和社会发展主要指标完成情况</w:t>
      </w:r>
    </w:p>
    <w:p>
      <w:pPr>
        <w:widowControl w:val="0"/>
        <w:spacing w:after="0" w:line="594" w:lineRule="exact"/>
        <w:ind w:firstLine="640" w:firstLineChars="200"/>
        <w:contextualSpacing/>
        <w:jc w:val="both"/>
        <w:rPr>
          <w:rFonts w:ascii="Times New Roman" w:hAnsi="Times New Roman" w:eastAsia="方正仿宋_GBK" w:cs="Times New Roman"/>
          <w:color w:val="000000" w:themeColor="text1"/>
          <w:kern w:val="2"/>
          <w:sz w:val="32"/>
          <w:szCs w:val="32"/>
          <w:shd w:val="clear" w:color="auto" w:fill="FFFFFF"/>
          <w14:textFill>
            <w14:solidFill>
              <w14:schemeClr w14:val="tx1"/>
            </w14:solidFill>
          </w14:textFill>
        </w:rPr>
      </w:pPr>
      <w:r>
        <w:rPr>
          <w:rFonts w:ascii="Times New Roman" w:hAnsi="Times New Roman" w:eastAsia="方正仿宋_GBK" w:cs="Times New Roman"/>
          <w:color w:val="000000" w:themeColor="text1"/>
          <w:kern w:val="2"/>
          <w:sz w:val="32"/>
          <w:szCs w:val="32"/>
          <w:shd w:val="clear" w:color="auto" w:fill="FFFFFF"/>
          <w14:textFill>
            <w14:solidFill>
              <w14:schemeClr w14:val="tx1"/>
            </w14:solidFill>
          </w14:textFill>
        </w:rPr>
        <w:t>区十四届人大三次会议批准的2023年计划报告32项指标，共完成24项，完成率75%，其中约束性指标8项，完成7项；预期性指标24项，完成17项。全区经济加快恢复，发展动能不断积蓄，社会民生持续改善，计划总体执行情况良好。</w:t>
      </w:r>
    </w:p>
    <w:p>
      <w:pPr>
        <w:widowControl w:val="0"/>
        <w:adjustRightInd w:val="0"/>
        <w:snapToGrid w:val="0"/>
        <w:spacing w:after="0" w:line="594" w:lineRule="exact"/>
        <w:jc w:val="center"/>
        <w:rPr>
          <w:rFonts w:ascii="Times New Roman" w:hAnsi="Times New Roman" w:eastAsia="方正黑体_GBK" w:cs="Times New Roman"/>
          <w:color w:val="000000" w:themeColor="text1"/>
          <w:sz w:val="28"/>
          <w:szCs w:val="28"/>
          <w14:textFill>
            <w14:solidFill>
              <w14:schemeClr w14:val="tx1"/>
            </w14:solidFill>
          </w14:textFill>
        </w:rPr>
      </w:pPr>
      <w:r>
        <w:rPr>
          <w:rFonts w:ascii="Times New Roman" w:hAnsi="Times New Roman" w:eastAsia="方正黑体_GBK" w:cs="Times New Roman"/>
          <w:color w:val="000000" w:themeColor="text1"/>
          <w:sz w:val="28"/>
          <w:szCs w:val="28"/>
          <w14:textFill>
            <w14:solidFill>
              <w14:schemeClr w14:val="tx1"/>
            </w14:solidFill>
          </w14:textFill>
        </w:rPr>
        <w:t>表1：2023年</w:t>
      </w:r>
      <w:r>
        <w:rPr>
          <w:rFonts w:ascii="Times New Roman" w:hAnsi="Times New Roman" w:eastAsia="方正黑体_GBK" w:cs="Times New Roman"/>
          <w:color w:val="000000" w:themeColor="text1"/>
          <w:sz w:val="28"/>
          <w14:textFill>
            <w14:solidFill>
              <w14:schemeClr w14:val="tx1"/>
            </w14:solidFill>
          </w14:textFill>
        </w:rPr>
        <w:t>国民经济和社会发展计划目标完成情况</w:t>
      </w:r>
    </w:p>
    <w:tbl>
      <w:tblPr>
        <w:tblStyle w:val="13"/>
        <w:tblW w:w="94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 w:type="dxa"/>
          <w:bottom w:w="0" w:type="dxa"/>
          <w:right w:w="3" w:type="dxa"/>
        </w:tblCellMar>
      </w:tblPr>
      <w:tblGrid>
        <w:gridCol w:w="617"/>
        <w:gridCol w:w="3133"/>
        <w:gridCol w:w="1387"/>
        <w:gridCol w:w="795"/>
        <w:gridCol w:w="1335"/>
        <w:gridCol w:w="1305"/>
        <w:gridCol w:w="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628" w:hRule="atLeast"/>
          <w:tblHeader/>
          <w:jc w:val="center"/>
        </w:trPr>
        <w:tc>
          <w:tcPr>
            <w:tcW w:w="617" w:type="dxa"/>
            <w:vAlign w:val="center"/>
          </w:tcPr>
          <w:p>
            <w:pPr>
              <w:widowControl w:val="0"/>
              <w:adjustRightInd w:val="0"/>
              <w:spacing w:before="100" w:beforeAutospacing="1" w:after="100" w:afterAutospacing="1" w:line="240" w:lineRule="exact"/>
              <w:jc w:val="center"/>
              <w:rPr>
                <w:rFonts w:ascii="Times New Roman" w:hAnsi="Times New Roman" w:eastAsia="方正黑体_GBK" w:cs="Times New Roman"/>
                <w:color w:val="000000" w:themeColor="text1"/>
                <w:sz w:val="24"/>
                <w:szCs w:val="24"/>
                <w14:textFill>
                  <w14:solidFill>
                    <w14:schemeClr w14:val="tx1"/>
                  </w14:solidFill>
                </w14:textFill>
              </w:rPr>
            </w:pPr>
            <w:r>
              <w:rPr>
                <w:rFonts w:ascii="Times New Roman" w:hAnsi="Times New Roman" w:eastAsia="方正黑体_GBK" w:cs="Times New Roman"/>
                <w:color w:val="000000" w:themeColor="text1"/>
                <w:sz w:val="24"/>
                <w:szCs w:val="24"/>
                <w14:textFill>
                  <w14:solidFill>
                    <w14:schemeClr w14:val="tx1"/>
                  </w14:solidFill>
                </w14:textFill>
              </w:rPr>
              <w:t>序号</w:t>
            </w:r>
          </w:p>
        </w:tc>
        <w:tc>
          <w:tcPr>
            <w:tcW w:w="3133" w:type="dxa"/>
            <w:vAlign w:val="center"/>
          </w:tcPr>
          <w:p>
            <w:pPr>
              <w:widowControl w:val="0"/>
              <w:adjustRightInd w:val="0"/>
              <w:spacing w:before="100" w:beforeAutospacing="1" w:after="100" w:afterAutospacing="1" w:line="240" w:lineRule="exact"/>
              <w:jc w:val="center"/>
              <w:rPr>
                <w:rFonts w:ascii="Times New Roman" w:hAnsi="Times New Roman" w:eastAsia="方正黑体_GBK" w:cs="Times New Roman"/>
                <w:color w:val="000000" w:themeColor="text1"/>
                <w:sz w:val="24"/>
                <w:szCs w:val="24"/>
                <w14:textFill>
                  <w14:solidFill>
                    <w14:schemeClr w14:val="tx1"/>
                  </w14:solidFill>
                </w14:textFill>
              </w:rPr>
            </w:pPr>
            <w:r>
              <w:rPr>
                <w:rFonts w:ascii="Times New Roman" w:hAnsi="Times New Roman" w:eastAsia="方正黑体_GBK" w:cs="Times New Roman"/>
                <w:color w:val="000000" w:themeColor="text1"/>
                <w:sz w:val="24"/>
                <w:szCs w:val="24"/>
                <w14:textFill>
                  <w14:solidFill>
                    <w14:schemeClr w14:val="tx1"/>
                  </w14:solidFill>
                </w14:textFill>
              </w:rPr>
              <w:t>指标名称</w:t>
            </w:r>
          </w:p>
        </w:tc>
        <w:tc>
          <w:tcPr>
            <w:tcW w:w="1387" w:type="dxa"/>
            <w:vAlign w:val="center"/>
          </w:tcPr>
          <w:p>
            <w:pPr>
              <w:widowControl w:val="0"/>
              <w:adjustRightInd w:val="0"/>
              <w:spacing w:before="100" w:beforeAutospacing="1" w:after="100" w:afterAutospacing="1" w:line="240" w:lineRule="exact"/>
              <w:jc w:val="center"/>
              <w:rPr>
                <w:rFonts w:ascii="Times New Roman" w:hAnsi="Times New Roman" w:eastAsia="方正黑体_GBK" w:cs="Times New Roman"/>
                <w:color w:val="000000" w:themeColor="text1"/>
                <w:sz w:val="24"/>
                <w:szCs w:val="24"/>
                <w14:textFill>
                  <w14:solidFill>
                    <w14:schemeClr w14:val="tx1"/>
                  </w14:solidFill>
                </w14:textFill>
              </w:rPr>
            </w:pPr>
            <w:r>
              <w:rPr>
                <w:rFonts w:ascii="Times New Roman" w:hAnsi="Times New Roman" w:eastAsia="方正黑体_GBK" w:cs="Times New Roman"/>
                <w:color w:val="000000" w:themeColor="text1"/>
                <w:sz w:val="24"/>
                <w:szCs w:val="24"/>
                <w14:textFill>
                  <w14:solidFill>
                    <w14:schemeClr w14:val="tx1"/>
                  </w14:solidFill>
                </w14:textFill>
              </w:rPr>
              <w:t>单位</w:t>
            </w:r>
          </w:p>
        </w:tc>
        <w:tc>
          <w:tcPr>
            <w:tcW w:w="795" w:type="dxa"/>
            <w:vAlign w:val="center"/>
          </w:tcPr>
          <w:p>
            <w:pPr>
              <w:widowControl w:val="0"/>
              <w:adjustRightInd w:val="0"/>
              <w:spacing w:after="0" w:line="240" w:lineRule="exact"/>
              <w:jc w:val="center"/>
              <w:rPr>
                <w:rFonts w:ascii="Times New Roman" w:hAnsi="Times New Roman" w:eastAsia="方正黑体_GBK" w:cs="Times New Roman"/>
                <w:color w:val="000000" w:themeColor="text1"/>
                <w:sz w:val="24"/>
                <w:szCs w:val="24"/>
                <w14:textFill>
                  <w14:solidFill>
                    <w14:schemeClr w14:val="tx1"/>
                  </w14:solidFill>
                </w14:textFill>
              </w:rPr>
            </w:pPr>
            <w:r>
              <w:rPr>
                <w:rFonts w:ascii="Times New Roman" w:hAnsi="Times New Roman" w:eastAsia="方正黑体_GBK" w:cs="Times New Roman"/>
                <w:color w:val="000000" w:themeColor="text1"/>
                <w:sz w:val="24"/>
                <w:szCs w:val="24"/>
                <w14:textFill>
                  <w14:solidFill>
                    <w14:schemeClr w14:val="tx1"/>
                  </w14:solidFill>
                </w14:textFill>
              </w:rPr>
              <w:t>指标</w:t>
            </w:r>
          </w:p>
          <w:p>
            <w:pPr>
              <w:widowControl w:val="0"/>
              <w:adjustRightInd w:val="0"/>
              <w:spacing w:after="0" w:line="240" w:lineRule="exact"/>
              <w:jc w:val="center"/>
              <w:rPr>
                <w:rFonts w:ascii="Times New Roman" w:hAnsi="Times New Roman" w:eastAsia="方正黑体_GBK" w:cs="Times New Roman"/>
                <w:color w:val="000000" w:themeColor="text1"/>
                <w:sz w:val="24"/>
                <w:szCs w:val="24"/>
                <w14:textFill>
                  <w14:solidFill>
                    <w14:schemeClr w14:val="tx1"/>
                  </w14:solidFill>
                </w14:textFill>
              </w:rPr>
            </w:pPr>
            <w:r>
              <w:rPr>
                <w:rFonts w:ascii="Times New Roman" w:hAnsi="Times New Roman" w:eastAsia="方正黑体_GBK" w:cs="Times New Roman"/>
                <w:color w:val="000000" w:themeColor="text1"/>
                <w:sz w:val="24"/>
                <w:szCs w:val="24"/>
                <w14:textFill>
                  <w14:solidFill>
                    <w14:schemeClr w14:val="tx1"/>
                  </w14:solidFill>
                </w14:textFill>
              </w:rPr>
              <w:t>属性</w:t>
            </w:r>
          </w:p>
        </w:tc>
        <w:tc>
          <w:tcPr>
            <w:tcW w:w="1335" w:type="dxa"/>
            <w:vAlign w:val="center"/>
          </w:tcPr>
          <w:p>
            <w:pPr>
              <w:widowControl w:val="0"/>
              <w:adjustRightInd w:val="0"/>
              <w:spacing w:before="100" w:beforeAutospacing="1" w:after="100" w:afterAutospacing="1" w:line="240" w:lineRule="exact"/>
              <w:jc w:val="center"/>
              <w:rPr>
                <w:rFonts w:ascii="Times New Roman" w:hAnsi="Times New Roman" w:eastAsia="方正黑体_GBK" w:cs="Times New Roman"/>
                <w:color w:val="000000" w:themeColor="text1"/>
                <w:sz w:val="24"/>
                <w:szCs w:val="24"/>
                <w14:textFill>
                  <w14:solidFill>
                    <w14:schemeClr w14:val="tx1"/>
                  </w14:solidFill>
                </w14:textFill>
              </w:rPr>
            </w:pPr>
            <w:r>
              <w:rPr>
                <w:rFonts w:ascii="Times New Roman" w:hAnsi="Times New Roman" w:eastAsia="方正黑体_GBK" w:cs="Times New Roman"/>
                <w:color w:val="000000" w:themeColor="text1"/>
                <w:sz w:val="24"/>
                <w:szCs w:val="24"/>
                <w14:textFill>
                  <w14:solidFill>
                    <w14:schemeClr w14:val="tx1"/>
                  </w14:solidFill>
                </w14:textFill>
              </w:rPr>
              <w:t>2023年目标</w:t>
            </w:r>
          </w:p>
        </w:tc>
        <w:tc>
          <w:tcPr>
            <w:tcW w:w="1305" w:type="dxa"/>
            <w:vAlign w:val="center"/>
          </w:tcPr>
          <w:p>
            <w:pPr>
              <w:widowControl w:val="0"/>
              <w:adjustRightInd w:val="0"/>
              <w:spacing w:before="100" w:beforeAutospacing="1" w:after="100" w:afterAutospacing="1" w:line="240" w:lineRule="exact"/>
              <w:jc w:val="center"/>
              <w:rPr>
                <w:rFonts w:ascii="Times New Roman" w:hAnsi="Times New Roman" w:eastAsia="方正黑体_GBK" w:cs="Times New Roman"/>
                <w:color w:val="000000" w:themeColor="text1"/>
                <w:sz w:val="24"/>
                <w:szCs w:val="24"/>
                <w14:textFill>
                  <w14:solidFill>
                    <w14:schemeClr w14:val="tx1"/>
                  </w14:solidFill>
                </w14:textFill>
              </w:rPr>
            </w:pPr>
            <w:r>
              <w:rPr>
                <w:rFonts w:ascii="Times New Roman" w:hAnsi="Times New Roman" w:eastAsia="方正黑体_GBK" w:cs="Times New Roman"/>
                <w:color w:val="000000" w:themeColor="text1"/>
                <w:sz w:val="24"/>
                <w:szCs w:val="24"/>
                <w14:textFill>
                  <w14:solidFill>
                    <w14:schemeClr w14:val="tx1"/>
                  </w14:solidFill>
                </w14:textFill>
              </w:rPr>
              <w:t>2023年完成</w:t>
            </w:r>
          </w:p>
        </w:tc>
        <w:tc>
          <w:tcPr>
            <w:tcW w:w="854" w:type="dxa"/>
            <w:vAlign w:val="center"/>
          </w:tcPr>
          <w:p>
            <w:pPr>
              <w:widowControl w:val="0"/>
              <w:adjustRightInd w:val="0"/>
              <w:spacing w:before="100" w:beforeAutospacing="1" w:after="100" w:afterAutospacing="1" w:line="240" w:lineRule="exact"/>
              <w:jc w:val="center"/>
              <w:rPr>
                <w:rFonts w:ascii="Times New Roman" w:hAnsi="Times New Roman" w:eastAsia="方正黑体_GBK" w:cs="Times New Roman"/>
                <w:color w:val="000000" w:themeColor="text1"/>
                <w:sz w:val="24"/>
                <w:szCs w:val="24"/>
                <w14:textFill>
                  <w14:solidFill>
                    <w14:schemeClr w14:val="tx1"/>
                  </w14:solidFill>
                </w14:textFill>
              </w:rPr>
            </w:pPr>
            <w:r>
              <w:rPr>
                <w:rFonts w:ascii="Times New Roman" w:hAnsi="Times New Roman" w:eastAsia="方正黑体_GBK" w:cs="Times New Roman"/>
                <w:color w:val="000000" w:themeColor="text1"/>
                <w:sz w:val="24"/>
                <w:szCs w:val="24"/>
                <w14:textFill>
                  <w14:solidFill>
                    <w14:schemeClr w14:val="tx1"/>
                  </w14:solidFill>
                </w14:textFill>
              </w:rPr>
              <w:t>是否达到预期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40" w:hRule="atLeast"/>
          <w:jc w:val="center"/>
        </w:trPr>
        <w:tc>
          <w:tcPr>
            <w:tcW w:w="617" w:type="dxa"/>
            <w:vAlign w:val="center"/>
          </w:tcPr>
          <w:p>
            <w:pPr>
              <w:widowControl w:val="0"/>
              <w:adjustRightInd w:val="0"/>
              <w:spacing w:before="100" w:beforeAutospacing="1" w:after="100" w:afterAutospacing="1" w:line="24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1</w:t>
            </w:r>
          </w:p>
        </w:tc>
        <w:tc>
          <w:tcPr>
            <w:tcW w:w="3133" w:type="dxa"/>
            <w:vAlign w:val="center"/>
          </w:tcPr>
          <w:p>
            <w:pPr>
              <w:widowControl w:val="0"/>
              <w:adjustRightInd w:val="0"/>
              <w:spacing w:before="100" w:beforeAutospacing="1" w:after="100" w:afterAutospacing="1"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地区生产总值增速</w:t>
            </w:r>
          </w:p>
        </w:tc>
        <w:tc>
          <w:tcPr>
            <w:tcW w:w="1387"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w:t>
            </w:r>
          </w:p>
        </w:tc>
        <w:tc>
          <w:tcPr>
            <w:tcW w:w="79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133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0.1</w:t>
            </w:r>
          </w:p>
        </w:tc>
        <w:tc>
          <w:tcPr>
            <w:tcW w:w="130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0.3</w:t>
            </w:r>
          </w:p>
        </w:tc>
        <w:tc>
          <w:tcPr>
            <w:tcW w:w="854"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40" w:hRule="atLeast"/>
          <w:jc w:val="center"/>
        </w:trPr>
        <w:tc>
          <w:tcPr>
            <w:tcW w:w="617" w:type="dxa"/>
            <w:vAlign w:val="center"/>
          </w:tcPr>
          <w:p>
            <w:pPr>
              <w:widowControl w:val="0"/>
              <w:adjustRightInd w:val="0"/>
              <w:spacing w:before="100" w:beforeAutospacing="1" w:after="100" w:afterAutospacing="1" w:line="24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2</w:t>
            </w:r>
          </w:p>
        </w:tc>
        <w:tc>
          <w:tcPr>
            <w:tcW w:w="3133" w:type="dxa"/>
            <w:vAlign w:val="center"/>
          </w:tcPr>
          <w:p>
            <w:pPr>
              <w:widowControl w:val="0"/>
              <w:adjustRightInd w:val="0"/>
              <w:spacing w:before="100" w:beforeAutospacing="1" w:after="100" w:afterAutospacing="1"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人均地区生产总值</w:t>
            </w:r>
          </w:p>
        </w:tc>
        <w:tc>
          <w:tcPr>
            <w:tcW w:w="1387"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（万元）</w:t>
            </w:r>
          </w:p>
        </w:tc>
        <w:tc>
          <w:tcPr>
            <w:tcW w:w="79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133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7.5左右</w:t>
            </w:r>
          </w:p>
        </w:tc>
        <w:tc>
          <w:tcPr>
            <w:tcW w:w="130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8</w:t>
            </w:r>
            <w:r>
              <w:rPr>
                <w:rFonts w:hint="eastAsia" w:ascii="Times New Roman" w:hAnsi="Times New Roman" w:eastAsia="方正仿宋_GBK" w:cs="Times New Roman"/>
                <w:color w:val="000000" w:themeColor="text1"/>
                <w:sz w:val="24"/>
                <w:szCs w:val="24"/>
                <w14:textFill>
                  <w14:solidFill>
                    <w14:schemeClr w14:val="tx1"/>
                  </w14:solidFill>
                </w14:textFill>
              </w:rPr>
              <w:t>.</w:t>
            </w:r>
            <w:r>
              <w:rPr>
                <w:rFonts w:ascii="Times New Roman" w:hAnsi="Times New Roman" w:eastAsia="方正仿宋_GBK" w:cs="Times New Roman"/>
                <w:color w:val="000000" w:themeColor="text1"/>
                <w:sz w:val="24"/>
                <w:szCs w:val="24"/>
                <w14:textFill>
                  <w14:solidFill>
                    <w14:schemeClr w14:val="tx1"/>
                  </w14:solidFill>
                </w14:textFill>
              </w:rPr>
              <w:t>3</w:t>
            </w:r>
          </w:p>
        </w:tc>
        <w:tc>
          <w:tcPr>
            <w:tcW w:w="854"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40" w:hRule="atLeast"/>
          <w:jc w:val="center"/>
        </w:trPr>
        <w:tc>
          <w:tcPr>
            <w:tcW w:w="617" w:type="dxa"/>
            <w:vAlign w:val="center"/>
          </w:tcPr>
          <w:p>
            <w:pPr>
              <w:widowControl w:val="0"/>
              <w:adjustRightInd w:val="0"/>
              <w:spacing w:before="100" w:beforeAutospacing="1" w:after="100" w:afterAutospacing="1" w:line="24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3</w:t>
            </w:r>
          </w:p>
        </w:tc>
        <w:tc>
          <w:tcPr>
            <w:tcW w:w="3133" w:type="dxa"/>
            <w:vAlign w:val="center"/>
          </w:tcPr>
          <w:p>
            <w:pPr>
              <w:widowControl w:val="0"/>
              <w:adjustRightInd w:val="0"/>
              <w:spacing w:before="100" w:beforeAutospacing="1" w:after="100" w:afterAutospacing="1"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全员劳动生产率</w:t>
            </w:r>
          </w:p>
        </w:tc>
        <w:tc>
          <w:tcPr>
            <w:tcW w:w="1387"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（万元/人）</w:t>
            </w:r>
          </w:p>
        </w:tc>
        <w:tc>
          <w:tcPr>
            <w:tcW w:w="79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133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15</w:t>
            </w:r>
          </w:p>
        </w:tc>
        <w:tc>
          <w:tcPr>
            <w:tcW w:w="130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16</w:t>
            </w:r>
            <w:r>
              <w:rPr>
                <w:rFonts w:hint="eastAsia" w:ascii="Times New Roman" w:hAnsi="Times New Roman" w:eastAsia="方正仿宋_GBK" w:cs="Times New Roman"/>
                <w:color w:val="000000" w:themeColor="text1"/>
                <w:sz w:val="24"/>
                <w:szCs w:val="24"/>
                <w14:textFill>
                  <w14:solidFill>
                    <w14:schemeClr w14:val="tx1"/>
                  </w14:solidFill>
                </w14:textFill>
              </w:rPr>
              <w:t>.</w:t>
            </w:r>
            <w:r>
              <w:rPr>
                <w:rFonts w:ascii="Times New Roman" w:hAnsi="Times New Roman" w:eastAsia="方正仿宋_GBK" w:cs="Times New Roman"/>
                <w:color w:val="000000" w:themeColor="text1"/>
                <w:sz w:val="24"/>
                <w:szCs w:val="24"/>
                <w14:textFill>
                  <w14:solidFill>
                    <w14:schemeClr w14:val="tx1"/>
                  </w14:solidFill>
                </w14:textFill>
              </w:rPr>
              <w:t>3</w:t>
            </w:r>
          </w:p>
        </w:tc>
        <w:tc>
          <w:tcPr>
            <w:tcW w:w="854"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40" w:hRule="atLeast"/>
          <w:jc w:val="center"/>
        </w:trPr>
        <w:tc>
          <w:tcPr>
            <w:tcW w:w="617" w:type="dxa"/>
            <w:vAlign w:val="center"/>
          </w:tcPr>
          <w:p>
            <w:pPr>
              <w:widowControl w:val="0"/>
              <w:adjustRightInd w:val="0"/>
              <w:spacing w:before="100" w:beforeAutospacing="1" w:after="100" w:afterAutospacing="1" w:line="24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4</w:t>
            </w:r>
          </w:p>
        </w:tc>
        <w:tc>
          <w:tcPr>
            <w:tcW w:w="3133" w:type="dxa"/>
            <w:vAlign w:val="center"/>
          </w:tcPr>
          <w:p>
            <w:pPr>
              <w:widowControl w:val="0"/>
              <w:adjustRightInd w:val="0"/>
              <w:spacing w:before="100" w:beforeAutospacing="1" w:after="100" w:afterAutospacing="1"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规上工业增加值增速</w:t>
            </w:r>
          </w:p>
        </w:tc>
        <w:tc>
          <w:tcPr>
            <w:tcW w:w="1387"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w:t>
            </w:r>
          </w:p>
        </w:tc>
        <w:tc>
          <w:tcPr>
            <w:tcW w:w="79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133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-18左右</w:t>
            </w:r>
          </w:p>
        </w:tc>
        <w:tc>
          <w:tcPr>
            <w:tcW w:w="130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-15</w:t>
            </w:r>
            <w:r>
              <w:rPr>
                <w:rFonts w:hint="eastAsia" w:ascii="Times New Roman" w:hAnsi="Times New Roman" w:eastAsia="方正仿宋_GBK" w:cs="Times New Roman"/>
                <w:color w:val="000000" w:themeColor="text1"/>
                <w:sz w:val="24"/>
                <w:szCs w:val="24"/>
                <w14:textFill>
                  <w14:solidFill>
                    <w14:schemeClr w14:val="tx1"/>
                  </w14:solidFill>
                </w14:textFill>
              </w:rPr>
              <w:t>.</w:t>
            </w:r>
            <w:r>
              <w:rPr>
                <w:rFonts w:ascii="Times New Roman" w:hAnsi="Times New Roman" w:eastAsia="方正仿宋_GBK" w:cs="Times New Roman"/>
                <w:color w:val="000000" w:themeColor="text1"/>
                <w:sz w:val="24"/>
                <w:szCs w:val="24"/>
                <w14:textFill>
                  <w14:solidFill>
                    <w14:schemeClr w14:val="tx1"/>
                  </w14:solidFill>
                </w14:textFill>
              </w:rPr>
              <w:t>1</w:t>
            </w:r>
          </w:p>
        </w:tc>
        <w:tc>
          <w:tcPr>
            <w:tcW w:w="854"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40" w:hRule="atLeast"/>
          <w:jc w:val="center"/>
        </w:trPr>
        <w:tc>
          <w:tcPr>
            <w:tcW w:w="617" w:type="dxa"/>
            <w:vAlign w:val="center"/>
          </w:tcPr>
          <w:p>
            <w:pPr>
              <w:widowControl w:val="0"/>
              <w:adjustRightInd w:val="0"/>
              <w:spacing w:before="100" w:beforeAutospacing="1" w:after="100" w:afterAutospacing="1" w:line="24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5</w:t>
            </w:r>
          </w:p>
        </w:tc>
        <w:tc>
          <w:tcPr>
            <w:tcW w:w="3133" w:type="dxa"/>
            <w:vAlign w:val="center"/>
          </w:tcPr>
          <w:p>
            <w:pPr>
              <w:widowControl w:val="0"/>
              <w:adjustRightInd w:val="0"/>
              <w:spacing w:before="100" w:beforeAutospacing="1" w:after="100" w:afterAutospacing="1"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固定资产投资增速</w:t>
            </w:r>
          </w:p>
        </w:tc>
        <w:tc>
          <w:tcPr>
            <w:tcW w:w="1387"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w:t>
            </w:r>
          </w:p>
        </w:tc>
        <w:tc>
          <w:tcPr>
            <w:tcW w:w="79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133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1左右</w:t>
            </w:r>
          </w:p>
        </w:tc>
        <w:tc>
          <w:tcPr>
            <w:tcW w:w="130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-7</w:t>
            </w:r>
            <w:r>
              <w:rPr>
                <w:rFonts w:hint="eastAsia" w:ascii="Times New Roman" w:hAnsi="Times New Roman" w:eastAsia="方正仿宋_GBK" w:cs="Times New Roman"/>
                <w:color w:val="000000" w:themeColor="text1"/>
                <w:sz w:val="24"/>
                <w:szCs w:val="24"/>
                <w14:textFill>
                  <w14:solidFill>
                    <w14:schemeClr w14:val="tx1"/>
                  </w14:solidFill>
                </w14:textFill>
              </w:rPr>
              <w:t>.</w:t>
            </w:r>
            <w:r>
              <w:rPr>
                <w:rFonts w:ascii="Times New Roman" w:hAnsi="Times New Roman" w:eastAsia="方正仿宋_GBK" w:cs="Times New Roman"/>
                <w:color w:val="000000" w:themeColor="text1"/>
                <w:sz w:val="24"/>
                <w:szCs w:val="24"/>
                <w14:textFill>
                  <w14:solidFill>
                    <w14:schemeClr w14:val="tx1"/>
                  </w14:solidFill>
                </w14:textFill>
              </w:rPr>
              <w:t>6</w:t>
            </w:r>
          </w:p>
        </w:tc>
        <w:tc>
          <w:tcPr>
            <w:tcW w:w="854"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40" w:hRule="atLeast"/>
          <w:jc w:val="center"/>
        </w:trPr>
        <w:tc>
          <w:tcPr>
            <w:tcW w:w="617" w:type="dxa"/>
            <w:vAlign w:val="center"/>
          </w:tcPr>
          <w:p>
            <w:pPr>
              <w:widowControl w:val="0"/>
              <w:adjustRightInd w:val="0"/>
              <w:spacing w:before="100" w:beforeAutospacing="1" w:after="100" w:afterAutospacing="1" w:line="24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6</w:t>
            </w:r>
          </w:p>
        </w:tc>
        <w:tc>
          <w:tcPr>
            <w:tcW w:w="3133" w:type="dxa"/>
            <w:vAlign w:val="center"/>
          </w:tcPr>
          <w:p>
            <w:pPr>
              <w:widowControl w:val="0"/>
              <w:adjustRightInd w:val="0"/>
              <w:spacing w:before="100" w:beforeAutospacing="1" w:after="100" w:afterAutospacing="1"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社会消费品零售总额增速</w:t>
            </w:r>
          </w:p>
        </w:tc>
        <w:tc>
          <w:tcPr>
            <w:tcW w:w="1387"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w:t>
            </w:r>
          </w:p>
        </w:tc>
        <w:tc>
          <w:tcPr>
            <w:tcW w:w="79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133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8左右</w:t>
            </w:r>
          </w:p>
        </w:tc>
        <w:tc>
          <w:tcPr>
            <w:tcW w:w="130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9</w:t>
            </w:r>
            <w:r>
              <w:rPr>
                <w:rFonts w:hint="eastAsia" w:ascii="Times New Roman" w:hAnsi="Times New Roman" w:eastAsia="方正仿宋_GBK" w:cs="Times New Roman"/>
                <w:color w:val="000000" w:themeColor="text1"/>
                <w:sz w:val="24"/>
                <w:szCs w:val="24"/>
                <w14:textFill>
                  <w14:solidFill>
                    <w14:schemeClr w14:val="tx1"/>
                  </w14:solidFill>
                </w14:textFill>
              </w:rPr>
              <w:t>.</w:t>
            </w:r>
            <w:r>
              <w:rPr>
                <w:rFonts w:ascii="Times New Roman" w:hAnsi="Times New Roman" w:eastAsia="方正仿宋_GBK" w:cs="Times New Roman"/>
                <w:color w:val="000000" w:themeColor="text1"/>
                <w:sz w:val="24"/>
                <w:szCs w:val="24"/>
                <w14:textFill>
                  <w14:solidFill>
                    <w14:schemeClr w14:val="tx1"/>
                  </w14:solidFill>
                </w14:textFill>
              </w:rPr>
              <w:t>4</w:t>
            </w:r>
          </w:p>
        </w:tc>
        <w:tc>
          <w:tcPr>
            <w:tcW w:w="854"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40" w:hRule="atLeast"/>
          <w:jc w:val="center"/>
        </w:trPr>
        <w:tc>
          <w:tcPr>
            <w:tcW w:w="617" w:type="dxa"/>
            <w:vAlign w:val="center"/>
          </w:tcPr>
          <w:p>
            <w:pPr>
              <w:widowControl w:val="0"/>
              <w:adjustRightInd w:val="0"/>
              <w:spacing w:before="100" w:beforeAutospacing="1" w:after="100" w:afterAutospacing="1" w:line="24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7</w:t>
            </w:r>
          </w:p>
        </w:tc>
        <w:tc>
          <w:tcPr>
            <w:tcW w:w="3133" w:type="dxa"/>
            <w:vAlign w:val="center"/>
          </w:tcPr>
          <w:p>
            <w:pPr>
              <w:widowControl w:val="0"/>
              <w:adjustRightInd w:val="0"/>
              <w:spacing w:before="100" w:beforeAutospacing="1" w:after="100" w:afterAutospacing="1"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战略性新兴制造业产值占规上工业总产值比重</w:t>
            </w:r>
          </w:p>
        </w:tc>
        <w:tc>
          <w:tcPr>
            <w:tcW w:w="1387"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w:t>
            </w:r>
          </w:p>
        </w:tc>
        <w:tc>
          <w:tcPr>
            <w:tcW w:w="79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133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65</w:t>
            </w:r>
          </w:p>
        </w:tc>
        <w:tc>
          <w:tcPr>
            <w:tcW w:w="130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57.2</w:t>
            </w:r>
          </w:p>
        </w:tc>
        <w:tc>
          <w:tcPr>
            <w:tcW w:w="854"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40" w:hRule="atLeast"/>
          <w:jc w:val="center"/>
        </w:trPr>
        <w:tc>
          <w:tcPr>
            <w:tcW w:w="617" w:type="dxa"/>
            <w:vAlign w:val="center"/>
          </w:tcPr>
          <w:p>
            <w:pPr>
              <w:widowControl w:val="0"/>
              <w:adjustRightInd w:val="0"/>
              <w:spacing w:before="100" w:beforeAutospacing="1" w:after="100" w:afterAutospacing="1" w:line="24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8</w:t>
            </w:r>
          </w:p>
        </w:tc>
        <w:tc>
          <w:tcPr>
            <w:tcW w:w="3133" w:type="dxa"/>
            <w:vAlign w:val="center"/>
          </w:tcPr>
          <w:p>
            <w:pPr>
              <w:widowControl w:val="0"/>
              <w:adjustRightInd w:val="0"/>
              <w:spacing w:before="100" w:beforeAutospacing="1" w:after="100" w:afterAutospacing="1"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服务业增加值增速</w:t>
            </w:r>
          </w:p>
        </w:tc>
        <w:tc>
          <w:tcPr>
            <w:tcW w:w="1387"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w:t>
            </w:r>
          </w:p>
        </w:tc>
        <w:tc>
          <w:tcPr>
            <w:tcW w:w="79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133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6.5左右</w:t>
            </w:r>
          </w:p>
        </w:tc>
        <w:tc>
          <w:tcPr>
            <w:tcW w:w="130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8</w:t>
            </w:r>
            <w:r>
              <w:rPr>
                <w:rFonts w:hint="eastAsia" w:ascii="Times New Roman" w:hAnsi="Times New Roman" w:eastAsia="方正仿宋_GBK" w:cs="Times New Roman"/>
                <w:color w:val="000000" w:themeColor="text1"/>
                <w:sz w:val="24"/>
                <w:szCs w:val="24"/>
                <w14:textFill>
                  <w14:solidFill>
                    <w14:schemeClr w14:val="tx1"/>
                  </w14:solidFill>
                </w14:textFill>
              </w:rPr>
              <w:t>.</w:t>
            </w:r>
            <w:r>
              <w:rPr>
                <w:rFonts w:ascii="Times New Roman" w:hAnsi="Times New Roman" w:eastAsia="方正仿宋_GBK" w:cs="Times New Roman"/>
                <w:color w:val="000000" w:themeColor="text1"/>
                <w:sz w:val="24"/>
                <w:szCs w:val="24"/>
                <w14:textFill>
                  <w14:solidFill>
                    <w14:schemeClr w14:val="tx1"/>
                  </w14:solidFill>
                </w14:textFill>
              </w:rPr>
              <w:t>7</w:t>
            </w:r>
          </w:p>
        </w:tc>
        <w:tc>
          <w:tcPr>
            <w:tcW w:w="854"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40" w:hRule="atLeast"/>
          <w:jc w:val="center"/>
        </w:trPr>
        <w:tc>
          <w:tcPr>
            <w:tcW w:w="617" w:type="dxa"/>
            <w:vAlign w:val="center"/>
          </w:tcPr>
          <w:p>
            <w:pPr>
              <w:widowControl w:val="0"/>
              <w:adjustRightInd w:val="0"/>
              <w:spacing w:before="100" w:beforeAutospacing="1" w:after="100" w:afterAutospacing="1" w:line="24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9</w:t>
            </w:r>
          </w:p>
        </w:tc>
        <w:tc>
          <w:tcPr>
            <w:tcW w:w="3133" w:type="dxa"/>
            <w:vAlign w:val="center"/>
          </w:tcPr>
          <w:p>
            <w:pPr>
              <w:widowControl w:val="0"/>
              <w:adjustRightInd w:val="0"/>
              <w:spacing w:before="100" w:beforeAutospacing="1" w:after="100" w:afterAutospacing="1"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数字产业增加值占地区生产总值比重</w:t>
            </w:r>
          </w:p>
        </w:tc>
        <w:tc>
          <w:tcPr>
            <w:tcW w:w="1387"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w:t>
            </w:r>
          </w:p>
        </w:tc>
        <w:tc>
          <w:tcPr>
            <w:tcW w:w="79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133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10</w:t>
            </w:r>
          </w:p>
        </w:tc>
        <w:tc>
          <w:tcPr>
            <w:tcW w:w="130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10</w:t>
            </w:r>
          </w:p>
        </w:tc>
        <w:tc>
          <w:tcPr>
            <w:tcW w:w="854"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40" w:hRule="atLeast"/>
          <w:jc w:val="center"/>
        </w:trPr>
        <w:tc>
          <w:tcPr>
            <w:tcW w:w="617" w:type="dxa"/>
            <w:vAlign w:val="center"/>
          </w:tcPr>
          <w:p>
            <w:pPr>
              <w:widowControl w:val="0"/>
              <w:adjustRightInd w:val="0"/>
              <w:spacing w:before="100" w:beforeAutospacing="1" w:after="100" w:afterAutospacing="1" w:line="24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10</w:t>
            </w:r>
          </w:p>
        </w:tc>
        <w:tc>
          <w:tcPr>
            <w:tcW w:w="3133" w:type="dxa"/>
            <w:vAlign w:val="center"/>
          </w:tcPr>
          <w:p>
            <w:pPr>
              <w:widowControl w:val="0"/>
              <w:adjustRightInd w:val="0"/>
              <w:spacing w:before="100" w:beforeAutospacing="1" w:after="100" w:afterAutospacing="1"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文化产业增加值占地区生产总值比重</w:t>
            </w:r>
          </w:p>
        </w:tc>
        <w:tc>
          <w:tcPr>
            <w:tcW w:w="1387"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w:t>
            </w:r>
          </w:p>
        </w:tc>
        <w:tc>
          <w:tcPr>
            <w:tcW w:w="79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133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5.5</w:t>
            </w:r>
          </w:p>
        </w:tc>
        <w:tc>
          <w:tcPr>
            <w:tcW w:w="130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5.2</w:t>
            </w:r>
          </w:p>
        </w:tc>
        <w:tc>
          <w:tcPr>
            <w:tcW w:w="854"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40" w:hRule="atLeast"/>
          <w:jc w:val="center"/>
        </w:trPr>
        <w:tc>
          <w:tcPr>
            <w:tcW w:w="617" w:type="dxa"/>
            <w:vAlign w:val="center"/>
          </w:tcPr>
          <w:p>
            <w:pPr>
              <w:widowControl w:val="0"/>
              <w:adjustRightInd w:val="0"/>
              <w:spacing w:before="100" w:beforeAutospacing="1" w:after="100" w:afterAutospacing="1" w:line="24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11</w:t>
            </w:r>
          </w:p>
        </w:tc>
        <w:tc>
          <w:tcPr>
            <w:tcW w:w="3133" w:type="dxa"/>
            <w:vAlign w:val="center"/>
          </w:tcPr>
          <w:p>
            <w:pPr>
              <w:widowControl w:val="0"/>
              <w:adjustRightInd w:val="0"/>
              <w:spacing w:before="100" w:beforeAutospacing="1" w:after="100" w:afterAutospacing="1"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研究与试验发展支出占地区生产总值比重</w:t>
            </w:r>
          </w:p>
        </w:tc>
        <w:tc>
          <w:tcPr>
            <w:tcW w:w="1387"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w:t>
            </w:r>
          </w:p>
        </w:tc>
        <w:tc>
          <w:tcPr>
            <w:tcW w:w="79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133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4左右（保持全市前列）</w:t>
            </w:r>
          </w:p>
        </w:tc>
        <w:tc>
          <w:tcPr>
            <w:tcW w:w="130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3.63（全市第五名）</w:t>
            </w:r>
          </w:p>
        </w:tc>
        <w:tc>
          <w:tcPr>
            <w:tcW w:w="854"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40" w:hRule="atLeast"/>
          <w:jc w:val="center"/>
        </w:trPr>
        <w:tc>
          <w:tcPr>
            <w:tcW w:w="617" w:type="dxa"/>
            <w:vAlign w:val="center"/>
          </w:tcPr>
          <w:p>
            <w:pPr>
              <w:widowControl w:val="0"/>
              <w:adjustRightInd w:val="0"/>
              <w:spacing w:before="100" w:beforeAutospacing="1" w:after="100" w:afterAutospacing="1" w:line="24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12</w:t>
            </w:r>
          </w:p>
        </w:tc>
        <w:tc>
          <w:tcPr>
            <w:tcW w:w="3133" w:type="dxa"/>
            <w:vAlign w:val="center"/>
          </w:tcPr>
          <w:p>
            <w:pPr>
              <w:widowControl w:val="0"/>
              <w:adjustRightInd w:val="0"/>
              <w:spacing w:before="100" w:beforeAutospacing="1" w:after="100" w:afterAutospacing="1"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万人发明专利拥有量</w:t>
            </w:r>
          </w:p>
        </w:tc>
        <w:tc>
          <w:tcPr>
            <w:tcW w:w="1387"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（件）</w:t>
            </w:r>
          </w:p>
        </w:tc>
        <w:tc>
          <w:tcPr>
            <w:tcW w:w="79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133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22.5</w:t>
            </w:r>
          </w:p>
        </w:tc>
        <w:tc>
          <w:tcPr>
            <w:tcW w:w="130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26</w:t>
            </w:r>
            <w:r>
              <w:rPr>
                <w:rFonts w:hint="eastAsia" w:ascii="Times New Roman" w:hAnsi="Times New Roman" w:eastAsia="方正仿宋_GBK" w:cs="Times New Roman"/>
                <w:color w:val="000000" w:themeColor="text1"/>
                <w:sz w:val="24"/>
                <w:szCs w:val="24"/>
                <w14:textFill>
                  <w14:solidFill>
                    <w14:schemeClr w14:val="tx1"/>
                  </w14:solidFill>
                </w14:textFill>
              </w:rPr>
              <w:t>.</w:t>
            </w:r>
            <w:r>
              <w:rPr>
                <w:rFonts w:ascii="Times New Roman" w:hAnsi="Times New Roman" w:eastAsia="方正仿宋_GBK" w:cs="Times New Roman"/>
                <w:color w:val="000000" w:themeColor="text1"/>
                <w:sz w:val="24"/>
                <w:szCs w:val="24"/>
                <w14:textFill>
                  <w14:solidFill>
                    <w14:schemeClr w14:val="tx1"/>
                  </w14:solidFill>
                </w14:textFill>
              </w:rPr>
              <w:t>01</w:t>
            </w:r>
          </w:p>
        </w:tc>
        <w:tc>
          <w:tcPr>
            <w:tcW w:w="854"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40" w:hRule="atLeast"/>
          <w:jc w:val="center"/>
        </w:trPr>
        <w:tc>
          <w:tcPr>
            <w:tcW w:w="617" w:type="dxa"/>
            <w:vAlign w:val="center"/>
          </w:tcPr>
          <w:p>
            <w:pPr>
              <w:widowControl w:val="0"/>
              <w:adjustRightInd w:val="0"/>
              <w:spacing w:before="100" w:beforeAutospacing="1" w:after="100" w:afterAutospacing="1" w:line="24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13</w:t>
            </w:r>
          </w:p>
        </w:tc>
        <w:tc>
          <w:tcPr>
            <w:tcW w:w="3133" w:type="dxa"/>
            <w:vAlign w:val="center"/>
          </w:tcPr>
          <w:p>
            <w:pPr>
              <w:widowControl w:val="0"/>
              <w:adjustRightInd w:val="0"/>
              <w:spacing w:before="100" w:beforeAutospacing="1" w:after="100" w:afterAutospacing="1"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本外币存贷款余额增速</w:t>
            </w:r>
          </w:p>
        </w:tc>
        <w:tc>
          <w:tcPr>
            <w:tcW w:w="1387"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w:t>
            </w:r>
          </w:p>
        </w:tc>
        <w:tc>
          <w:tcPr>
            <w:tcW w:w="79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133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15</w:t>
            </w:r>
          </w:p>
        </w:tc>
        <w:tc>
          <w:tcPr>
            <w:tcW w:w="130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5</w:t>
            </w:r>
          </w:p>
        </w:tc>
        <w:tc>
          <w:tcPr>
            <w:tcW w:w="854"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40" w:hRule="atLeast"/>
          <w:jc w:val="center"/>
        </w:trPr>
        <w:tc>
          <w:tcPr>
            <w:tcW w:w="617" w:type="dxa"/>
            <w:vAlign w:val="center"/>
          </w:tcPr>
          <w:p>
            <w:pPr>
              <w:widowControl w:val="0"/>
              <w:adjustRightInd w:val="0"/>
              <w:spacing w:before="100" w:beforeAutospacing="1" w:after="100" w:afterAutospacing="1" w:line="24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14</w:t>
            </w:r>
          </w:p>
        </w:tc>
        <w:tc>
          <w:tcPr>
            <w:tcW w:w="3133" w:type="dxa"/>
            <w:vAlign w:val="center"/>
          </w:tcPr>
          <w:p>
            <w:pPr>
              <w:widowControl w:val="0"/>
              <w:adjustRightInd w:val="0"/>
              <w:spacing w:before="100" w:beforeAutospacing="1" w:after="100" w:afterAutospacing="1"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进出口总额增速</w:t>
            </w:r>
          </w:p>
        </w:tc>
        <w:tc>
          <w:tcPr>
            <w:tcW w:w="1387"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w:t>
            </w:r>
          </w:p>
        </w:tc>
        <w:tc>
          <w:tcPr>
            <w:tcW w:w="79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133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正增长</w:t>
            </w:r>
          </w:p>
        </w:tc>
        <w:tc>
          <w:tcPr>
            <w:tcW w:w="130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-22</w:t>
            </w:r>
            <w:r>
              <w:rPr>
                <w:rFonts w:hint="eastAsia" w:ascii="Times New Roman" w:hAnsi="Times New Roman" w:eastAsia="方正仿宋_GBK" w:cs="Times New Roman"/>
                <w:color w:val="000000" w:themeColor="text1"/>
                <w:sz w:val="24"/>
                <w:szCs w:val="24"/>
                <w14:textFill>
                  <w14:solidFill>
                    <w14:schemeClr w14:val="tx1"/>
                  </w14:solidFill>
                </w14:textFill>
              </w:rPr>
              <w:t>.</w:t>
            </w:r>
            <w:r>
              <w:rPr>
                <w:rFonts w:ascii="Times New Roman" w:hAnsi="Times New Roman" w:eastAsia="方正仿宋_GBK" w:cs="Times New Roman"/>
                <w:color w:val="000000" w:themeColor="text1"/>
                <w:sz w:val="24"/>
                <w:szCs w:val="24"/>
                <w14:textFill>
                  <w14:solidFill>
                    <w14:schemeClr w14:val="tx1"/>
                  </w14:solidFill>
                </w14:textFill>
              </w:rPr>
              <w:t>3</w:t>
            </w:r>
          </w:p>
        </w:tc>
        <w:tc>
          <w:tcPr>
            <w:tcW w:w="854"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90" w:hRule="atLeast"/>
          <w:jc w:val="center"/>
        </w:trPr>
        <w:tc>
          <w:tcPr>
            <w:tcW w:w="617" w:type="dxa"/>
            <w:vAlign w:val="center"/>
          </w:tcPr>
          <w:p>
            <w:pPr>
              <w:widowControl w:val="0"/>
              <w:adjustRightInd w:val="0"/>
              <w:spacing w:before="100" w:beforeAutospacing="1" w:after="100" w:afterAutospacing="1" w:line="24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15</w:t>
            </w:r>
          </w:p>
        </w:tc>
        <w:tc>
          <w:tcPr>
            <w:tcW w:w="3133" w:type="dxa"/>
            <w:vAlign w:val="center"/>
          </w:tcPr>
          <w:p>
            <w:pPr>
              <w:widowControl w:val="0"/>
              <w:adjustRightInd w:val="0"/>
              <w:spacing w:before="100" w:beforeAutospacing="1" w:after="100" w:afterAutospacing="1"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实际</w:t>
            </w:r>
            <w:r>
              <w:rPr>
                <w:rFonts w:hint="eastAsia" w:ascii="Times New Roman" w:hAnsi="Times New Roman" w:eastAsia="方正仿宋_GBK" w:cs="Times New Roman"/>
                <w:color w:val="000000" w:themeColor="text1"/>
                <w:sz w:val="24"/>
                <w:szCs w:val="24"/>
                <w14:textFill>
                  <w14:solidFill>
                    <w14:schemeClr w14:val="tx1"/>
                  </w14:solidFill>
                </w14:textFill>
              </w:rPr>
              <w:t>使用</w:t>
            </w:r>
            <w:r>
              <w:rPr>
                <w:rFonts w:ascii="Times New Roman" w:hAnsi="Times New Roman" w:eastAsia="方正仿宋_GBK" w:cs="Times New Roman"/>
                <w:color w:val="000000" w:themeColor="text1"/>
                <w:sz w:val="24"/>
                <w:szCs w:val="24"/>
                <w14:textFill>
                  <w14:solidFill>
                    <w14:schemeClr w14:val="tx1"/>
                  </w14:solidFill>
                </w14:textFill>
              </w:rPr>
              <w:t>外资</w:t>
            </w:r>
          </w:p>
        </w:tc>
        <w:tc>
          <w:tcPr>
            <w:tcW w:w="1387"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（亿美元）</w:t>
            </w:r>
          </w:p>
        </w:tc>
        <w:tc>
          <w:tcPr>
            <w:tcW w:w="79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133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完成市级下达任务</w:t>
            </w:r>
          </w:p>
        </w:tc>
        <w:tc>
          <w:tcPr>
            <w:tcW w:w="130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 xml:space="preserve">56万美元 </w:t>
            </w:r>
          </w:p>
        </w:tc>
        <w:tc>
          <w:tcPr>
            <w:tcW w:w="854"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40" w:hRule="atLeast"/>
          <w:jc w:val="center"/>
        </w:trPr>
        <w:tc>
          <w:tcPr>
            <w:tcW w:w="617" w:type="dxa"/>
            <w:vAlign w:val="center"/>
          </w:tcPr>
          <w:p>
            <w:pPr>
              <w:widowControl w:val="0"/>
              <w:adjustRightInd w:val="0"/>
              <w:spacing w:before="100" w:beforeAutospacing="1" w:after="100" w:afterAutospacing="1" w:line="24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16</w:t>
            </w:r>
          </w:p>
        </w:tc>
        <w:tc>
          <w:tcPr>
            <w:tcW w:w="3133" w:type="dxa"/>
            <w:vAlign w:val="center"/>
          </w:tcPr>
          <w:p>
            <w:pPr>
              <w:widowControl w:val="0"/>
              <w:adjustRightInd w:val="0"/>
              <w:spacing w:before="100" w:beforeAutospacing="1" w:after="100" w:afterAutospacing="1"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民营经济市场主体</w:t>
            </w:r>
          </w:p>
        </w:tc>
        <w:tc>
          <w:tcPr>
            <w:tcW w:w="1387"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（家）</w:t>
            </w:r>
          </w:p>
        </w:tc>
        <w:tc>
          <w:tcPr>
            <w:tcW w:w="79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133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39000</w:t>
            </w:r>
          </w:p>
        </w:tc>
        <w:tc>
          <w:tcPr>
            <w:tcW w:w="130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41326</w:t>
            </w:r>
          </w:p>
        </w:tc>
        <w:tc>
          <w:tcPr>
            <w:tcW w:w="854"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40" w:hRule="atLeast"/>
          <w:jc w:val="center"/>
        </w:trPr>
        <w:tc>
          <w:tcPr>
            <w:tcW w:w="617" w:type="dxa"/>
            <w:vAlign w:val="center"/>
          </w:tcPr>
          <w:p>
            <w:pPr>
              <w:widowControl w:val="0"/>
              <w:adjustRightInd w:val="0"/>
              <w:spacing w:before="100" w:beforeAutospacing="1" w:after="100" w:afterAutospacing="1" w:line="24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17</w:t>
            </w:r>
          </w:p>
        </w:tc>
        <w:tc>
          <w:tcPr>
            <w:tcW w:w="3133" w:type="dxa"/>
            <w:vAlign w:val="center"/>
          </w:tcPr>
          <w:p>
            <w:pPr>
              <w:widowControl w:val="0"/>
              <w:adjustRightInd w:val="0"/>
              <w:spacing w:before="100" w:beforeAutospacing="1" w:after="100" w:afterAutospacing="1"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民营经济增加值增速</w:t>
            </w:r>
          </w:p>
        </w:tc>
        <w:tc>
          <w:tcPr>
            <w:tcW w:w="1387"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w:t>
            </w:r>
          </w:p>
        </w:tc>
        <w:tc>
          <w:tcPr>
            <w:tcW w:w="79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133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6.5</w:t>
            </w:r>
          </w:p>
        </w:tc>
        <w:tc>
          <w:tcPr>
            <w:tcW w:w="130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-15</w:t>
            </w:r>
          </w:p>
        </w:tc>
        <w:tc>
          <w:tcPr>
            <w:tcW w:w="854"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40" w:hRule="atLeast"/>
          <w:jc w:val="center"/>
        </w:trPr>
        <w:tc>
          <w:tcPr>
            <w:tcW w:w="617" w:type="dxa"/>
            <w:vAlign w:val="center"/>
          </w:tcPr>
          <w:p>
            <w:pPr>
              <w:widowControl w:val="0"/>
              <w:adjustRightInd w:val="0"/>
              <w:spacing w:before="100" w:beforeAutospacing="1" w:after="100" w:afterAutospacing="1" w:line="24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18</w:t>
            </w:r>
          </w:p>
        </w:tc>
        <w:tc>
          <w:tcPr>
            <w:tcW w:w="3133" w:type="dxa"/>
            <w:vAlign w:val="center"/>
          </w:tcPr>
          <w:p>
            <w:pPr>
              <w:widowControl w:val="0"/>
              <w:adjustRightInd w:val="0"/>
              <w:spacing w:before="100" w:beforeAutospacing="1" w:after="100" w:afterAutospacing="1"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一般公共预算收入增速</w:t>
            </w:r>
          </w:p>
        </w:tc>
        <w:tc>
          <w:tcPr>
            <w:tcW w:w="1387"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w:t>
            </w:r>
          </w:p>
        </w:tc>
        <w:tc>
          <w:tcPr>
            <w:tcW w:w="79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133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6.5左右</w:t>
            </w:r>
          </w:p>
        </w:tc>
        <w:tc>
          <w:tcPr>
            <w:tcW w:w="130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9</w:t>
            </w:r>
          </w:p>
        </w:tc>
        <w:tc>
          <w:tcPr>
            <w:tcW w:w="854"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90" w:hRule="atLeast"/>
          <w:jc w:val="center"/>
        </w:trPr>
        <w:tc>
          <w:tcPr>
            <w:tcW w:w="617" w:type="dxa"/>
            <w:vAlign w:val="center"/>
          </w:tcPr>
          <w:p>
            <w:pPr>
              <w:widowControl w:val="0"/>
              <w:adjustRightInd w:val="0"/>
              <w:spacing w:before="100" w:beforeAutospacing="1" w:after="100" w:afterAutospacing="1" w:line="24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19</w:t>
            </w:r>
          </w:p>
        </w:tc>
        <w:tc>
          <w:tcPr>
            <w:tcW w:w="3133" w:type="dxa"/>
            <w:vAlign w:val="center"/>
          </w:tcPr>
          <w:p>
            <w:pPr>
              <w:widowControl w:val="0"/>
              <w:adjustRightInd w:val="0"/>
              <w:spacing w:before="100" w:beforeAutospacing="1" w:after="100" w:afterAutospacing="1"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单位地区生产总值能源消耗降低</w:t>
            </w:r>
          </w:p>
        </w:tc>
        <w:tc>
          <w:tcPr>
            <w:tcW w:w="1387"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w:t>
            </w:r>
          </w:p>
        </w:tc>
        <w:tc>
          <w:tcPr>
            <w:tcW w:w="79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约束性</w:t>
            </w:r>
          </w:p>
        </w:tc>
        <w:tc>
          <w:tcPr>
            <w:tcW w:w="133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完成市级下达任务</w:t>
            </w:r>
          </w:p>
        </w:tc>
        <w:tc>
          <w:tcPr>
            <w:tcW w:w="130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完成市级下达任务</w:t>
            </w:r>
          </w:p>
        </w:tc>
        <w:tc>
          <w:tcPr>
            <w:tcW w:w="854"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40" w:hRule="atLeast"/>
          <w:jc w:val="center"/>
        </w:trPr>
        <w:tc>
          <w:tcPr>
            <w:tcW w:w="617" w:type="dxa"/>
            <w:vAlign w:val="center"/>
          </w:tcPr>
          <w:p>
            <w:pPr>
              <w:widowControl w:val="0"/>
              <w:adjustRightInd w:val="0"/>
              <w:spacing w:before="100" w:beforeAutospacing="1" w:after="100" w:afterAutospacing="1" w:line="24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20</w:t>
            </w:r>
          </w:p>
        </w:tc>
        <w:tc>
          <w:tcPr>
            <w:tcW w:w="3133" w:type="dxa"/>
            <w:vAlign w:val="center"/>
          </w:tcPr>
          <w:p>
            <w:pPr>
              <w:widowControl w:val="0"/>
              <w:adjustRightInd w:val="0"/>
              <w:spacing w:before="100" w:beforeAutospacing="1" w:after="100" w:afterAutospacing="1"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单位地区生产总值二氧化碳排放降低</w:t>
            </w:r>
          </w:p>
        </w:tc>
        <w:tc>
          <w:tcPr>
            <w:tcW w:w="1387"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w:t>
            </w:r>
          </w:p>
        </w:tc>
        <w:tc>
          <w:tcPr>
            <w:tcW w:w="79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约束性</w:t>
            </w:r>
          </w:p>
        </w:tc>
        <w:tc>
          <w:tcPr>
            <w:tcW w:w="133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完成市级下达任务</w:t>
            </w:r>
          </w:p>
        </w:tc>
        <w:tc>
          <w:tcPr>
            <w:tcW w:w="130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完成市级下达任务</w:t>
            </w:r>
          </w:p>
        </w:tc>
        <w:tc>
          <w:tcPr>
            <w:tcW w:w="854"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40" w:hRule="atLeast"/>
          <w:jc w:val="center"/>
        </w:trPr>
        <w:tc>
          <w:tcPr>
            <w:tcW w:w="617" w:type="dxa"/>
            <w:vAlign w:val="center"/>
          </w:tcPr>
          <w:p>
            <w:pPr>
              <w:widowControl w:val="0"/>
              <w:adjustRightInd w:val="0"/>
              <w:spacing w:before="100" w:beforeAutospacing="1" w:after="100" w:afterAutospacing="1" w:line="24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21</w:t>
            </w:r>
          </w:p>
        </w:tc>
        <w:tc>
          <w:tcPr>
            <w:tcW w:w="3133" w:type="dxa"/>
            <w:vAlign w:val="center"/>
          </w:tcPr>
          <w:p>
            <w:pPr>
              <w:widowControl w:val="0"/>
              <w:adjustRightInd w:val="0"/>
              <w:spacing w:before="100" w:beforeAutospacing="1" w:after="100" w:afterAutospacing="1"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国家考核断面水质优良率</w:t>
            </w:r>
          </w:p>
        </w:tc>
        <w:tc>
          <w:tcPr>
            <w:tcW w:w="1387"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w:t>
            </w:r>
          </w:p>
        </w:tc>
        <w:tc>
          <w:tcPr>
            <w:tcW w:w="79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约束性</w:t>
            </w:r>
          </w:p>
        </w:tc>
        <w:tc>
          <w:tcPr>
            <w:tcW w:w="133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100</w:t>
            </w:r>
          </w:p>
        </w:tc>
        <w:tc>
          <w:tcPr>
            <w:tcW w:w="130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100</w:t>
            </w:r>
          </w:p>
        </w:tc>
        <w:tc>
          <w:tcPr>
            <w:tcW w:w="854"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40" w:hRule="atLeast"/>
          <w:jc w:val="center"/>
        </w:trPr>
        <w:tc>
          <w:tcPr>
            <w:tcW w:w="617" w:type="dxa"/>
            <w:vAlign w:val="center"/>
          </w:tcPr>
          <w:p>
            <w:pPr>
              <w:widowControl w:val="0"/>
              <w:adjustRightInd w:val="0"/>
              <w:spacing w:before="100" w:beforeAutospacing="1" w:after="100" w:afterAutospacing="1" w:line="24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22</w:t>
            </w:r>
          </w:p>
        </w:tc>
        <w:tc>
          <w:tcPr>
            <w:tcW w:w="3133" w:type="dxa"/>
            <w:vAlign w:val="center"/>
          </w:tcPr>
          <w:p>
            <w:pPr>
              <w:widowControl w:val="0"/>
              <w:adjustRightInd w:val="0"/>
              <w:spacing w:before="100" w:beforeAutospacing="1" w:after="100" w:afterAutospacing="1"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环境空气质量优良天数</w:t>
            </w:r>
          </w:p>
        </w:tc>
        <w:tc>
          <w:tcPr>
            <w:tcW w:w="1387"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（天）</w:t>
            </w:r>
          </w:p>
        </w:tc>
        <w:tc>
          <w:tcPr>
            <w:tcW w:w="79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约束性</w:t>
            </w:r>
          </w:p>
        </w:tc>
        <w:tc>
          <w:tcPr>
            <w:tcW w:w="133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≥301</w:t>
            </w:r>
          </w:p>
        </w:tc>
        <w:tc>
          <w:tcPr>
            <w:tcW w:w="130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286</w:t>
            </w:r>
          </w:p>
        </w:tc>
        <w:tc>
          <w:tcPr>
            <w:tcW w:w="854"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40" w:hRule="atLeast"/>
          <w:jc w:val="center"/>
        </w:trPr>
        <w:tc>
          <w:tcPr>
            <w:tcW w:w="617" w:type="dxa"/>
            <w:vAlign w:val="center"/>
          </w:tcPr>
          <w:p>
            <w:pPr>
              <w:widowControl w:val="0"/>
              <w:adjustRightInd w:val="0"/>
              <w:spacing w:before="100" w:beforeAutospacing="1" w:after="100" w:afterAutospacing="1" w:line="24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23</w:t>
            </w:r>
          </w:p>
        </w:tc>
        <w:tc>
          <w:tcPr>
            <w:tcW w:w="3133" w:type="dxa"/>
            <w:vAlign w:val="center"/>
          </w:tcPr>
          <w:p>
            <w:pPr>
              <w:widowControl w:val="0"/>
              <w:adjustRightInd w:val="0"/>
              <w:spacing w:before="100" w:beforeAutospacing="1" w:after="100" w:afterAutospacing="1"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森林覆盖率</w:t>
            </w:r>
          </w:p>
        </w:tc>
        <w:tc>
          <w:tcPr>
            <w:tcW w:w="1387"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w:t>
            </w:r>
          </w:p>
        </w:tc>
        <w:tc>
          <w:tcPr>
            <w:tcW w:w="79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约束性</w:t>
            </w:r>
          </w:p>
        </w:tc>
        <w:tc>
          <w:tcPr>
            <w:tcW w:w="133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≥32</w:t>
            </w:r>
          </w:p>
        </w:tc>
        <w:tc>
          <w:tcPr>
            <w:tcW w:w="130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55</w:t>
            </w:r>
          </w:p>
        </w:tc>
        <w:tc>
          <w:tcPr>
            <w:tcW w:w="854"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40" w:hRule="atLeast"/>
          <w:jc w:val="center"/>
        </w:trPr>
        <w:tc>
          <w:tcPr>
            <w:tcW w:w="617" w:type="dxa"/>
            <w:vAlign w:val="center"/>
          </w:tcPr>
          <w:p>
            <w:pPr>
              <w:widowControl w:val="0"/>
              <w:adjustRightInd w:val="0"/>
              <w:spacing w:before="100" w:beforeAutospacing="1" w:after="100" w:afterAutospacing="1" w:line="24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24</w:t>
            </w:r>
          </w:p>
        </w:tc>
        <w:tc>
          <w:tcPr>
            <w:tcW w:w="3133" w:type="dxa"/>
            <w:vAlign w:val="center"/>
          </w:tcPr>
          <w:p>
            <w:pPr>
              <w:widowControl w:val="0"/>
              <w:adjustRightInd w:val="0"/>
              <w:spacing w:before="100" w:beforeAutospacing="1" w:after="100" w:afterAutospacing="1"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人均公园绿地面积</w:t>
            </w:r>
          </w:p>
        </w:tc>
        <w:tc>
          <w:tcPr>
            <w:tcW w:w="1387"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（平方米）</w:t>
            </w:r>
          </w:p>
        </w:tc>
        <w:tc>
          <w:tcPr>
            <w:tcW w:w="79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约束性</w:t>
            </w:r>
          </w:p>
        </w:tc>
        <w:tc>
          <w:tcPr>
            <w:tcW w:w="133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≥25</w:t>
            </w:r>
          </w:p>
        </w:tc>
        <w:tc>
          <w:tcPr>
            <w:tcW w:w="130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25</w:t>
            </w:r>
          </w:p>
        </w:tc>
        <w:tc>
          <w:tcPr>
            <w:tcW w:w="854"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40" w:hRule="atLeast"/>
          <w:jc w:val="center"/>
        </w:trPr>
        <w:tc>
          <w:tcPr>
            <w:tcW w:w="617" w:type="dxa"/>
            <w:vAlign w:val="center"/>
          </w:tcPr>
          <w:p>
            <w:pPr>
              <w:widowControl w:val="0"/>
              <w:adjustRightInd w:val="0"/>
              <w:spacing w:before="100" w:beforeAutospacing="1" w:after="100" w:afterAutospacing="1" w:line="24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25</w:t>
            </w:r>
          </w:p>
        </w:tc>
        <w:tc>
          <w:tcPr>
            <w:tcW w:w="3133" w:type="dxa"/>
            <w:vAlign w:val="center"/>
          </w:tcPr>
          <w:p>
            <w:pPr>
              <w:widowControl w:val="0"/>
              <w:adjustRightInd w:val="0"/>
              <w:spacing w:before="100" w:beforeAutospacing="1" w:after="100" w:afterAutospacing="1"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建成区路网密度</w:t>
            </w:r>
          </w:p>
        </w:tc>
        <w:tc>
          <w:tcPr>
            <w:tcW w:w="1387"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（公里/平方公里）</w:t>
            </w:r>
          </w:p>
        </w:tc>
        <w:tc>
          <w:tcPr>
            <w:tcW w:w="79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133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6.87</w:t>
            </w:r>
          </w:p>
        </w:tc>
        <w:tc>
          <w:tcPr>
            <w:tcW w:w="130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6.89</w:t>
            </w:r>
          </w:p>
        </w:tc>
        <w:tc>
          <w:tcPr>
            <w:tcW w:w="854"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40" w:hRule="atLeast"/>
          <w:jc w:val="center"/>
        </w:trPr>
        <w:tc>
          <w:tcPr>
            <w:tcW w:w="617" w:type="dxa"/>
            <w:vAlign w:val="center"/>
          </w:tcPr>
          <w:p>
            <w:pPr>
              <w:widowControl w:val="0"/>
              <w:adjustRightInd w:val="0"/>
              <w:spacing w:before="100" w:beforeAutospacing="1" w:after="100" w:afterAutospacing="1" w:line="24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26</w:t>
            </w:r>
          </w:p>
        </w:tc>
        <w:tc>
          <w:tcPr>
            <w:tcW w:w="3133" w:type="dxa"/>
            <w:vAlign w:val="center"/>
          </w:tcPr>
          <w:p>
            <w:pPr>
              <w:widowControl w:val="0"/>
              <w:adjustRightInd w:val="0"/>
              <w:spacing w:before="100" w:beforeAutospacing="1" w:after="100" w:afterAutospacing="1"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全区居民人均可支配收入增速</w:t>
            </w:r>
          </w:p>
        </w:tc>
        <w:tc>
          <w:tcPr>
            <w:tcW w:w="1387"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w:t>
            </w:r>
          </w:p>
        </w:tc>
        <w:tc>
          <w:tcPr>
            <w:tcW w:w="79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133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与GDP增长同步</w:t>
            </w:r>
          </w:p>
        </w:tc>
        <w:tc>
          <w:tcPr>
            <w:tcW w:w="130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4</w:t>
            </w:r>
          </w:p>
        </w:tc>
        <w:tc>
          <w:tcPr>
            <w:tcW w:w="854"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40" w:hRule="atLeast"/>
          <w:jc w:val="center"/>
        </w:trPr>
        <w:tc>
          <w:tcPr>
            <w:tcW w:w="617" w:type="dxa"/>
            <w:vAlign w:val="center"/>
          </w:tcPr>
          <w:p>
            <w:pPr>
              <w:widowControl w:val="0"/>
              <w:adjustRightInd w:val="0"/>
              <w:spacing w:before="100" w:beforeAutospacing="1" w:after="100" w:afterAutospacing="1" w:line="24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27</w:t>
            </w:r>
          </w:p>
        </w:tc>
        <w:tc>
          <w:tcPr>
            <w:tcW w:w="3133" w:type="dxa"/>
            <w:vAlign w:val="center"/>
          </w:tcPr>
          <w:p>
            <w:pPr>
              <w:widowControl w:val="0"/>
              <w:adjustRightInd w:val="0"/>
              <w:spacing w:before="100" w:beforeAutospacing="1" w:after="100" w:afterAutospacing="1"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城镇新增就业人数</w:t>
            </w:r>
          </w:p>
        </w:tc>
        <w:tc>
          <w:tcPr>
            <w:tcW w:w="1387"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（人）</w:t>
            </w:r>
          </w:p>
        </w:tc>
        <w:tc>
          <w:tcPr>
            <w:tcW w:w="79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133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17600</w:t>
            </w:r>
          </w:p>
        </w:tc>
        <w:tc>
          <w:tcPr>
            <w:tcW w:w="130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18000</w:t>
            </w:r>
          </w:p>
        </w:tc>
        <w:tc>
          <w:tcPr>
            <w:tcW w:w="854"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40" w:hRule="atLeast"/>
          <w:jc w:val="center"/>
        </w:trPr>
        <w:tc>
          <w:tcPr>
            <w:tcW w:w="617" w:type="dxa"/>
            <w:vAlign w:val="center"/>
          </w:tcPr>
          <w:p>
            <w:pPr>
              <w:widowControl w:val="0"/>
              <w:adjustRightInd w:val="0"/>
              <w:spacing w:before="100" w:beforeAutospacing="1" w:after="100" w:afterAutospacing="1" w:line="24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28</w:t>
            </w:r>
          </w:p>
        </w:tc>
        <w:tc>
          <w:tcPr>
            <w:tcW w:w="3133" w:type="dxa"/>
            <w:vAlign w:val="center"/>
          </w:tcPr>
          <w:p>
            <w:pPr>
              <w:widowControl w:val="0"/>
              <w:adjustRightInd w:val="0"/>
              <w:spacing w:before="100" w:beforeAutospacing="1" w:after="100" w:afterAutospacing="1"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每千名老人养老床位数</w:t>
            </w:r>
          </w:p>
        </w:tc>
        <w:tc>
          <w:tcPr>
            <w:tcW w:w="1387"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（张）</w:t>
            </w:r>
          </w:p>
        </w:tc>
        <w:tc>
          <w:tcPr>
            <w:tcW w:w="79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133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36.1</w:t>
            </w:r>
          </w:p>
        </w:tc>
        <w:tc>
          <w:tcPr>
            <w:tcW w:w="130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36.1</w:t>
            </w:r>
          </w:p>
        </w:tc>
        <w:tc>
          <w:tcPr>
            <w:tcW w:w="854"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40" w:hRule="atLeast"/>
          <w:jc w:val="center"/>
        </w:trPr>
        <w:tc>
          <w:tcPr>
            <w:tcW w:w="617" w:type="dxa"/>
            <w:vAlign w:val="center"/>
          </w:tcPr>
          <w:p>
            <w:pPr>
              <w:widowControl w:val="0"/>
              <w:adjustRightInd w:val="0"/>
              <w:spacing w:before="100" w:beforeAutospacing="1" w:after="100" w:afterAutospacing="1" w:line="24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29</w:t>
            </w:r>
          </w:p>
        </w:tc>
        <w:tc>
          <w:tcPr>
            <w:tcW w:w="3133" w:type="dxa"/>
            <w:vAlign w:val="center"/>
          </w:tcPr>
          <w:p>
            <w:pPr>
              <w:widowControl w:val="0"/>
              <w:adjustRightInd w:val="0"/>
              <w:spacing w:before="100" w:beforeAutospacing="1" w:after="100" w:afterAutospacing="1"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每千人口拥有3岁以下婴幼儿托位数</w:t>
            </w:r>
          </w:p>
        </w:tc>
        <w:tc>
          <w:tcPr>
            <w:tcW w:w="1387"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（个）</w:t>
            </w:r>
          </w:p>
        </w:tc>
        <w:tc>
          <w:tcPr>
            <w:tcW w:w="79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133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2.8</w:t>
            </w:r>
          </w:p>
        </w:tc>
        <w:tc>
          <w:tcPr>
            <w:tcW w:w="130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3.22</w:t>
            </w:r>
          </w:p>
        </w:tc>
        <w:tc>
          <w:tcPr>
            <w:tcW w:w="854"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40" w:hRule="atLeast"/>
          <w:jc w:val="center"/>
        </w:trPr>
        <w:tc>
          <w:tcPr>
            <w:tcW w:w="617" w:type="dxa"/>
            <w:vAlign w:val="center"/>
          </w:tcPr>
          <w:p>
            <w:pPr>
              <w:widowControl w:val="0"/>
              <w:adjustRightInd w:val="0"/>
              <w:spacing w:before="100" w:beforeAutospacing="1" w:after="100" w:afterAutospacing="1" w:line="24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30</w:t>
            </w:r>
          </w:p>
        </w:tc>
        <w:tc>
          <w:tcPr>
            <w:tcW w:w="3133" w:type="dxa"/>
            <w:vAlign w:val="center"/>
          </w:tcPr>
          <w:p>
            <w:pPr>
              <w:widowControl w:val="0"/>
              <w:adjustRightInd w:val="0"/>
              <w:spacing w:before="100" w:beforeAutospacing="1" w:after="100" w:afterAutospacing="1"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每千人口拥有执业（助理）医师数</w:t>
            </w:r>
          </w:p>
        </w:tc>
        <w:tc>
          <w:tcPr>
            <w:tcW w:w="1387"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（人）</w:t>
            </w:r>
          </w:p>
        </w:tc>
        <w:tc>
          <w:tcPr>
            <w:tcW w:w="79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133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3.1</w:t>
            </w:r>
          </w:p>
        </w:tc>
        <w:tc>
          <w:tcPr>
            <w:tcW w:w="130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3</w:t>
            </w:r>
            <w:r>
              <w:rPr>
                <w:rFonts w:hint="eastAsia" w:ascii="Times New Roman" w:hAnsi="Times New Roman" w:eastAsia="方正仿宋_GBK" w:cs="Times New Roman"/>
                <w:color w:val="000000" w:themeColor="text1"/>
                <w:sz w:val="24"/>
                <w:szCs w:val="24"/>
                <w14:textFill>
                  <w14:solidFill>
                    <w14:schemeClr w14:val="tx1"/>
                  </w14:solidFill>
                </w14:textFill>
              </w:rPr>
              <w:t>.</w:t>
            </w:r>
            <w:r>
              <w:rPr>
                <w:rFonts w:ascii="Times New Roman" w:hAnsi="Times New Roman" w:eastAsia="方正仿宋_GBK" w:cs="Times New Roman"/>
                <w:color w:val="000000" w:themeColor="text1"/>
                <w:sz w:val="24"/>
                <w:szCs w:val="24"/>
                <w14:textFill>
                  <w14:solidFill>
                    <w14:schemeClr w14:val="tx1"/>
                  </w14:solidFill>
                </w14:textFill>
              </w:rPr>
              <w:t>61</w:t>
            </w:r>
          </w:p>
        </w:tc>
        <w:tc>
          <w:tcPr>
            <w:tcW w:w="854"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40" w:hRule="atLeast"/>
          <w:jc w:val="center"/>
        </w:trPr>
        <w:tc>
          <w:tcPr>
            <w:tcW w:w="617" w:type="dxa"/>
            <w:vAlign w:val="center"/>
          </w:tcPr>
          <w:p>
            <w:pPr>
              <w:widowControl w:val="0"/>
              <w:adjustRightInd w:val="0"/>
              <w:spacing w:before="100" w:beforeAutospacing="1" w:after="100" w:afterAutospacing="1" w:line="24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31</w:t>
            </w:r>
          </w:p>
        </w:tc>
        <w:tc>
          <w:tcPr>
            <w:tcW w:w="3133" w:type="dxa"/>
            <w:vAlign w:val="center"/>
          </w:tcPr>
          <w:p>
            <w:pPr>
              <w:widowControl w:val="0"/>
              <w:adjustRightInd w:val="0"/>
              <w:spacing w:before="100" w:beforeAutospacing="1" w:after="100" w:afterAutospacing="1"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公办园在园幼儿人数占比</w:t>
            </w:r>
          </w:p>
        </w:tc>
        <w:tc>
          <w:tcPr>
            <w:tcW w:w="1387"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w:t>
            </w:r>
          </w:p>
        </w:tc>
        <w:tc>
          <w:tcPr>
            <w:tcW w:w="79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约束性</w:t>
            </w:r>
          </w:p>
        </w:tc>
        <w:tc>
          <w:tcPr>
            <w:tcW w:w="133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≥55</w:t>
            </w:r>
          </w:p>
        </w:tc>
        <w:tc>
          <w:tcPr>
            <w:tcW w:w="130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56.6</w:t>
            </w:r>
          </w:p>
        </w:tc>
        <w:tc>
          <w:tcPr>
            <w:tcW w:w="854"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40" w:hRule="atLeast"/>
          <w:jc w:val="center"/>
        </w:trPr>
        <w:tc>
          <w:tcPr>
            <w:tcW w:w="617" w:type="dxa"/>
            <w:vAlign w:val="center"/>
          </w:tcPr>
          <w:p>
            <w:pPr>
              <w:widowControl w:val="0"/>
              <w:adjustRightInd w:val="0"/>
              <w:spacing w:before="100" w:beforeAutospacing="1" w:after="100" w:afterAutospacing="1" w:line="24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32</w:t>
            </w:r>
          </w:p>
        </w:tc>
        <w:tc>
          <w:tcPr>
            <w:tcW w:w="3133" w:type="dxa"/>
            <w:vAlign w:val="center"/>
          </w:tcPr>
          <w:p>
            <w:pPr>
              <w:widowControl w:val="0"/>
              <w:adjustRightInd w:val="0"/>
              <w:spacing w:before="100" w:beforeAutospacing="1" w:after="100" w:afterAutospacing="1"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安全事故死亡人数</w:t>
            </w:r>
          </w:p>
        </w:tc>
        <w:tc>
          <w:tcPr>
            <w:tcW w:w="1387"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（人）</w:t>
            </w:r>
          </w:p>
        </w:tc>
        <w:tc>
          <w:tcPr>
            <w:tcW w:w="79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约束性</w:t>
            </w:r>
          </w:p>
        </w:tc>
        <w:tc>
          <w:tcPr>
            <w:tcW w:w="133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≤14</w:t>
            </w:r>
          </w:p>
        </w:tc>
        <w:tc>
          <w:tcPr>
            <w:tcW w:w="1305"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6</w:t>
            </w:r>
          </w:p>
        </w:tc>
        <w:tc>
          <w:tcPr>
            <w:tcW w:w="854" w:type="dxa"/>
            <w:vAlign w:val="center"/>
          </w:tcPr>
          <w:p>
            <w:pPr>
              <w:widowControl w:val="0"/>
              <w:adjustRightInd w:val="0"/>
              <w:spacing w:before="100" w:beforeAutospacing="1" w:after="100" w:afterAutospacing="1"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是</w:t>
            </w:r>
          </w:p>
        </w:tc>
      </w:tr>
    </w:tbl>
    <w:p>
      <w:pPr>
        <w:pStyle w:val="27"/>
        <w:spacing w:after="0" w:line="594" w:lineRule="exact"/>
        <w:ind w:firstLine="640"/>
        <w:rPr>
          <w:rFonts w:ascii="Times New Roman" w:hAnsi="Times New Roman"/>
          <w:color w:val="000000" w:themeColor="text1"/>
          <w14:textFill>
            <w14:solidFill>
              <w14:schemeClr w14:val="tx1"/>
            </w14:solidFill>
          </w14:textFill>
        </w:rPr>
      </w:pPr>
      <w:r>
        <w:rPr>
          <w:rFonts w:ascii="Times New Roman" w:hAnsi="Times New Roman" w:eastAsia="方正楷体_GBK"/>
          <w:color w:val="000000" w:themeColor="text1"/>
          <w:kern w:val="0"/>
          <w:szCs w:val="21"/>
          <w14:textFill>
            <w14:solidFill>
              <w14:schemeClr w14:val="tx1"/>
            </w14:solidFill>
          </w14:textFill>
        </w:rPr>
        <w:t>（二）重点项目完成情况</w:t>
      </w:r>
    </w:p>
    <w:p>
      <w:pPr>
        <w:pStyle w:val="2"/>
        <w:spacing w:line="594" w:lineRule="exact"/>
        <w:ind w:firstLine="640"/>
        <w:rPr>
          <w:rFonts w:eastAsia="方正仿宋_GBK"/>
          <w:color w:val="000000" w:themeColor="text1"/>
          <w:szCs w:val="32"/>
          <w14:textFill>
            <w14:solidFill>
              <w14:schemeClr w14:val="tx1"/>
            </w14:solidFill>
          </w14:textFill>
        </w:rPr>
      </w:pPr>
      <w:r>
        <w:rPr>
          <w:rFonts w:eastAsia="方正仿宋_GBK"/>
          <w:color w:val="000000" w:themeColor="text1"/>
          <w:szCs w:val="21"/>
          <w14:textFill>
            <w14:solidFill>
              <w14:schemeClr w14:val="tx1"/>
            </w14:solidFill>
          </w14:textFill>
        </w:rPr>
        <w:t>围绕</w:t>
      </w:r>
      <w:r>
        <w:rPr>
          <w:rFonts w:hint="eastAsia" w:ascii="方正仿宋_GBK" w:eastAsia="方正仿宋_GBK"/>
          <w:color w:val="000000" w:themeColor="text1"/>
          <w:szCs w:val="21"/>
          <w14:textFill>
            <w14:solidFill>
              <w14:schemeClr w14:val="tx1"/>
            </w14:solidFill>
          </w14:textFill>
        </w:rPr>
        <w:t>“</w:t>
      </w:r>
      <w:r>
        <w:rPr>
          <w:rFonts w:eastAsia="方正仿宋_GBK"/>
          <w:color w:val="000000" w:themeColor="text1"/>
          <w:szCs w:val="21"/>
          <w14:textFill>
            <w14:solidFill>
              <w14:schemeClr w14:val="tx1"/>
            </w14:solidFill>
          </w14:textFill>
        </w:rPr>
        <w:t>公园大渡口、多彩艺术湾</w:t>
      </w:r>
      <w:r>
        <w:rPr>
          <w:rFonts w:hint="eastAsia" w:ascii="方正仿宋_GBK" w:eastAsia="方正仿宋_GBK"/>
          <w:color w:val="000000" w:themeColor="text1"/>
          <w:szCs w:val="21"/>
          <w14:textFill>
            <w14:solidFill>
              <w14:schemeClr w14:val="tx1"/>
            </w14:solidFill>
          </w14:textFill>
        </w:rPr>
        <w:t>”</w:t>
      </w:r>
      <w:r>
        <w:rPr>
          <w:rFonts w:eastAsia="方正仿宋_GBK"/>
          <w:color w:val="000000" w:themeColor="text1"/>
          <w:szCs w:val="21"/>
          <w14:textFill>
            <w14:solidFill>
              <w14:schemeClr w14:val="tx1"/>
            </w14:solidFill>
          </w14:textFill>
        </w:rPr>
        <w:t>建设，加强项目策划储备和统筹调度，分项编制《2023年对上争资项目储备库》，制定印发《大渡口区重点项目分类管理工作方案》，将全区80个重点项目分成A、B、C三级进行周、旬、月差异化管理调度，强化项目</w:t>
      </w:r>
      <w:r>
        <w:rPr>
          <w:rFonts w:hint="eastAsia" w:ascii="方正仿宋_GBK" w:eastAsia="方正仿宋_GBK"/>
          <w:color w:val="000000" w:themeColor="text1"/>
          <w:szCs w:val="21"/>
          <w14:textFill>
            <w14:solidFill>
              <w14:schemeClr w14:val="tx1"/>
            </w14:solidFill>
          </w14:textFill>
        </w:rPr>
        <w:t>“</w:t>
      </w:r>
      <w:r>
        <w:rPr>
          <w:rFonts w:eastAsia="方正仿宋_GBK"/>
          <w:color w:val="000000" w:themeColor="text1"/>
          <w:szCs w:val="21"/>
          <w14:textFill>
            <w14:solidFill>
              <w14:schemeClr w14:val="tx1"/>
            </w14:solidFill>
          </w14:textFill>
        </w:rPr>
        <w:t>红黄圆</w:t>
      </w:r>
      <w:r>
        <w:rPr>
          <w:rFonts w:hint="eastAsia" w:ascii="方正仿宋_GBK" w:eastAsia="方正仿宋_GBK"/>
          <w:color w:val="000000" w:themeColor="text1"/>
          <w:szCs w:val="21"/>
          <w14:textFill>
            <w14:solidFill>
              <w14:schemeClr w14:val="tx1"/>
            </w14:solidFill>
          </w14:textFill>
        </w:rPr>
        <w:t>”</w:t>
      </w:r>
      <w:r>
        <w:rPr>
          <w:rFonts w:eastAsia="方正仿宋_GBK"/>
          <w:color w:val="000000" w:themeColor="text1"/>
          <w:szCs w:val="21"/>
          <w14:textFill>
            <w14:solidFill>
              <w14:schemeClr w14:val="tx1"/>
            </w14:solidFill>
          </w14:textFill>
        </w:rPr>
        <w:t>展示督办，并将结果与红灰旗单位、科室评选挂钩，倒逼责任落实，提速项目建设。2023年计划建设项目267个（新开工172个、续建95个），全年推进建设220个，占比82%；剩余47个项目中，32个正在加快推进前期工作，其余15个由于市场原因企业取消建设计划或为土地开发类项目、土地未出让导致未启动实施。全年竣工投用项目68个，80个区级重点建设项目推进顺利率达90%，重点项目完成投资占全区完成投资比重超70%。城市开发提速扩面，钓鱼嘴片区、金桥片区、茄子溪片区</w:t>
      </w:r>
      <w:r>
        <w:rPr>
          <w:rFonts w:eastAsia="方正仿宋_GBK"/>
          <w:color w:val="000000" w:themeColor="text1"/>
          <w:szCs w:val="32"/>
          <w14:textFill>
            <w14:solidFill>
              <w14:schemeClr w14:val="tx1"/>
            </w14:solidFill>
          </w14:textFill>
        </w:rPr>
        <w:t>成为开发热点</w:t>
      </w:r>
      <w:r>
        <w:rPr>
          <w:rFonts w:eastAsia="方正仿宋_GBK"/>
          <w:color w:val="000000" w:themeColor="text1"/>
          <w:szCs w:val="21"/>
          <w14:textFill>
            <w14:solidFill>
              <w14:schemeClr w14:val="tx1"/>
            </w14:solidFill>
          </w14:textFill>
        </w:rPr>
        <w:t>；基础设施加速推进，完工白居寺长江大桥西引道及钓鱼嘴立交工程等一批节点性道路工程，加快城市管网、老旧改、城市公园等一批项目建设，城市功能日益健全；</w:t>
      </w:r>
      <w:r>
        <w:rPr>
          <w:rFonts w:eastAsia="方正仿宋_GBK"/>
          <w:bCs/>
          <w:color w:val="000000" w:themeColor="text1"/>
          <w:szCs w:val="32"/>
          <w14:textFill>
            <w14:solidFill>
              <w14:schemeClr w14:val="tx1"/>
            </w14:solidFill>
          </w14:textFill>
        </w:rPr>
        <w:t>海康威视三期、</w:t>
      </w:r>
      <w:r>
        <w:rPr>
          <w:rFonts w:eastAsia="方正仿宋_GBK"/>
          <w:color w:val="000000" w:themeColor="text1"/>
          <w:szCs w:val="32"/>
          <w14:textFill>
            <w14:solidFill>
              <w14:schemeClr w14:val="tx1"/>
            </w14:solidFill>
          </w14:textFill>
        </w:rPr>
        <w:t>中元汇吉生物科技园</w:t>
      </w:r>
      <w:r>
        <w:rPr>
          <w:rFonts w:eastAsia="方正仿宋_GBK"/>
          <w:bCs/>
          <w:color w:val="000000" w:themeColor="text1"/>
          <w:szCs w:val="32"/>
          <w14:textFill>
            <w14:solidFill>
              <w14:schemeClr w14:val="tx1"/>
            </w14:solidFill>
          </w14:textFill>
        </w:rPr>
        <w:t>等一批产业项目加快建设，为经济稳增长提供有力支撑。</w:t>
      </w:r>
    </w:p>
    <w:p>
      <w:pPr>
        <w:widowControl w:val="0"/>
        <w:adjustRightInd w:val="0"/>
        <w:snapToGrid w:val="0"/>
        <w:spacing w:after="0" w:line="594" w:lineRule="exact"/>
        <w:jc w:val="center"/>
        <w:rPr>
          <w:rFonts w:ascii="Times New Roman" w:hAnsi="Times New Roman" w:eastAsia="方正黑体_GBK" w:cs="Times New Roman"/>
          <w:color w:val="000000" w:themeColor="text1"/>
          <w:sz w:val="28"/>
          <w:szCs w:val="28"/>
          <w14:textFill>
            <w14:solidFill>
              <w14:schemeClr w14:val="tx1"/>
            </w14:solidFill>
          </w14:textFill>
        </w:rPr>
      </w:pPr>
      <w:r>
        <w:rPr>
          <w:rFonts w:ascii="Times New Roman" w:hAnsi="Times New Roman" w:eastAsia="方正黑体_GBK" w:cs="Times New Roman"/>
          <w:color w:val="000000" w:themeColor="text1"/>
          <w:sz w:val="28"/>
          <w:szCs w:val="28"/>
          <w14:textFill>
            <w14:solidFill>
              <w14:schemeClr w14:val="tx1"/>
            </w14:solidFill>
          </w14:textFill>
        </w:rPr>
        <w:t>专栏1：2023年重点开竣工项目情况</w:t>
      </w:r>
    </w:p>
    <w:tbl>
      <w:tblPr>
        <w:tblStyle w:val="14"/>
        <w:tblW w:w="9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203" w:type="dxa"/>
          </w:tcPr>
          <w:p>
            <w:pPr>
              <w:widowControl w:val="0"/>
              <w:spacing w:after="0" w:line="260" w:lineRule="exact"/>
              <w:jc w:val="both"/>
              <w:rPr>
                <w:rFonts w:ascii="Times New Roman" w:hAnsi="Times New Roman" w:eastAsia="方正仿宋_GBK" w:cs="Times New Roman"/>
                <w:bCs/>
                <w:color w:val="000000" w:themeColor="text1"/>
                <w:sz w:val="21"/>
                <w:szCs w:val="21"/>
                <w14:textFill>
                  <w14:solidFill>
                    <w14:schemeClr w14:val="tx1"/>
                  </w14:solidFill>
                </w14:textFill>
              </w:rPr>
            </w:pPr>
            <w:r>
              <w:rPr>
                <w:rFonts w:ascii="Times New Roman" w:hAnsi="Times New Roman" w:eastAsia="方正黑体_GBK" w:cs="Times New Roman"/>
                <w:bCs/>
                <w:color w:val="000000" w:themeColor="text1"/>
                <w:sz w:val="21"/>
                <w:szCs w:val="21"/>
                <w14:textFill>
                  <w14:solidFill>
                    <w14:schemeClr w14:val="tx1"/>
                  </w14:solidFill>
                </w14:textFill>
              </w:rPr>
              <w:t>开工重点项目：</w:t>
            </w:r>
            <w:r>
              <w:rPr>
                <w:rFonts w:ascii="Times New Roman" w:hAnsi="Times New Roman" w:eastAsia="方正仿宋_GBK" w:cs="Times New Roman"/>
                <w:bCs/>
                <w:color w:val="000000" w:themeColor="text1"/>
                <w:sz w:val="21"/>
                <w:szCs w:val="21"/>
                <w14:textFill>
                  <w14:solidFill>
                    <w14:schemeClr w14:val="tx1"/>
                  </w14:solidFill>
                </w14:textFill>
              </w:rPr>
              <w:t>宝武西南总部、虬龙科技研发总部、</w:t>
            </w:r>
            <w:r>
              <w:rPr>
                <w:rFonts w:hint="eastAsia" w:ascii="Times New Roman" w:hAnsi="Times New Roman" w:eastAsia="方正仿宋_GBK" w:cs="Times New Roman"/>
                <w:bCs/>
                <w:color w:val="000000" w:themeColor="text1"/>
                <w:sz w:val="21"/>
                <w:szCs w:val="21"/>
                <w14:textFill>
                  <w14:solidFill>
                    <w14:schemeClr w14:val="tx1"/>
                  </w14:solidFill>
                </w14:textFill>
              </w:rPr>
              <w:t>潜能喜来登酒店</w:t>
            </w:r>
            <w:r>
              <w:rPr>
                <w:rFonts w:ascii="Times New Roman" w:hAnsi="Times New Roman" w:eastAsia="方正仿宋_GBK" w:cs="Times New Roman"/>
                <w:bCs/>
                <w:color w:val="000000" w:themeColor="text1"/>
                <w:sz w:val="21"/>
                <w:szCs w:val="21"/>
                <w14:textFill>
                  <w14:solidFill>
                    <w14:schemeClr w14:val="tx1"/>
                  </w14:solidFill>
                </w14:textFill>
              </w:rPr>
              <w:t>、F02C冷修技术改造项目、新能源汽车减速器及自动变速器用高精度齿轮产能提升项目、重庆建工新型绿色环保建材智能生产示范基地、重庆辉创昱辰食品科技有限公司快消品研发生产基地标准厂房项目、金鳌撒欢乐园、金鳌田园综合体基础设施建设项目、快速路三纵线双山隧道至金家湾立交段改造工程、新袁茄路南段道路、民怡路东段、钓鱼嘴片区市政骨架道路16号路、跳磴南侧片区路网、跳磴南侧Z3路、恒大I分区配套道路二期（5号道路）、重钢渔鳅浩地块配套设施及整治项目、大渡口10千伏刘柏线等线路迁改工程、大渡口110千伏伯鳌线7号至19号等线路迁改工程、西南大学附属中学校、大渡口区实验小学扩建工程、茄子溪中学扩建工程、大渡口区育才小学（双山校区）扩建、重庆市残疾人康复中心二期、大渡口区城市更新</w:t>
            </w:r>
            <w:r>
              <w:rPr>
                <w:rFonts w:hint="eastAsia" w:ascii="Times New Roman" w:hAnsi="Times New Roman" w:eastAsia="方正仿宋_GBK" w:cs="Times New Roman"/>
                <w:bCs/>
                <w:color w:val="000000" w:themeColor="text1"/>
                <w:sz w:val="21"/>
                <w:szCs w:val="21"/>
                <w14:textFill>
                  <w14:solidFill>
                    <w14:schemeClr w14:val="tx1"/>
                  </w14:solidFill>
                </w14:textFill>
              </w:rPr>
              <w:t>（</w:t>
            </w:r>
            <w:r>
              <w:rPr>
                <w:rFonts w:ascii="Times New Roman" w:hAnsi="Times New Roman" w:eastAsia="方正仿宋_GBK" w:cs="Times New Roman"/>
                <w:bCs/>
                <w:color w:val="000000" w:themeColor="text1"/>
                <w:sz w:val="21"/>
                <w:szCs w:val="21"/>
                <w14:textFill>
                  <w14:solidFill>
                    <w14:schemeClr w14:val="tx1"/>
                  </w14:solidFill>
                </w14:textFill>
              </w:rPr>
              <w:t>老旧改</w:t>
            </w:r>
            <w:r>
              <w:rPr>
                <w:rFonts w:hint="eastAsia" w:ascii="Times New Roman" w:hAnsi="Times New Roman" w:eastAsia="方正仿宋_GBK" w:cs="Times New Roman"/>
                <w:bCs/>
                <w:color w:val="000000" w:themeColor="text1"/>
                <w:sz w:val="21"/>
                <w:szCs w:val="21"/>
                <w14:textFill>
                  <w14:solidFill>
                    <w14:schemeClr w14:val="tx1"/>
                  </w14:solidFill>
                </w14:textFill>
              </w:rPr>
              <w:t>）</w:t>
            </w:r>
            <w:r>
              <w:rPr>
                <w:rFonts w:ascii="Times New Roman" w:hAnsi="Times New Roman" w:eastAsia="方正仿宋_GBK" w:cs="Times New Roman"/>
                <w:bCs/>
                <w:color w:val="000000" w:themeColor="text1"/>
                <w:sz w:val="21"/>
                <w:szCs w:val="21"/>
                <w14:textFill>
                  <w14:solidFill>
                    <w14:schemeClr w14:val="tx1"/>
                  </w14:solidFill>
                </w14:textFill>
              </w:rPr>
              <w:t>革马中心片区、技光村片区、大堰片区等14个片区、博奥香港英才苑、天泰钢城之光、天安江畔珑园三期</w:t>
            </w:r>
          </w:p>
          <w:p>
            <w:pPr>
              <w:widowControl w:val="0"/>
              <w:spacing w:after="0" w:line="260" w:lineRule="exact"/>
              <w:jc w:val="both"/>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黑体_GBK" w:cs="Times New Roman"/>
                <w:bCs/>
                <w:color w:val="000000" w:themeColor="text1"/>
                <w:sz w:val="21"/>
                <w:szCs w:val="21"/>
                <w14:textFill>
                  <w14:solidFill>
                    <w14:schemeClr w14:val="tx1"/>
                  </w14:solidFill>
                </w14:textFill>
              </w:rPr>
              <w:t>竣工重点项目：</w:t>
            </w:r>
            <w:r>
              <w:rPr>
                <w:rFonts w:ascii="Times New Roman" w:hAnsi="Times New Roman" w:eastAsia="方正仿宋_GBK" w:cs="Times New Roman"/>
                <w:bCs/>
                <w:color w:val="000000" w:themeColor="text1"/>
                <w:sz w:val="21"/>
                <w:szCs w:val="21"/>
                <w14:textFill>
                  <w14:solidFill>
                    <w14:schemeClr w14:val="tx1"/>
                  </w14:solidFill>
                </w14:textFill>
              </w:rPr>
              <w:t>天安产业三期A组团、重庆市小面产业园、海康威视智能视频终端SMT数字化后端产品车间、血液透析产品研发生产项目、体外诊断试剂研发生产销售项目、亚中医疗体外诊断第三方冷链物流平台、重庆高新医疗器械研究院、F02C冷修技术改造项目、龙文钢材深加工项目、数码模车身功能件智能制造、红九九总部、禄苑西南总部基地建设项目改扩建工程、中冶建工职工职业技能培训实训中心、建桥C区环保产业园边坡整治工程、轨道交通18号线、白居寺长江大桥西引道及钓鱼嘴立交工程、大滨路人车行道改造和滨江路绿化改造工程、钓鱼嘴七号路、钓鱼嘴片区十一号路、跳红路与华福路连接道工程、建桥C区N23-1地块西侧道路、三一重工至华福隧道入口段、石新路、黄角堡公交站场、跃进村片区雨污水管网整治工程、I59地块新建小学、重庆市残疾人康复中心一期升级改造工程、大渡口区城市更新</w:t>
            </w:r>
            <w:r>
              <w:rPr>
                <w:rFonts w:hint="eastAsia" w:ascii="Times New Roman" w:hAnsi="Times New Roman" w:eastAsia="方正仿宋_GBK" w:cs="Times New Roman"/>
                <w:bCs/>
                <w:color w:val="000000" w:themeColor="text1"/>
                <w:sz w:val="21"/>
                <w:szCs w:val="21"/>
                <w14:textFill>
                  <w14:solidFill>
                    <w14:schemeClr w14:val="tx1"/>
                  </w14:solidFill>
                </w14:textFill>
              </w:rPr>
              <w:t>（</w:t>
            </w:r>
            <w:r>
              <w:rPr>
                <w:rFonts w:ascii="Times New Roman" w:hAnsi="Times New Roman" w:eastAsia="方正仿宋_GBK" w:cs="Times New Roman"/>
                <w:bCs/>
                <w:color w:val="000000" w:themeColor="text1"/>
                <w:sz w:val="21"/>
                <w:szCs w:val="21"/>
                <w14:textFill>
                  <w14:solidFill>
                    <w14:schemeClr w14:val="tx1"/>
                  </w14:solidFill>
                </w14:textFill>
              </w:rPr>
              <w:t>老旧改</w:t>
            </w:r>
            <w:r>
              <w:rPr>
                <w:rFonts w:hint="eastAsia" w:ascii="Times New Roman" w:hAnsi="Times New Roman" w:eastAsia="方正仿宋_GBK" w:cs="Times New Roman"/>
                <w:bCs/>
                <w:color w:val="000000" w:themeColor="text1"/>
                <w:sz w:val="21"/>
                <w:szCs w:val="21"/>
                <w14:textFill>
                  <w14:solidFill>
                    <w14:schemeClr w14:val="tx1"/>
                  </w14:solidFill>
                </w14:textFill>
              </w:rPr>
              <w:t>）</w:t>
            </w:r>
            <w:r>
              <w:rPr>
                <w:rFonts w:ascii="Times New Roman" w:hAnsi="Times New Roman" w:eastAsia="方正仿宋_GBK" w:cs="Times New Roman"/>
                <w:bCs/>
                <w:color w:val="000000" w:themeColor="text1"/>
                <w:sz w:val="21"/>
                <w:szCs w:val="21"/>
                <w14:textFill>
                  <w14:solidFill>
                    <w14:schemeClr w14:val="tx1"/>
                  </w14:solidFill>
                </w14:textFill>
              </w:rPr>
              <w:t>永丰片区、新华片区、钢花片区等12个片区</w:t>
            </w:r>
          </w:p>
        </w:tc>
      </w:tr>
    </w:tbl>
    <w:p>
      <w:pPr>
        <w:widowControl w:val="0"/>
        <w:adjustRightInd w:val="0"/>
        <w:snapToGrid w:val="0"/>
        <w:spacing w:after="0" w:line="594" w:lineRule="exact"/>
        <w:ind w:firstLine="640" w:firstLineChars="200"/>
        <w:jc w:val="both"/>
        <w:rPr>
          <w:rFonts w:ascii="Times New Roman" w:hAnsi="Times New Roman" w:eastAsia="方正楷体_GBK" w:cs="Times New Roman"/>
          <w:color w:val="000000" w:themeColor="text1"/>
          <w:sz w:val="32"/>
          <w:szCs w:val="32"/>
          <w14:textFill>
            <w14:solidFill>
              <w14:schemeClr w14:val="tx1"/>
            </w14:solidFill>
          </w14:textFill>
        </w:rPr>
      </w:pPr>
      <w:r>
        <w:rPr>
          <w:rFonts w:ascii="Times New Roman" w:hAnsi="Times New Roman" w:eastAsia="方正楷体_GBK" w:cs="Times New Roman"/>
          <w:color w:val="000000" w:themeColor="text1"/>
          <w:sz w:val="32"/>
          <w:szCs w:val="32"/>
          <w14:textFill>
            <w14:solidFill>
              <w14:schemeClr w14:val="tx1"/>
            </w14:solidFill>
          </w14:textFill>
        </w:rPr>
        <w:t>（三）重点任务完成情况</w:t>
      </w:r>
    </w:p>
    <w:p>
      <w:pPr>
        <w:widowControl w:val="0"/>
        <w:spacing w:after="0" w:line="594" w:lineRule="exact"/>
        <w:ind w:firstLine="643" w:firstLineChars="200"/>
        <w:jc w:val="both"/>
        <w:rPr>
          <w:rFonts w:ascii="Times New Roman" w:hAnsi="Times New Roman" w:eastAsia="方正仿宋_GBK" w:cs="Times New Roman"/>
          <w:color w:val="000000" w:themeColor="text1"/>
          <w:kern w:val="2"/>
          <w:sz w:val="32"/>
          <w:szCs w:val="32"/>
          <w14:textFill>
            <w14:solidFill>
              <w14:schemeClr w14:val="tx1"/>
            </w14:solidFill>
          </w14:textFill>
        </w:rPr>
      </w:pPr>
      <w:r>
        <w:rPr>
          <w:rFonts w:ascii="Times New Roman" w:hAnsi="Times New Roman" w:eastAsia="方正仿宋_GBK" w:cs="Times New Roman"/>
          <w:b/>
          <w:bCs/>
          <w:color w:val="000000" w:themeColor="text1"/>
          <w:kern w:val="2"/>
          <w:sz w:val="32"/>
          <w:szCs w:val="32"/>
          <w14:textFill>
            <w14:solidFill>
              <w14:schemeClr w14:val="tx1"/>
            </w14:solidFill>
          </w14:textFill>
        </w:rPr>
        <w:t>1. 坚定信心扩大内需，</w:t>
      </w:r>
      <w:r>
        <w:rPr>
          <w:rFonts w:ascii="Times New Roman" w:hAnsi="Times New Roman" w:eastAsia="方正仿宋_GBK" w:cs="Times New Roman"/>
          <w:b/>
          <w:bCs/>
          <w:color w:val="000000" w:themeColor="text1"/>
          <w:kern w:val="2"/>
          <w:sz w:val="32"/>
          <w:szCs w:val="32"/>
          <w:shd w:val="clear" w:color="auto" w:fill="FFFFFF"/>
          <w14:textFill>
            <w14:solidFill>
              <w14:schemeClr w14:val="tx1"/>
            </w14:solidFill>
          </w14:textFill>
        </w:rPr>
        <w:t>增长潜力持续释放。有效投资不断扩大。</w:t>
      </w:r>
      <w:r>
        <w:rPr>
          <w:rFonts w:ascii="Times New Roman" w:hAnsi="Times New Roman" w:eastAsia="方正仿宋_GBK" w:cs="Times New Roman"/>
          <w:color w:val="000000" w:themeColor="text1"/>
          <w:sz w:val="32"/>
          <w:szCs w:val="32"/>
          <w14:textFill>
            <w14:solidFill>
              <w14:schemeClr w14:val="tx1"/>
            </w14:solidFill>
          </w14:textFill>
        </w:rPr>
        <w:t>抓牢抓实重点项目，出台抓项目促投资专项行动方案，严格落实</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五个一</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工作机制，全年工业投资增长17</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2%，民间投资（不含房地产）增长12</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1%，建安投资增长22</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7%，房地产投资占固投比重55%、下降7</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4个百分点，投资结构进一步优化。拓宽项目资金来源，</w:t>
      </w:r>
      <w:r>
        <w:rPr>
          <w:rFonts w:ascii="Times New Roman" w:hAnsi="Times New Roman" w:eastAsia="方正仿宋_GBK" w:cs="Times New Roman"/>
          <w:color w:val="000000" w:themeColor="text1"/>
          <w:kern w:val="2"/>
          <w:sz w:val="32"/>
          <w:szCs w:val="32"/>
          <w14:textFill>
            <w14:solidFill>
              <w14:schemeClr w14:val="tx1"/>
            </w14:solidFill>
          </w14:textFill>
        </w:rPr>
        <w:t>争取到位一般公共预算上级补助15.3亿元、新增债券3.63亿元。</w:t>
      </w:r>
      <w:r>
        <w:rPr>
          <w:rFonts w:ascii="Times New Roman" w:hAnsi="Times New Roman" w:eastAsia="方正仿宋_GBK" w:cs="Times New Roman"/>
          <w:color w:val="000000" w:themeColor="text1"/>
          <w:sz w:val="32"/>
          <w:szCs w:val="32"/>
          <w14:textFill>
            <w14:solidFill>
              <w14:schemeClr w14:val="tx1"/>
            </w14:solidFill>
          </w14:textFill>
        </w:rPr>
        <w:t>编制区</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平急两用</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公共基础设施建设方案，策划储备项目16个、总投资61</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1亿元</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2</w:t>
      </w:r>
      <w:r>
        <w:rPr>
          <w:rFonts w:hint="eastAsia" w:ascii="Times New Roman" w:hAnsi="Times New Roman" w:eastAsia="方正仿宋_GBK" w:cs="Times New Roman"/>
          <w:color w:val="000000" w:themeColor="text1"/>
          <w:sz w:val="32"/>
          <w:szCs w:val="32"/>
          <w14:textFill>
            <w14:solidFill>
              <w14:schemeClr w14:val="tx1"/>
            </w14:solidFill>
          </w14:textFill>
        </w:rPr>
        <w:t>个项目获银行授信</w:t>
      </w:r>
      <w:r>
        <w:rPr>
          <w:rFonts w:ascii="Times New Roman" w:hAnsi="Times New Roman" w:eastAsia="方正仿宋_GBK" w:cs="Times New Roman"/>
          <w:color w:val="000000" w:themeColor="text1"/>
          <w:sz w:val="32"/>
          <w:szCs w:val="32"/>
          <w14:textFill>
            <w14:solidFill>
              <w14:schemeClr w14:val="tx1"/>
            </w14:solidFill>
          </w14:textFill>
        </w:rPr>
        <w:t>18</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3</w:t>
      </w:r>
      <w:r>
        <w:rPr>
          <w:rFonts w:hint="eastAsia" w:ascii="Times New Roman" w:hAnsi="Times New Roman" w:eastAsia="方正仿宋_GBK" w:cs="Times New Roman"/>
          <w:color w:val="000000" w:themeColor="text1"/>
          <w:sz w:val="32"/>
          <w:szCs w:val="32"/>
          <w14:textFill>
            <w14:solidFill>
              <w14:schemeClr w14:val="tx1"/>
            </w14:solidFill>
          </w14:textFill>
        </w:rPr>
        <w:t>亿元</w:t>
      </w:r>
      <w:r>
        <w:rPr>
          <w:rFonts w:ascii="Times New Roman" w:hAnsi="Times New Roman" w:eastAsia="方正仿宋_GBK" w:cs="Times New Roman"/>
          <w:color w:val="000000" w:themeColor="text1"/>
          <w:sz w:val="32"/>
          <w:szCs w:val="32"/>
          <w14:textFill>
            <w14:solidFill>
              <w14:schemeClr w14:val="tx1"/>
            </w14:solidFill>
          </w14:textFill>
        </w:rPr>
        <w:t>。成功纳入城中村更新改造首批专项借款城市名单，梳理专项借款需求20.9亿元。</w:t>
      </w:r>
      <w:r>
        <w:rPr>
          <w:rFonts w:ascii="Times New Roman" w:hAnsi="Times New Roman" w:eastAsia="方正仿宋_GBK" w:cs="Times New Roman"/>
          <w:bCs/>
          <w:color w:val="000000" w:themeColor="text1"/>
          <w:sz w:val="32"/>
          <w:szCs w:val="32"/>
          <w14:textFill>
            <w14:solidFill>
              <w14:schemeClr w14:val="tx1"/>
            </w14:solidFill>
          </w14:textFill>
        </w:rPr>
        <w:t>发布2023</w:t>
      </w:r>
      <w:r>
        <w:rPr>
          <w:rFonts w:hint="eastAsia" w:ascii="Times New Roman" w:hAnsi="Times New Roman" w:eastAsia="方正仿宋_GBK" w:cs="Times New Roman"/>
          <w:bCs/>
          <w:color w:val="000000" w:themeColor="text1"/>
          <w:sz w:val="32"/>
          <w:szCs w:val="32"/>
          <w14:textFill>
            <w14:solidFill>
              <w14:schemeClr w14:val="tx1"/>
            </w14:solidFill>
          </w14:textFill>
        </w:rPr>
        <w:t>年</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城市机会清单</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项目5大类89条，总投资801亿元。</w:t>
      </w:r>
      <w:r>
        <w:rPr>
          <w:rFonts w:ascii="Times New Roman" w:hAnsi="Times New Roman" w:eastAsia="方正仿宋_GBK" w:cs="Times New Roman"/>
          <w:color w:val="000000" w:themeColor="text1"/>
          <w:kern w:val="2"/>
          <w:sz w:val="32"/>
          <w:szCs w:val="32"/>
          <w14:textFill>
            <w14:solidFill>
              <w14:schemeClr w14:val="tx1"/>
            </w14:solidFill>
          </w14:textFill>
        </w:rPr>
        <w:t>创新提出</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投资人+EPC+O</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模式，加快推动</w:t>
      </w:r>
      <w:r>
        <w:rPr>
          <w:rFonts w:ascii="Times New Roman" w:hAnsi="Times New Roman" w:eastAsia="方正仿宋_GBK" w:cs="Times New Roman"/>
          <w:color w:val="000000" w:themeColor="text1"/>
          <w:sz w:val="32"/>
          <w:szCs w:val="32"/>
          <w14:textFill>
            <w14:solidFill>
              <w14:schemeClr w14:val="tx1"/>
            </w14:solidFill>
          </w14:textFill>
        </w:rPr>
        <w:t>三甲医院前期工作。</w:t>
      </w:r>
      <w:r>
        <w:rPr>
          <w:rFonts w:ascii="Times New Roman" w:hAnsi="Times New Roman" w:eastAsia="方正仿宋_GBK" w:cs="Times New Roman"/>
          <w:bCs/>
          <w:color w:val="000000" w:themeColor="text1"/>
          <w:sz w:val="32"/>
          <w:szCs w:val="32"/>
          <w14:textFill>
            <w14:solidFill>
              <w14:schemeClr w14:val="tx1"/>
            </w14:solidFill>
          </w14:textFill>
        </w:rPr>
        <w:t>重构</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5+2</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招商引资体制机制</w:t>
      </w:r>
      <w:r>
        <w:rPr>
          <w:rFonts w:ascii="Times New Roman" w:hAnsi="Times New Roman" w:eastAsia="方正仿宋_GBK" w:cs="Times New Roman"/>
          <w:color w:val="000000" w:themeColor="text1"/>
          <w:kern w:val="2"/>
          <w:sz w:val="32"/>
          <w:szCs w:val="32"/>
          <w14:textFill>
            <w14:solidFill>
              <w14:schemeClr w14:val="tx1"/>
            </w14:solidFill>
          </w14:textFill>
        </w:rPr>
        <w:t>，全年签订正式合同额400亿元、到位资金94</w:t>
      </w:r>
      <w:r>
        <w:rPr>
          <w:rFonts w:hint="eastAsia" w:ascii="Times New Roman"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4亿元。</w:t>
      </w:r>
      <w:r>
        <w:rPr>
          <w:rFonts w:ascii="Times New Roman" w:hAnsi="Times New Roman" w:eastAsia="方正仿宋_GBK" w:cs="Times New Roman"/>
          <w:b/>
          <w:bCs/>
          <w:color w:val="000000" w:themeColor="text1"/>
          <w:kern w:val="2"/>
          <w:sz w:val="32"/>
          <w:szCs w:val="32"/>
          <w:shd w:val="clear" w:color="auto" w:fill="FFFFFF"/>
          <w14:textFill>
            <w14:solidFill>
              <w14:schemeClr w14:val="tx1"/>
            </w14:solidFill>
          </w14:textFill>
        </w:rPr>
        <w:t>消费提振成效明显。</w:t>
      </w:r>
      <w:r>
        <w:rPr>
          <w:rFonts w:ascii="Times New Roman" w:hAnsi="Times New Roman" w:eastAsia="方正仿宋_GBK" w:cs="Times New Roman"/>
          <w:bCs/>
          <w:color w:val="000000" w:themeColor="text1"/>
          <w:kern w:val="2"/>
          <w:sz w:val="32"/>
          <w:szCs w:val="32"/>
          <w14:textFill>
            <w14:solidFill>
              <w14:schemeClr w14:val="tx1"/>
            </w14:solidFill>
          </w14:textFill>
        </w:rPr>
        <w:t>启动</w:t>
      </w:r>
      <w:r>
        <w:rPr>
          <w:rFonts w:ascii="Times New Roman" w:hAnsi="Times New Roman" w:eastAsia="方正仿宋_GBK" w:cs="Times New Roman"/>
          <w:color w:val="000000" w:themeColor="text1"/>
          <w:sz w:val="32"/>
          <w:szCs w:val="32"/>
          <w14:textFill>
            <w14:solidFill>
              <w14:schemeClr w14:val="tx1"/>
            </w14:solidFill>
          </w14:textFill>
        </w:rPr>
        <w:t>九宫庙—金桥商圈更新提升项目建设</w:t>
      </w:r>
      <w:r>
        <w:rPr>
          <w:rFonts w:ascii="Times New Roman" w:hAnsi="Times New Roman" w:eastAsia="方正仿宋_GBK" w:cs="Times New Roman"/>
          <w:bCs/>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shd w:val="clear" w:color="auto" w:fill="FFFFFF"/>
          <w14:textFill>
            <w14:solidFill>
              <w14:schemeClr w14:val="tx1"/>
            </w14:solidFill>
          </w14:textFill>
        </w:rPr>
        <w:t>富士达MINI风情街、</w:t>
      </w:r>
      <w:r>
        <w:rPr>
          <w:rFonts w:ascii="Times New Roman" w:hAnsi="Times New Roman" w:eastAsia="方正仿宋_GBK" w:cs="Times New Roman"/>
          <w:color w:val="000000" w:themeColor="text1"/>
          <w:kern w:val="2"/>
          <w:sz w:val="32"/>
          <w:szCs w:val="32"/>
          <w14:textFill>
            <w14:solidFill>
              <w14:schemeClr w14:val="tx1"/>
            </w14:solidFill>
          </w14:textFill>
        </w:rPr>
        <w:t>中交丽景美食街完成</w:t>
      </w:r>
      <w:r>
        <w:rPr>
          <w:rFonts w:ascii="Times New Roman" w:hAnsi="Times New Roman" w:eastAsia="方正仿宋_GBK" w:cs="Times New Roman"/>
          <w:color w:val="000000" w:themeColor="text1"/>
          <w:kern w:val="2"/>
          <w:sz w:val="32"/>
          <w:szCs w:val="32"/>
          <w:shd w:val="clear" w:color="auto" w:fill="FFFFFF"/>
          <w14:textFill>
            <w14:solidFill>
              <w14:schemeClr w14:val="tx1"/>
            </w14:solidFill>
          </w14:textFill>
        </w:rPr>
        <w:t>升级改造</w:t>
      </w:r>
      <w:r>
        <w:rPr>
          <w:rFonts w:hint="eastAsia" w:ascii="Times New Roman"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九宫庙商圈获</w:t>
      </w:r>
      <w:r>
        <w:rPr>
          <w:rFonts w:hint="eastAsia" w:ascii="Times New Roman" w:hAnsi="Times New Roman" w:eastAsia="方正仿宋_GBK" w:cs="Times New Roman"/>
          <w:color w:val="000000" w:themeColor="text1"/>
          <w:kern w:val="2"/>
          <w:sz w:val="32"/>
          <w:szCs w:val="32"/>
          <w14:textFill>
            <w14:solidFill>
              <w14:schemeClr w14:val="tx1"/>
            </w14:solidFill>
          </w14:textFill>
        </w:rPr>
        <w:t>评</w:t>
      </w:r>
      <w:r>
        <w:rPr>
          <w:rFonts w:ascii="Times New Roman" w:hAnsi="Times New Roman" w:eastAsia="方正仿宋_GBK" w:cs="Times New Roman"/>
          <w:color w:val="000000" w:themeColor="text1"/>
          <w:kern w:val="2"/>
          <w:sz w:val="32"/>
          <w:szCs w:val="32"/>
          <w14:textFill>
            <w14:solidFill>
              <w14:schemeClr w14:val="tx1"/>
            </w14:solidFill>
          </w14:textFill>
        </w:rPr>
        <w:t>迎春灯饰服务夜经济最佳商圈，万象汇夜市获评首批市级就业创业示范夜市</w:t>
      </w:r>
      <w:r>
        <w:rPr>
          <w:rFonts w:hint="eastAsia" w:ascii="Times New Roman" w:hAnsi="Times New Roman" w:eastAsia="方正仿宋_GBK" w:cs="Times New Roman"/>
          <w:color w:val="000000" w:themeColor="text1"/>
          <w:kern w:val="2"/>
          <w:sz w:val="32"/>
          <w:szCs w:val="32"/>
          <w14:textFill>
            <w14:solidFill>
              <w14:schemeClr w14:val="tx1"/>
            </w14:solidFill>
          </w14:textFill>
        </w:rPr>
        <w:t>，花花好市</w:t>
      </w:r>
      <w:r>
        <w:rPr>
          <w:rFonts w:hint="eastAsia" w:ascii="方正小标宋_GBK" w:hAnsi="方正小标宋_GBK" w:eastAsia="方正小标宋_GBK" w:cs="方正小标宋_GBK"/>
          <w:color w:val="000000" w:themeColor="text1"/>
          <w:kern w:val="2"/>
          <w:sz w:val="32"/>
          <w:szCs w:val="32"/>
          <w14:textFill>
            <w14:solidFill>
              <w14:schemeClr w14:val="tx1"/>
            </w14:solidFill>
          </w14:textFill>
        </w:rPr>
        <w:t>·</w:t>
      </w:r>
      <w:r>
        <w:rPr>
          <w:rFonts w:hint="eastAsia" w:ascii="Times New Roman" w:hAnsi="Times New Roman" w:eastAsia="方正仿宋_GBK" w:cs="Times New Roman"/>
          <w:color w:val="000000" w:themeColor="text1"/>
          <w:kern w:val="2"/>
          <w:sz w:val="32"/>
          <w:szCs w:val="32"/>
          <w14:textFill>
            <w14:solidFill>
              <w14:schemeClr w14:val="tx1"/>
            </w14:solidFill>
          </w14:textFill>
        </w:rPr>
        <w:t>音乐集市获评全市最佳消费案例</w:t>
      </w:r>
      <w:r>
        <w:rPr>
          <w:rFonts w:ascii="Times New Roman"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shd w:val="clear" w:color="auto" w:fill="FFFFFF"/>
          <w14:textFill>
            <w14:solidFill>
              <w14:schemeClr w14:val="tx1"/>
            </w14:solidFill>
          </w14:textFill>
        </w:rPr>
        <w:t>打造商贸活动品牌，</w:t>
      </w:r>
      <w:r>
        <w:rPr>
          <w:rFonts w:ascii="Times New Roman" w:hAnsi="Times New Roman" w:eastAsia="方正仿宋_GBK" w:cs="Times New Roman"/>
          <w:color w:val="000000" w:themeColor="text1"/>
          <w:kern w:val="2"/>
          <w:sz w:val="32"/>
          <w:szCs w:val="32"/>
          <w14:textFill>
            <w14:solidFill>
              <w14:schemeClr w14:val="tx1"/>
            </w14:solidFill>
          </w14:textFill>
        </w:rPr>
        <w:t>举办第三届重庆小面文化节、首届十大江湖菜评选等活</w:t>
      </w:r>
      <w:r>
        <w:rPr>
          <w:rFonts w:ascii="Times New Roman" w:hAnsi="Times New Roman" w:eastAsia="方正仿宋_GBK" w:cs="Times New Roman"/>
          <w:color w:val="000000" w:themeColor="text1"/>
          <w:kern w:val="2"/>
          <w:sz w:val="32"/>
          <w:szCs w:val="32"/>
          <w:shd w:val="clear" w:color="auto" w:fill="FFFFFF"/>
          <w14:textFill>
            <w14:solidFill>
              <w14:schemeClr w14:val="tx1"/>
            </w14:solidFill>
          </w14:textFill>
        </w:rPr>
        <w:t>动25场</w:t>
      </w:r>
      <w:r>
        <w:rPr>
          <w:rFonts w:ascii="Times New Roman" w:hAnsi="Times New Roman" w:eastAsia="方正仿宋_GBK" w:cs="Times New Roman"/>
          <w:color w:val="000000" w:themeColor="text1"/>
          <w:kern w:val="2"/>
          <w:sz w:val="32"/>
          <w:szCs w:val="32"/>
          <w14:textFill>
            <w14:solidFill>
              <w14:schemeClr w14:val="tx1"/>
            </w14:solidFill>
          </w14:textFill>
        </w:rPr>
        <w:t>次，</w:t>
      </w:r>
      <w:r>
        <w:rPr>
          <w:rFonts w:hint="eastAsia" w:ascii="Times New Roman" w:hAnsi="Times New Roman" w:eastAsia="方正仿宋_GBK" w:cs="Times New Roman"/>
          <w:color w:val="000000" w:themeColor="text1"/>
          <w:kern w:val="2"/>
          <w:sz w:val="32"/>
          <w:szCs w:val="32"/>
          <w14:textFill>
            <w14:solidFill>
              <w14:schemeClr w14:val="tx1"/>
            </w14:solidFill>
          </w14:textFill>
        </w:rPr>
        <w:t>在全市</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hint="eastAsia" w:ascii="Times New Roman" w:hAnsi="Times New Roman" w:eastAsia="方正仿宋_GBK" w:cs="Times New Roman"/>
          <w:color w:val="000000" w:themeColor="text1"/>
          <w:kern w:val="2"/>
          <w:sz w:val="32"/>
          <w:szCs w:val="32"/>
          <w14:textFill>
            <w14:solidFill>
              <w14:schemeClr w14:val="tx1"/>
            </w14:solidFill>
          </w14:textFill>
        </w:rPr>
        <w:t>爱尚重庆</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hint="eastAsia" w:ascii="Times New Roman" w:hAnsi="Times New Roman" w:eastAsia="方正仿宋_GBK" w:cs="Times New Roman"/>
          <w:color w:val="000000" w:themeColor="text1"/>
          <w:kern w:val="2"/>
          <w:sz w:val="32"/>
          <w:szCs w:val="32"/>
          <w14:textFill>
            <w14:solidFill>
              <w14:schemeClr w14:val="tx1"/>
            </w14:solidFill>
          </w14:textFill>
        </w:rPr>
        <w:t>区县</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hint="eastAsia" w:ascii="Times New Roman" w:hAnsi="Times New Roman" w:eastAsia="方正仿宋_GBK" w:cs="Times New Roman"/>
          <w:color w:val="000000" w:themeColor="text1"/>
          <w:kern w:val="2"/>
          <w:sz w:val="32"/>
          <w:szCs w:val="32"/>
          <w14:textFill>
            <w14:solidFill>
              <w14:schemeClr w14:val="tx1"/>
            </w14:solidFill>
          </w14:textFill>
        </w:rPr>
        <w:t>赛</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hint="eastAsia" w:ascii="Times New Roman" w:hAnsi="Times New Roman" w:eastAsia="方正仿宋_GBK" w:cs="Times New Roman"/>
          <w:color w:val="000000" w:themeColor="text1"/>
          <w:kern w:val="2"/>
          <w:sz w:val="32"/>
          <w:szCs w:val="32"/>
          <w14:textFill>
            <w14:solidFill>
              <w14:schemeClr w14:val="tx1"/>
            </w14:solidFill>
          </w14:textFill>
        </w:rPr>
        <w:t>消费活动中荣获优秀组织奖、最佳人气奖</w:t>
      </w:r>
      <w:r>
        <w:rPr>
          <w:rFonts w:ascii="Times New Roman"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sz w:val="32"/>
          <w:szCs w:val="40"/>
          <w14:textFill>
            <w14:solidFill>
              <w14:schemeClr w14:val="tx1"/>
            </w14:solidFill>
          </w14:textFill>
        </w:rPr>
        <w:t>推进重庆小面电商产业园、快手重庆创新中心等电商产业载体建设，带动重庆小面电商销售额突破3亿元。</w:t>
      </w:r>
      <w:r>
        <w:rPr>
          <w:rFonts w:hint="eastAsia" w:ascii="Times New Roman" w:hAnsi="Times New Roman" w:eastAsia="方正仿宋_GBK" w:cs="Times New Roman"/>
          <w:color w:val="000000" w:themeColor="text1"/>
          <w:sz w:val="32"/>
          <w:szCs w:val="40"/>
          <w14:textFill>
            <w14:solidFill>
              <w14:schemeClr w14:val="tx1"/>
            </w14:solidFill>
          </w14:textFill>
        </w:rPr>
        <w:t>全区批发业、零售业、住宿业、餐饮业销售额分别增长</w:t>
      </w:r>
      <w:r>
        <w:rPr>
          <w:rFonts w:ascii="Times New Roman" w:hAnsi="Times New Roman" w:eastAsia="方正仿宋_GBK" w:cs="Times New Roman"/>
          <w:color w:val="000000" w:themeColor="text1"/>
          <w:sz w:val="32"/>
          <w:szCs w:val="40"/>
          <w14:textFill>
            <w14:solidFill>
              <w14:schemeClr w14:val="tx1"/>
            </w14:solidFill>
          </w14:textFill>
        </w:rPr>
        <w:t>9</w:t>
      </w:r>
      <w:r>
        <w:rPr>
          <w:rFonts w:hint="eastAsia" w:ascii="Times New Roman" w:hAnsi="Times New Roman" w:eastAsia="方正仿宋_GBK" w:cs="Times New Roman"/>
          <w:color w:val="000000" w:themeColor="text1"/>
          <w:sz w:val="32"/>
          <w:szCs w:val="40"/>
          <w14:textFill>
            <w14:solidFill>
              <w14:schemeClr w14:val="tx1"/>
            </w14:solidFill>
          </w14:textFill>
        </w:rPr>
        <w:t>.</w:t>
      </w:r>
      <w:r>
        <w:rPr>
          <w:rFonts w:ascii="Times New Roman" w:hAnsi="Times New Roman" w:eastAsia="方正仿宋_GBK" w:cs="Times New Roman"/>
          <w:color w:val="000000" w:themeColor="text1"/>
          <w:sz w:val="32"/>
          <w:szCs w:val="40"/>
          <w14:textFill>
            <w14:solidFill>
              <w14:schemeClr w14:val="tx1"/>
            </w14:solidFill>
          </w14:textFill>
        </w:rPr>
        <w:t>1</w:t>
      </w:r>
      <w:r>
        <w:rPr>
          <w:rFonts w:hint="eastAsia" w:ascii="Times New Roman" w:hAnsi="Times New Roman" w:eastAsia="方正仿宋_GBK" w:cs="Times New Roman"/>
          <w:color w:val="000000" w:themeColor="text1"/>
          <w:sz w:val="32"/>
          <w:szCs w:val="40"/>
          <w14:textFill>
            <w14:solidFill>
              <w14:schemeClr w14:val="tx1"/>
            </w14:solidFill>
          </w14:textFill>
        </w:rPr>
        <w:t>%、</w:t>
      </w:r>
      <w:r>
        <w:rPr>
          <w:rFonts w:ascii="Times New Roman" w:hAnsi="Times New Roman" w:eastAsia="方正仿宋_GBK" w:cs="Times New Roman"/>
          <w:color w:val="000000" w:themeColor="text1"/>
          <w:sz w:val="32"/>
          <w:szCs w:val="40"/>
          <w14:textFill>
            <w14:solidFill>
              <w14:schemeClr w14:val="tx1"/>
            </w14:solidFill>
          </w14:textFill>
        </w:rPr>
        <w:t>15</w:t>
      </w:r>
      <w:r>
        <w:rPr>
          <w:rFonts w:hint="eastAsia" w:ascii="Times New Roman" w:hAnsi="Times New Roman" w:eastAsia="方正仿宋_GBK" w:cs="Times New Roman"/>
          <w:color w:val="000000" w:themeColor="text1"/>
          <w:sz w:val="32"/>
          <w:szCs w:val="40"/>
          <w14:textFill>
            <w14:solidFill>
              <w14:schemeClr w14:val="tx1"/>
            </w14:solidFill>
          </w14:textFill>
        </w:rPr>
        <w:t>%、</w:t>
      </w:r>
      <w:r>
        <w:rPr>
          <w:rFonts w:ascii="Times New Roman" w:hAnsi="Times New Roman" w:eastAsia="方正仿宋_GBK" w:cs="Times New Roman"/>
          <w:color w:val="000000" w:themeColor="text1"/>
          <w:sz w:val="32"/>
          <w:szCs w:val="40"/>
          <w14:textFill>
            <w14:solidFill>
              <w14:schemeClr w14:val="tx1"/>
            </w14:solidFill>
          </w14:textFill>
        </w:rPr>
        <w:t>18</w:t>
      </w:r>
      <w:r>
        <w:rPr>
          <w:rFonts w:hint="eastAsia" w:ascii="Times New Roman" w:hAnsi="Times New Roman" w:eastAsia="方正仿宋_GBK" w:cs="Times New Roman"/>
          <w:color w:val="000000" w:themeColor="text1"/>
          <w:sz w:val="32"/>
          <w:szCs w:val="40"/>
          <w14:textFill>
            <w14:solidFill>
              <w14:schemeClr w14:val="tx1"/>
            </w14:solidFill>
          </w14:textFill>
        </w:rPr>
        <w:t>.</w:t>
      </w:r>
      <w:r>
        <w:rPr>
          <w:rFonts w:ascii="Times New Roman" w:hAnsi="Times New Roman" w:eastAsia="方正仿宋_GBK" w:cs="Times New Roman"/>
          <w:color w:val="000000" w:themeColor="text1"/>
          <w:sz w:val="32"/>
          <w:szCs w:val="40"/>
          <w14:textFill>
            <w14:solidFill>
              <w14:schemeClr w14:val="tx1"/>
            </w14:solidFill>
          </w14:textFill>
        </w:rPr>
        <w:t>4</w:t>
      </w:r>
      <w:r>
        <w:rPr>
          <w:rFonts w:hint="eastAsia" w:ascii="Times New Roman" w:hAnsi="Times New Roman" w:eastAsia="方正仿宋_GBK" w:cs="Times New Roman"/>
          <w:color w:val="000000" w:themeColor="text1"/>
          <w:sz w:val="32"/>
          <w:szCs w:val="40"/>
          <w14:textFill>
            <w14:solidFill>
              <w14:schemeClr w14:val="tx1"/>
            </w14:solidFill>
          </w14:textFill>
        </w:rPr>
        <w:t>%、</w:t>
      </w:r>
      <w:r>
        <w:rPr>
          <w:rFonts w:ascii="Times New Roman" w:hAnsi="Times New Roman" w:eastAsia="方正仿宋_GBK" w:cs="Times New Roman"/>
          <w:color w:val="000000" w:themeColor="text1"/>
          <w:sz w:val="32"/>
          <w:szCs w:val="40"/>
          <w14:textFill>
            <w14:solidFill>
              <w14:schemeClr w14:val="tx1"/>
            </w14:solidFill>
          </w14:textFill>
        </w:rPr>
        <w:t>13</w:t>
      </w:r>
      <w:r>
        <w:rPr>
          <w:rFonts w:hint="eastAsia" w:ascii="Times New Roman" w:hAnsi="Times New Roman" w:eastAsia="方正仿宋_GBK" w:cs="Times New Roman"/>
          <w:color w:val="000000" w:themeColor="text1"/>
          <w:sz w:val="32"/>
          <w:szCs w:val="40"/>
          <w14:textFill>
            <w14:solidFill>
              <w14:schemeClr w14:val="tx1"/>
            </w14:solidFill>
          </w14:textFill>
        </w:rPr>
        <w:t>.</w:t>
      </w:r>
      <w:r>
        <w:rPr>
          <w:rFonts w:ascii="Times New Roman" w:hAnsi="Times New Roman" w:eastAsia="方正仿宋_GBK" w:cs="Times New Roman"/>
          <w:color w:val="000000" w:themeColor="text1"/>
          <w:sz w:val="32"/>
          <w:szCs w:val="40"/>
          <w14:textFill>
            <w14:solidFill>
              <w14:schemeClr w14:val="tx1"/>
            </w14:solidFill>
          </w14:textFill>
        </w:rPr>
        <w:t>3</w:t>
      </w:r>
      <w:r>
        <w:rPr>
          <w:rFonts w:hint="eastAsia" w:ascii="Times New Roman" w:hAnsi="Times New Roman" w:eastAsia="方正仿宋_GBK" w:cs="Times New Roman"/>
          <w:color w:val="000000" w:themeColor="text1"/>
          <w:sz w:val="32"/>
          <w:szCs w:val="40"/>
          <w14:textFill>
            <w14:solidFill>
              <w14:schemeClr w14:val="tx1"/>
            </w14:solidFill>
          </w14:textFill>
        </w:rPr>
        <w:t>%。</w:t>
      </w:r>
      <w:r>
        <w:rPr>
          <w:rFonts w:ascii="Times New Roman" w:hAnsi="Times New Roman" w:eastAsia="方正仿宋_GBK" w:cs="Times New Roman"/>
          <w:b/>
          <w:color w:val="000000" w:themeColor="text1"/>
          <w:kern w:val="2"/>
          <w:sz w:val="32"/>
          <w:szCs w:val="32"/>
          <w14:textFill>
            <w14:solidFill>
              <w14:schemeClr w14:val="tx1"/>
            </w14:solidFill>
          </w14:textFill>
        </w:rPr>
        <w:t>市场主体活力释放。</w:t>
      </w:r>
      <w:r>
        <w:rPr>
          <w:rFonts w:ascii="Times New Roman" w:hAnsi="Times New Roman" w:eastAsia="方正仿宋_GBK" w:cs="Times New Roman"/>
          <w:color w:val="000000" w:themeColor="text1"/>
          <w:kern w:val="2"/>
          <w:sz w:val="32"/>
          <w:szCs w:val="32"/>
          <w14:textFill>
            <w14:solidFill>
              <w14:schemeClr w14:val="tx1"/>
            </w14:solidFill>
          </w14:textFill>
        </w:rPr>
        <w:t>促进民营经济发展壮大</w:t>
      </w:r>
      <w:r>
        <w:rPr>
          <w:rFonts w:ascii="Times New Roman" w:hAnsi="Times New Roman" w:eastAsia="方正仿宋_GBK" w:cs="Times New Roman"/>
          <w:color w:val="000000" w:themeColor="text1"/>
          <w:sz w:val="32"/>
          <w:szCs w:val="40"/>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完善重点企业服务专班、政企早午餐会、民营经济人士接待日等机制，</w:t>
      </w:r>
      <w:r>
        <w:rPr>
          <w:rFonts w:ascii="Times New Roman" w:hAnsi="Times New Roman" w:eastAsia="方正仿宋_GBK" w:cs="Times New Roman"/>
          <w:color w:val="000000" w:themeColor="text1"/>
          <w:sz w:val="32"/>
          <w:szCs w:val="40"/>
          <w14:textFill>
            <w14:solidFill>
              <w14:schemeClr w14:val="tx1"/>
            </w14:solidFill>
          </w14:textFill>
        </w:rPr>
        <w:t>成立全区</w:t>
      </w:r>
      <w:r>
        <w:rPr>
          <w:rFonts w:hint="eastAsia" w:ascii="方正仿宋_GBK" w:hAnsi="Times New Roman" w:eastAsia="方正仿宋_GBK" w:cs="Times New Roman"/>
          <w:color w:val="000000" w:themeColor="text1"/>
          <w:sz w:val="32"/>
          <w:szCs w:val="40"/>
          <w14:textFill>
            <w14:solidFill>
              <w14:schemeClr w14:val="tx1"/>
            </w14:solidFill>
          </w14:textFill>
        </w:rPr>
        <w:t>“</w:t>
      </w:r>
      <w:r>
        <w:rPr>
          <w:rFonts w:ascii="Times New Roman" w:hAnsi="Times New Roman" w:eastAsia="方正仿宋_GBK" w:cs="Times New Roman"/>
          <w:color w:val="000000" w:themeColor="text1"/>
          <w:sz w:val="32"/>
          <w:szCs w:val="40"/>
          <w14:textFill>
            <w14:solidFill>
              <w14:schemeClr w14:val="tx1"/>
            </w14:solidFill>
          </w14:textFill>
        </w:rPr>
        <w:t>专精特新</w:t>
      </w:r>
      <w:r>
        <w:rPr>
          <w:rFonts w:hint="eastAsia" w:ascii="方正仿宋_GBK" w:hAnsi="Times New Roman" w:eastAsia="方正仿宋_GBK" w:cs="Times New Roman"/>
          <w:color w:val="000000" w:themeColor="text1"/>
          <w:sz w:val="32"/>
          <w:szCs w:val="40"/>
          <w14:textFill>
            <w14:solidFill>
              <w14:schemeClr w14:val="tx1"/>
            </w14:solidFill>
          </w14:textFill>
        </w:rPr>
        <w:t>”</w:t>
      </w:r>
      <w:r>
        <w:rPr>
          <w:rFonts w:ascii="Times New Roman" w:hAnsi="Times New Roman" w:eastAsia="方正仿宋_GBK" w:cs="Times New Roman"/>
          <w:color w:val="000000" w:themeColor="text1"/>
          <w:sz w:val="32"/>
          <w:szCs w:val="40"/>
          <w14:textFill>
            <w14:solidFill>
              <w14:schemeClr w14:val="tx1"/>
            </w14:solidFill>
          </w14:textFill>
        </w:rPr>
        <w:t>企业商会。</w:t>
      </w:r>
      <w:r>
        <w:rPr>
          <w:rFonts w:ascii="Times New Roman" w:hAnsi="Times New Roman" w:eastAsia="方正仿宋_GBK" w:cs="Times New Roman"/>
          <w:color w:val="000000" w:themeColor="text1"/>
          <w:kern w:val="2"/>
          <w:sz w:val="32"/>
          <w:szCs w:val="32"/>
          <w14:textFill>
            <w14:solidFill>
              <w14:schemeClr w14:val="tx1"/>
            </w14:solidFill>
          </w14:textFill>
        </w:rPr>
        <w:t>深化落实</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三服务</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机制，</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民呼我为</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平台办结事项满意率全市第2，</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企业吹哨</w:t>
      </w:r>
      <w:r>
        <w:rPr>
          <w:rFonts w:hint="eastAsia" w:ascii="方正小标宋_GBK" w:hAnsi="方正小标宋_GBK" w:eastAsia="方正小标宋_GBK" w:cs="方正小标宋_GBK"/>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部门报到</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平台诉求办理满意率达100%。用好国家、市级政策工具包，做好市级推动经济企稳恢复提振36条政策任务分解实施，落实税费优惠政策，减免</w:t>
      </w:r>
      <w:r>
        <w:rPr>
          <w:rFonts w:hint="eastAsia" w:ascii="Times New Roman" w:hAnsi="Times New Roman" w:eastAsia="方正仿宋_GBK" w:cs="Times New Roman"/>
          <w:color w:val="000000" w:themeColor="text1"/>
          <w:kern w:val="2"/>
          <w:sz w:val="32"/>
          <w:szCs w:val="32"/>
          <w14:textFill>
            <w14:solidFill>
              <w14:schemeClr w14:val="tx1"/>
            </w14:solidFill>
          </w14:textFill>
        </w:rPr>
        <w:t>退</w:t>
      </w:r>
      <w:r>
        <w:rPr>
          <w:rFonts w:ascii="Times New Roman" w:hAnsi="Times New Roman" w:eastAsia="方正仿宋_GBK" w:cs="Times New Roman"/>
          <w:color w:val="000000" w:themeColor="text1"/>
          <w:kern w:val="2"/>
          <w:sz w:val="32"/>
          <w:szCs w:val="32"/>
          <w14:textFill>
            <w14:solidFill>
              <w14:schemeClr w14:val="tx1"/>
            </w14:solidFill>
          </w14:textFill>
        </w:rPr>
        <w:t>缓税费</w:t>
      </w:r>
      <w:r>
        <w:rPr>
          <w:rFonts w:hint="eastAsia" w:ascii="Times New Roman" w:hAnsi="Times New Roman" w:eastAsia="方正仿宋_GBK" w:cs="Times New Roman"/>
          <w:color w:val="000000" w:themeColor="text1"/>
          <w:kern w:val="2"/>
          <w:sz w:val="32"/>
          <w:szCs w:val="32"/>
          <w14:textFill>
            <w14:solidFill>
              <w14:schemeClr w14:val="tx1"/>
            </w14:solidFill>
          </w14:textFill>
        </w:rPr>
        <w:t>超</w:t>
      </w:r>
      <w:r>
        <w:rPr>
          <w:rFonts w:ascii="Times New Roman" w:hAnsi="Times New Roman" w:eastAsia="方正仿宋_GBK" w:cs="Times New Roman"/>
          <w:color w:val="000000" w:themeColor="text1"/>
          <w:kern w:val="2"/>
          <w:sz w:val="32"/>
          <w:szCs w:val="32"/>
          <w14:textFill>
            <w14:solidFill>
              <w14:schemeClr w14:val="tx1"/>
            </w14:solidFill>
          </w14:textFill>
        </w:rPr>
        <w:t>6</w:t>
      </w:r>
      <w:r>
        <w:rPr>
          <w:rFonts w:hint="eastAsia" w:ascii="Times New Roman"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5</w:t>
      </w:r>
      <w:r>
        <w:rPr>
          <w:rFonts w:ascii="Times New Roman" w:hAnsi="Times New Roman" w:eastAsia="方正仿宋_GBK" w:cs="Times New Roman"/>
          <w:color w:val="000000" w:themeColor="text1"/>
          <w:sz w:val="32"/>
          <w:szCs w:val="40"/>
          <w14:textFill>
            <w14:solidFill>
              <w14:schemeClr w14:val="tx1"/>
            </w14:solidFill>
          </w14:textFill>
        </w:rPr>
        <w:t>亿元，惠及市场主体3.9万余户（次）。</w:t>
      </w:r>
      <w:r>
        <w:rPr>
          <w:rFonts w:ascii="Times New Roman" w:hAnsi="Times New Roman" w:eastAsia="方正仿宋_GBK" w:cs="Times New Roman"/>
          <w:color w:val="000000" w:themeColor="text1"/>
          <w:kern w:val="2"/>
          <w:sz w:val="32"/>
          <w:szCs w:val="32"/>
          <w14:textFill>
            <w14:solidFill>
              <w14:schemeClr w14:val="tx1"/>
            </w14:solidFill>
          </w14:textFill>
        </w:rPr>
        <w:t>辖区银行业普惠型小微企业贷款余额69</w:t>
      </w:r>
      <w:r>
        <w:rPr>
          <w:rFonts w:hint="eastAsia" w:ascii="Times New Roman"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17亿元、增长20.61%。推出扶持个体工商户发展措施28条，培育</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个转企</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182户</w:t>
      </w:r>
      <w:r>
        <w:rPr>
          <w:rFonts w:ascii="Times New Roman" w:hAnsi="Times New Roman" w:eastAsia="方正仿宋_GBK" w:cs="Times New Roman"/>
          <w:color w:val="000000" w:themeColor="text1"/>
          <w:sz w:val="32"/>
          <w:szCs w:val="40"/>
          <w14:textFill>
            <w14:solidFill>
              <w14:schemeClr w14:val="tx1"/>
            </w14:solidFill>
          </w14:textFill>
        </w:rPr>
        <w:t>。全区新设立市场主体7302户，新发展市场主体增速达18.89%。</w:t>
      </w:r>
      <w:r>
        <w:rPr>
          <w:rFonts w:ascii="Times New Roman" w:hAnsi="Times New Roman" w:eastAsia="方正仿宋_GBK" w:cs="Times New Roman"/>
          <w:color w:val="000000" w:themeColor="text1"/>
          <w:kern w:val="2"/>
          <w:sz w:val="32"/>
          <w:szCs w:val="32"/>
          <w14:textFill>
            <w14:solidFill>
              <w14:schemeClr w14:val="tx1"/>
            </w14:solidFill>
          </w14:textFill>
        </w:rPr>
        <w:t>14家企业入选重庆市100强系列名单。</w:t>
      </w:r>
    </w:p>
    <w:p>
      <w:pPr>
        <w:widowControl w:val="0"/>
        <w:spacing w:after="0" w:line="594" w:lineRule="exact"/>
        <w:ind w:firstLine="643" w:firstLineChars="200"/>
        <w:jc w:val="both"/>
        <w:rPr>
          <w:rFonts w:ascii="Times New Roman" w:hAnsi="Times New Roman" w:eastAsia="方正仿宋_GBK" w:cs="Times New Roman"/>
          <w:bCs/>
          <w:color w:val="000000" w:themeColor="text1"/>
          <w:kern w:val="2"/>
          <w:sz w:val="32"/>
          <w:szCs w:val="32"/>
          <w14:textFill>
            <w14:solidFill>
              <w14:schemeClr w14:val="tx1"/>
            </w14:solidFill>
          </w14:textFill>
        </w:rPr>
      </w:pPr>
      <w:r>
        <w:rPr>
          <w:rFonts w:ascii="Times New Roman" w:hAnsi="Times New Roman" w:eastAsia="方正仿宋_GBK" w:cs="Times New Roman"/>
          <w:b/>
          <w:color w:val="000000" w:themeColor="text1"/>
          <w:kern w:val="2"/>
          <w:sz w:val="32"/>
          <w:szCs w:val="32"/>
          <w14:textFill>
            <w14:solidFill>
              <w14:schemeClr w14:val="tx1"/>
            </w14:solidFill>
          </w14:textFill>
        </w:rPr>
        <w:t>2. 构建现代产业体系，实体经济持续提振。五大百亿级产业集聚成势。</w:t>
      </w:r>
      <w:r>
        <w:rPr>
          <w:rFonts w:ascii="Times New Roman" w:hAnsi="Times New Roman" w:eastAsia="方正仿宋_GBK" w:cs="Times New Roman"/>
          <w:color w:val="000000" w:themeColor="text1"/>
          <w:kern w:val="2"/>
          <w:sz w:val="32"/>
          <w:szCs w:val="32"/>
          <w:shd w:val="clear" w:color="auto" w:fill="FFFFFF"/>
          <w14:textFill>
            <w14:solidFill>
              <w14:schemeClr w14:val="tx1"/>
            </w14:solidFill>
          </w14:textFill>
        </w:rPr>
        <w:t>海康威视三期、萤石智能家居项目提速建设，引入东华软件西南总部等项目8个，大数据智能化企业达450余家，</w:t>
      </w:r>
      <w:r>
        <w:rPr>
          <w:rFonts w:ascii="Times New Roman" w:hAnsi="Times New Roman" w:eastAsia="方正仿宋_GBK" w:cs="Times New Roman"/>
          <w:color w:val="000000" w:themeColor="text1"/>
          <w:sz w:val="32"/>
          <w:szCs w:val="32"/>
          <w14:textFill>
            <w14:solidFill>
              <w14:schemeClr w14:val="tx1"/>
            </w14:solidFill>
          </w14:textFill>
        </w:rPr>
        <w:t>全产业</w:t>
      </w:r>
      <w:r>
        <w:rPr>
          <w:rFonts w:ascii="Times New Roman" w:hAnsi="Times New Roman" w:eastAsia="方正仿宋_GBK" w:cs="Times New Roman"/>
          <w:color w:val="000000" w:themeColor="text1"/>
          <w:sz w:val="32"/>
          <w:szCs w:val="32"/>
          <w:lang w:val="zh-CN"/>
          <w14:textFill>
            <w14:solidFill>
              <w14:schemeClr w14:val="tx1"/>
            </w14:solidFill>
          </w14:textFill>
        </w:rPr>
        <w:t>营业收入</w:t>
      </w:r>
      <w:r>
        <w:rPr>
          <w:rFonts w:hint="eastAsia" w:ascii="Times New Roman" w:hAnsi="Times New Roman" w:eastAsia="方正仿宋_GBK" w:cs="Times New Roman"/>
          <w:color w:val="000000" w:themeColor="text1"/>
          <w:sz w:val="32"/>
          <w:szCs w:val="32"/>
          <w14:textFill>
            <w14:solidFill>
              <w14:schemeClr w14:val="tx1"/>
            </w14:solidFill>
          </w14:textFill>
        </w:rPr>
        <w:t>增长</w:t>
      </w:r>
      <w:r>
        <w:rPr>
          <w:rFonts w:ascii="Times New Roman" w:hAnsi="Times New Roman" w:eastAsia="方正仿宋_GBK" w:cs="Times New Roman"/>
          <w:color w:val="000000" w:themeColor="text1"/>
          <w:sz w:val="32"/>
          <w:szCs w:val="32"/>
          <w14:textFill>
            <w14:solidFill>
              <w14:schemeClr w14:val="tx1"/>
            </w14:solidFill>
          </w14:textFill>
        </w:rPr>
        <w:t>0</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5%，剔除出口下降影响</w:t>
      </w:r>
      <w:r>
        <w:rPr>
          <w:rFonts w:ascii="Times New Roman" w:hAnsi="Times New Roman" w:eastAsia="方正仿宋_GBK" w:cs="Times New Roman"/>
          <w:color w:val="000000" w:themeColor="text1"/>
          <w:sz w:val="32"/>
          <w:szCs w:val="32"/>
          <w:lang w:val="zh-CN"/>
          <w14:textFill>
            <w14:solidFill>
              <w14:schemeClr w14:val="tx1"/>
            </w14:solidFill>
          </w14:textFill>
        </w:rPr>
        <w:t>增长</w:t>
      </w:r>
      <w:r>
        <w:rPr>
          <w:rFonts w:ascii="Times New Roman" w:hAnsi="Times New Roman" w:eastAsia="方正仿宋_GBK" w:cs="Times New Roman"/>
          <w:color w:val="000000" w:themeColor="text1"/>
          <w:sz w:val="32"/>
          <w:szCs w:val="32"/>
          <w14:textFill>
            <w14:solidFill>
              <w14:schemeClr w14:val="tx1"/>
            </w14:solidFill>
          </w14:textFill>
        </w:rPr>
        <w:t>19</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1%。</w:t>
      </w:r>
      <w:r>
        <w:rPr>
          <w:rFonts w:ascii="Times New Roman" w:hAnsi="Times New Roman" w:eastAsia="方正仿宋_GBK" w:cs="Times New Roman"/>
          <w:color w:val="000000" w:themeColor="text1"/>
          <w:kern w:val="2"/>
          <w:sz w:val="32"/>
          <w:szCs w:val="32"/>
          <w14:textFill>
            <w14:solidFill>
              <w14:schemeClr w14:val="tx1"/>
            </w14:solidFill>
          </w14:textFill>
        </w:rPr>
        <w:t>中元汇吉生物科技园加快建设，亚中医疗新建楼宇正式运营，建成全市首个医疗器械体外诊断产业公共服务中心，</w:t>
      </w:r>
      <w:r>
        <w:rPr>
          <w:rFonts w:ascii="Times New Roman" w:hAnsi="Times New Roman" w:eastAsia="方正仿宋_GBK" w:cs="Times New Roman"/>
          <w:color w:val="000000" w:themeColor="text1"/>
          <w:sz w:val="32"/>
          <w:szCs w:val="32"/>
          <w14:textFill>
            <w14:solidFill>
              <w14:schemeClr w14:val="tx1"/>
            </w14:solidFill>
          </w14:textFill>
        </w:rPr>
        <w:t>生物医学工程产业集群纳入首批市级战略性新兴产业集群，引入厦门集庆生物等项目25个，大健康生物医药企业达206家，全产业</w:t>
      </w:r>
      <w:r>
        <w:rPr>
          <w:rFonts w:ascii="Times New Roman" w:hAnsi="Times New Roman" w:eastAsia="方正仿宋_GBK" w:cs="Times New Roman"/>
          <w:color w:val="000000" w:themeColor="text1"/>
          <w:sz w:val="32"/>
          <w:szCs w:val="32"/>
          <w:lang w:val="zh-CN"/>
          <w14:textFill>
            <w14:solidFill>
              <w14:schemeClr w14:val="tx1"/>
            </w14:solidFill>
          </w14:textFill>
        </w:rPr>
        <w:t>营业收入</w:t>
      </w:r>
      <w:r>
        <w:rPr>
          <w:rFonts w:ascii="Times New Roman" w:hAnsi="Times New Roman" w:eastAsia="方正仿宋_GBK" w:cs="Times New Roman"/>
          <w:color w:val="000000" w:themeColor="text1"/>
          <w:sz w:val="32"/>
          <w:szCs w:val="32"/>
          <w14:textFill>
            <w14:solidFill>
              <w14:schemeClr w14:val="tx1"/>
            </w14:solidFill>
          </w14:textFill>
        </w:rPr>
        <w:t>同比下降40%，剔除疫情一次性因素影响</w:t>
      </w:r>
      <w:r>
        <w:rPr>
          <w:rFonts w:ascii="Times New Roman" w:hAnsi="Times New Roman" w:eastAsia="方正仿宋_GBK" w:cs="Times New Roman"/>
          <w:color w:val="000000" w:themeColor="text1"/>
          <w:sz w:val="32"/>
          <w:szCs w:val="32"/>
          <w:lang w:val="zh-CN"/>
          <w14:textFill>
            <w14:solidFill>
              <w14:schemeClr w14:val="tx1"/>
            </w14:solidFill>
          </w14:textFill>
        </w:rPr>
        <w:t>增长</w:t>
      </w:r>
      <w:r>
        <w:rPr>
          <w:rFonts w:ascii="Times New Roman" w:hAnsi="Times New Roman" w:eastAsia="方正仿宋_GBK" w:cs="Times New Roman"/>
          <w:color w:val="000000" w:themeColor="text1"/>
          <w:sz w:val="32"/>
          <w:szCs w:val="32"/>
          <w14:textFill>
            <w14:solidFill>
              <w14:schemeClr w14:val="tx1"/>
            </w14:solidFill>
          </w14:textFill>
        </w:rPr>
        <w:t>20%。</w:t>
      </w:r>
      <w:r>
        <w:rPr>
          <w:rFonts w:ascii="Times New Roman" w:hAnsi="Times New Roman" w:eastAsia="方正仿宋_GBK" w:cs="Times New Roman"/>
          <w:color w:val="000000" w:themeColor="text1"/>
          <w:kern w:val="2"/>
          <w:sz w:val="32"/>
          <w:szCs w:val="32"/>
          <w14:textFill>
            <w14:solidFill>
              <w14:schemeClr w14:val="tx1"/>
            </w14:solidFill>
          </w14:textFill>
        </w:rPr>
        <w:t>三峰环境御临垃圾发电厂项目获得中国建设工程鲁班奖，虬龙科技研发总部开工，引进春风动力摩托车制造等项目10个，生态环保企业达180家，全产业营业收入增长7%。国际复材</w:t>
      </w:r>
      <w:r>
        <w:rPr>
          <w:rFonts w:hint="eastAsia" w:ascii="Times New Roman" w:hAnsi="Times New Roman" w:eastAsia="方正仿宋_GBK" w:cs="Times New Roman"/>
          <w:color w:val="000000" w:themeColor="text1"/>
          <w:kern w:val="2"/>
          <w:sz w:val="32"/>
          <w:szCs w:val="32"/>
          <w14:textFill>
            <w14:solidFill>
              <w14:schemeClr w14:val="tx1"/>
            </w14:solidFill>
          </w14:textFill>
        </w:rPr>
        <w:t>实现</w:t>
      </w:r>
      <w:r>
        <w:rPr>
          <w:rFonts w:ascii="Times New Roman" w:hAnsi="Times New Roman" w:eastAsia="方正仿宋_GBK" w:cs="Times New Roman"/>
          <w:color w:val="000000" w:themeColor="text1"/>
          <w:kern w:val="2"/>
          <w:sz w:val="32"/>
          <w:szCs w:val="32"/>
          <w14:textFill>
            <w14:solidFill>
              <w14:schemeClr w14:val="tx1"/>
            </w14:solidFill>
          </w14:textFill>
        </w:rPr>
        <w:t>创业板上市，玻纤智能制造生产线项目、F02线冷修技改项目点火投产，</w:t>
      </w:r>
      <w:r>
        <w:rPr>
          <w:rFonts w:hint="eastAsia" w:ascii="Times New Roman" w:hAnsi="Times New Roman" w:eastAsia="方正仿宋_GBK" w:cs="Times New Roman"/>
          <w:color w:val="000000" w:themeColor="text1"/>
          <w:kern w:val="2"/>
          <w:sz w:val="32"/>
          <w:szCs w:val="32"/>
          <w14:textFill>
            <w14:solidFill>
              <w14:schemeClr w14:val="tx1"/>
            </w14:solidFill>
          </w14:textFill>
        </w:rPr>
        <w:t>引入</w:t>
      </w:r>
      <w:r>
        <w:rPr>
          <w:rFonts w:ascii="Times New Roman" w:hAnsi="Times New Roman" w:eastAsia="方正仿宋_GBK" w:cs="Times New Roman"/>
          <w:color w:val="000000" w:themeColor="text1"/>
          <w:kern w:val="2"/>
          <w:sz w:val="32"/>
          <w:szCs w:val="32"/>
          <w14:textFill>
            <w14:solidFill>
              <w14:schemeClr w14:val="tx1"/>
            </w14:solidFill>
          </w14:textFill>
        </w:rPr>
        <w:t>新型清洁能源材料销售总部</w:t>
      </w:r>
      <w:r>
        <w:rPr>
          <w:rFonts w:hint="eastAsia" w:ascii="Times New Roman" w:hAnsi="Times New Roman" w:eastAsia="方正仿宋_GBK" w:cs="Times New Roman"/>
          <w:color w:val="000000" w:themeColor="text1"/>
          <w:kern w:val="2"/>
          <w:sz w:val="32"/>
          <w:szCs w:val="32"/>
          <w14:textFill>
            <w14:solidFill>
              <w14:schemeClr w14:val="tx1"/>
            </w14:solidFill>
          </w14:textFill>
        </w:rPr>
        <w:t>等项目</w:t>
      </w:r>
      <w:r>
        <w:rPr>
          <w:rFonts w:ascii="Times New Roman" w:hAnsi="Times New Roman" w:eastAsia="方正仿宋_GBK" w:cs="Times New Roman"/>
          <w:color w:val="000000" w:themeColor="text1"/>
          <w:kern w:val="2"/>
          <w:sz w:val="32"/>
          <w:szCs w:val="32"/>
          <w14:textFill>
            <w14:solidFill>
              <w14:schemeClr w14:val="tx1"/>
            </w14:solidFill>
          </w14:textFill>
        </w:rPr>
        <w:t>3</w:t>
      </w:r>
      <w:r>
        <w:rPr>
          <w:rFonts w:hint="eastAsia" w:ascii="Times New Roman" w:hAnsi="Times New Roman" w:eastAsia="方正仿宋_GBK" w:cs="Times New Roman"/>
          <w:color w:val="000000" w:themeColor="text1"/>
          <w:kern w:val="2"/>
          <w:sz w:val="32"/>
          <w:szCs w:val="32"/>
          <w14:textFill>
            <w14:solidFill>
              <w14:schemeClr w14:val="tx1"/>
            </w14:solidFill>
          </w14:textFill>
        </w:rPr>
        <w:t>个，</w:t>
      </w:r>
      <w:r>
        <w:rPr>
          <w:rFonts w:ascii="Times New Roman" w:hAnsi="Times New Roman" w:eastAsia="方正仿宋_GBK" w:cs="Times New Roman"/>
          <w:color w:val="000000" w:themeColor="text1"/>
          <w:kern w:val="2"/>
          <w:sz w:val="32"/>
          <w:szCs w:val="32"/>
          <w14:textFill>
            <w14:solidFill>
              <w14:schemeClr w14:val="tx1"/>
            </w14:solidFill>
          </w14:textFill>
        </w:rPr>
        <w:t>设立产业投资平台，新材料企业达42家，全产业</w:t>
      </w:r>
      <w:r>
        <w:rPr>
          <w:rFonts w:ascii="Times New Roman" w:hAnsi="Times New Roman" w:eastAsia="方正仿宋_GBK" w:cs="Times New Roman"/>
          <w:color w:val="000000" w:themeColor="text1"/>
          <w:kern w:val="2"/>
          <w:sz w:val="32"/>
          <w:szCs w:val="32"/>
          <w:lang w:val="zh-CN"/>
          <w14:textFill>
            <w14:solidFill>
              <w14:schemeClr w14:val="tx1"/>
            </w14:solidFill>
          </w14:textFill>
        </w:rPr>
        <w:t>营业收入</w:t>
      </w:r>
      <w:r>
        <w:rPr>
          <w:rFonts w:ascii="Times New Roman" w:hAnsi="Times New Roman" w:eastAsia="方正仿宋_GBK" w:cs="Times New Roman"/>
          <w:color w:val="000000" w:themeColor="text1"/>
          <w:kern w:val="2"/>
          <w:sz w:val="32"/>
          <w:szCs w:val="32"/>
          <w:shd w:val="clear" w:color="auto" w:fill="FFFFFF"/>
          <w14:textFill>
            <w14:solidFill>
              <w14:schemeClr w14:val="tx1"/>
            </w14:solidFill>
          </w14:textFill>
        </w:rPr>
        <w:t>增长5%。</w:t>
      </w:r>
      <w:r>
        <w:rPr>
          <w:rFonts w:ascii="Times New Roman" w:hAnsi="Times New Roman" w:eastAsia="方正仿宋_GBK" w:cs="Times New Roman"/>
          <w:color w:val="000000" w:themeColor="text1"/>
          <w:kern w:val="2"/>
          <w:sz w:val="32"/>
          <w:szCs w:val="32"/>
          <w14:textFill>
            <w14:solidFill>
              <w14:schemeClr w14:val="tx1"/>
            </w14:solidFill>
          </w14:textFill>
        </w:rPr>
        <w:t>重庆小面生产基地一期以及中央工厂竣工，</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麦制品产业集群</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列入农业农村部、财政部2023年农业产业融合发展优势特色产业集群，引入呼啦面馆集团总部基地等项目8个，重庆小面企业达60</w:t>
      </w:r>
      <w:r>
        <w:rPr>
          <w:rFonts w:hint="eastAsia" w:ascii="Times New Roman" w:hAnsi="Times New Roman" w:eastAsia="方正仿宋_GBK" w:cs="Times New Roman"/>
          <w:color w:val="000000" w:themeColor="text1"/>
          <w:kern w:val="2"/>
          <w:sz w:val="32"/>
          <w:szCs w:val="32"/>
          <w14:textFill>
            <w14:solidFill>
              <w14:schemeClr w14:val="tx1"/>
            </w14:solidFill>
          </w14:textFill>
        </w:rPr>
        <w:t>余</w:t>
      </w:r>
      <w:r>
        <w:rPr>
          <w:rFonts w:ascii="Times New Roman" w:hAnsi="Times New Roman" w:eastAsia="方正仿宋_GBK" w:cs="Times New Roman"/>
          <w:color w:val="000000" w:themeColor="text1"/>
          <w:kern w:val="2"/>
          <w:sz w:val="32"/>
          <w:szCs w:val="32"/>
          <w14:textFill>
            <w14:solidFill>
              <w14:schemeClr w14:val="tx1"/>
            </w14:solidFill>
          </w14:textFill>
        </w:rPr>
        <w:t>家，全产业营业收入增长109%。</w:t>
      </w:r>
      <w:r>
        <w:rPr>
          <w:rFonts w:ascii="Times New Roman" w:hAnsi="Times New Roman" w:eastAsia="方正仿宋_GBK" w:cs="Times New Roman"/>
          <w:b/>
          <w:bCs/>
          <w:color w:val="000000" w:themeColor="text1"/>
          <w:kern w:val="2"/>
          <w:sz w:val="32"/>
          <w:szCs w:val="32"/>
          <w14:textFill>
            <w14:solidFill>
              <w14:schemeClr w14:val="tx1"/>
            </w14:solidFill>
          </w14:textFill>
        </w:rPr>
        <w:t>数字经济持续赋能。</w:t>
      </w:r>
      <w:r>
        <w:rPr>
          <w:rFonts w:ascii="Times New Roman" w:hAnsi="Times New Roman" w:eastAsia="方正仿宋_GBK" w:cs="Times New Roman"/>
          <w:color w:val="000000" w:themeColor="text1"/>
          <w:kern w:val="2"/>
          <w:sz w:val="32"/>
          <w:szCs w:val="32"/>
          <w14:textFill>
            <w14:solidFill>
              <w14:schemeClr w14:val="tx1"/>
            </w14:solidFill>
          </w14:textFill>
        </w:rPr>
        <w:t>深入推进</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满天星</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行动计划，新收储楼宇物业36</w:t>
      </w:r>
      <w:r>
        <w:rPr>
          <w:rFonts w:hint="eastAsia" w:ascii="Times New Roman"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8万平方米，全区软件和信息服务业楼宇面积、企业数量、从业人员、营业收入分别增长155%、21%、140%、100%。加快传统制造业数字化转型，新培育市级</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专精特新</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企业16家，国家级专精特新</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小巨人</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企业1家，海康威视、</w:t>
      </w:r>
      <w:r>
        <w:rPr>
          <w:rFonts w:hint="eastAsia" w:ascii="Times New Roman" w:hAnsi="Times New Roman" w:eastAsia="方正仿宋_GBK" w:cs="Times New Roman"/>
          <w:color w:val="000000" w:themeColor="text1"/>
          <w:kern w:val="2"/>
          <w:sz w:val="32"/>
          <w:szCs w:val="32"/>
          <w14:textFill>
            <w14:solidFill>
              <w14:schemeClr w14:val="tx1"/>
            </w14:solidFill>
          </w14:textFill>
        </w:rPr>
        <w:t>国际复材入</w:t>
      </w:r>
      <w:r>
        <w:rPr>
          <w:rFonts w:ascii="Times New Roman" w:hAnsi="Times New Roman" w:eastAsia="方正仿宋_GBK" w:cs="Times New Roman"/>
          <w:color w:val="000000" w:themeColor="text1"/>
          <w:kern w:val="2"/>
          <w:sz w:val="32"/>
          <w:szCs w:val="32"/>
          <w14:textFill>
            <w14:solidFill>
              <w14:schemeClr w14:val="tx1"/>
            </w14:solidFill>
          </w14:textFill>
        </w:rPr>
        <w:t>选国家级智能制造示范工厂，风渡新材料、秋田齿轮等4家企业被认定为市级数字化车间。龙文钢材市场</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钢联网仓</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数智化平台上线运营。</w:t>
      </w:r>
      <w:r>
        <w:rPr>
          <w:rFonts w:ascii="Times New Roman" w:hAnsi="Times New Roman" w:eastAsia="方正仿宋_GBK" w:cs="Times New Roman"/>
          <w:b/>
          <w:bCs/>
          <w:color w:val="000000" w:themeColor="text1"/>
          <w:kern w:val="2"/>
          <w:sz w:val="32"/>
          <w14:textFill>
            <w14:solidFill>
              <w14:schemeClr w14:val="tx1"/>
            </w14:solidFill>
          </w14:textFill>
        </w:rPr>
        <w:t>现代服务业提质增效。</w:t>
      </w:r>
      <w:r>
        <w:rPr>
          <w:rFonts w:ascii="Times New Roman" w:hAnsi="Times New Roman" w:eastAsia="方正仿宋_GBK" w:cs="Times New Roman"/>
          <w:color w:val="000000" w:themeColor="text1"/>
          <w:kern w:val="2"/>
          <w:sz w:val="32"/>
          <w:szCs w:val="32"/>
          <w14:textFill>
            <w14:solidFill>
              <w14:schemeClr w14:val="tx1"/>
            </w14:solidFill>
          </w14:textFill>
        </w:rPr>
        <w:t>商贸载体提速建设，天安数码城三期A组团建成投用，华润、万达等商业综合体持续升级，全区首家高端酒店启动建设。文旅产业加快培育，</w:t>
      </w:r>
      <w:r>
        <w:rPr>
          <w:rFonts w:hint="eastAsia" w:ascii="Times New Roman" w:hAnsi="Times New Roman" w:eastAsia="方正仿宋_GBK" w:cs="Times New Roman"/>
          <w:color w:val="000000" w:themeColor="text1"/>
          <w:kern w:val="2"/>
          <w:sz w:val="32"/>
          <w:szCs w:val="32"/>
          <w14:textFill>
            <w14:solidFill>
              <w14:schemeClr w14:val="tx1"/>
            </w14:solidFill>
          </w14:textFill>
        </w:rPr>
        <w:t>积极</w:t>
      </w:r>
      <w:r>
        <w:rPr>
          <w:rFonts w:ascii="Times New Roman" w:hAnsi="Times New Roman" w:eastAsia="方正仿宋_GBK" w:cs="Times New Roman"/>
          <w:color w:val="000000" w:themeColor="text1"/>
          <w:kern w:val="2"/>
          <w:sz w:val="32"/>
          <w:szCs w:val="32"/>
          <w14:textFill>
            <w14:solidFill>
              <w14:schemeClr w14:val="tx1"/>
            </w14:solidFill>
          </w14:textFill>
        </w:rPr>
        <w:t>创建金鳌田园4A级旅游景区，编制区影视产业规划，成立区影视产业协会，入驻上下游企业39家，黄金游轮</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长江三峡旅游产品</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获评国家首批交通运输与旅游融合发展十佳典型案例。现代金融稳步发展，</w:t>
      </w:r>
      <w:r>
        <w:rPr>
          <w:rFonts w:ascii="Times New Roman" w:hAnsi="Times New Roman" w:eastAsia="方正仿宋_GBK" w:cs="Times New Roman"/>
          <w:color w:val="000000" w:themeColor="text1"/>
          <w:kern w:val="2"/>
          <w:sz w:val="32"/>
          <w:szCs w:val="32"/>
          <w:shd w:val="clear" w:color="auto" w:fill="FFFFFF"/>
          <w14:textFill>
            <w14:solidFill>
              <w14:schemeClr w14:val="tx1"/>
            </w14:solidFill>
          </w14:textFill>
        </w:rPr>
        <w:t>新增上市企业1家、重庆OTC挂牌企业1家</w:t>
      </w:r>
      <w:r>
        <w:rPr>
          <w:rFonts w:ascii="Times New Roman"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shd w:val="clear" w:color="auto" w:fill="FFFFFF"/>
          <w14:textFill>
            <w14:solidFill>
              <w14:schemeClr w14:val="tx1"/>
            </w14:solidFill>
          </w14:textFill>
        </w:rPr>
        <w:t>上市后备库企业7家，</w:t>
      </w:r>
      <w:r>
        <w:rPr>
          <w:rFonts w:ascii="Times New Roman" w:hAnsi="Times New Roman" w:eastAsia="方正仿宋_GBK" w:cs="Times New Roman"/>
          <w:color w:val="000000" w:themeColor="text1"/>
          <w:kern w:val="2"/>
          <w:sz w:val="32"/>
          <w:szCs w:val="32"/>
          <w14:textFill>
            <w14:solidFill>
              <w14:schemeClr w14:val="tx1"/>
            </w14:solidFill>
          </w14:textFill>
        </w:rPr>
        <w:t>重庆市现代产业链服务中心正式运营，获银行授信超1亿元</w:t>
      </w:r>
      <w:r>
        <w:rPr>
          <w:rFonts w:ascii="Times New Roman" w:hAnsi="Times New Roman" w:eastAsia="方正仿宋_GBK" w:cs="Times New Roman"/>
          <w:bCs/>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全年新注册重点服务业企业突破120家，</w:t>
      </w:r>
      <w:r>
        <w:rPr>
          <w:rFonts w:ascii="Times New Roman" w:hAnsi="Times New Roman" w:eastAsia="方正仿宋_GBK" w:cs="Times New Roman"/>
          <w:bCs/>
          <w:color w:val="000000" w:themeColor="text1"/>
          <w:kern w:val="2"/>
          <w:sz w:val="32"/>
          <w:szCs w:val="32"/>
          <w14:textFill>
            <w14:solidFill>
              <w14:schemeClr w14:val="tx1"/>
            </w14:solidFill>
          </w14:textFill>
        </w:rPr>
        <w:t>新升限商贸单位127</w:t>
      </w:r>
      <w:r>
        <w:rPr>
          <w:rFonts w:hint="eastAsia" w:ascii="Times New Roman" w:hAnsi="Times New Roman" w:eastAsia="方正仿宋_GBK" w:cs="Times New Roman"/>
          <w:bCs/>
          <w:color w:val="000000" w:themeColor="text1"/>
          <w:kern w:val="2"/>
          <w:sz w:val="32"/>
          <w:szCs w:val="32"/>
          <w14:textFill>
            <w14:solidFill>
              <w14:schemeClr w14:val="tx1"/>
            </w14:solidFill>
          </w14:textFill>
        </w:rPr>
        <w:t>户</w:t>
      </w:r>
      <w:r>
        <w:rPr>
          <w:rFonts w:ascii="Times New Roman" w:hAnsi="Times New Roman" w:eastAsia="方正仿宋_GBK" w:cs="Times New Roman"/>
          <w:bCs/>
          <w:color w:val="000000" w:themeColor="text1"/>
          <w:kern w:val="2"/>
          <w:sz w:val="32"/>
          <w:szCs w:val="32"/>
          <w14:textFill>
            <w14:solidFill>
              <w14:schemeClr w14:val="tx1"/>
            </w14:solidFill>
          </w14:textFill>
        </w:rPr>
        <w:t>，其他服务业新升规入统企业35家。</w:t>
      </w:r>
    </w:p>
    <w:p>
      <w:pPr>
        <w:pStyle w:val="2"/>
        <w:tabs>
          <w:tab w:val="left" w:pos="6820"/>
        </w:tabs>
        <w:spacing w:line="594" w:lineRule="exact"/>
        <w:ind w:firstLine="643" w:firstLineChars="200"/>
        <w:rPr>
          <w:rFonts w:eastAsia="方正仿宋_GBK"/>
          <w:color w:val="000000" w:themeColor="text1"/>
          <w:kern w:val="2"/>
          <w:szCs w:val="32"/>
          <w14:textFill>
            <w14:solidFill>
              <w14:schemeClr w14:val="tx1"/>
            </w14:solidFill>
          </w14:textFill>
        </w:rPr>
      </w:pPr>
      <w:r>
        <w:rPr>
          <w:rFonts w:eastAsia="方正仿宋_GBK"/>
          <w:b/>
          <w:color w:val="000000" w:themeColor="text1"/>
          <w:kern w:val="2"/>
          <w:szCs w:val="32"/>
          <w14:textFill>
            <w14:solidFill>
              <w14:schemeClr w14:val="tx1"/>
            </w14:solidFill>
          </w14:textFill>
        </w:rPr>
        <w:t>3. 奋力推进城乡融合，发展格局持续优化。艺术湾建设稳步推进。</w:t>
      </w:r>
      <w:r>
        <w:rPr>
          <w:rFonts w:eastAsia="方正仿宋_GBK"/>
          <w:bCs/>
          <w:color w:val="000000" w:themeColor="text1"/>
          <w:kern w:val="2"/>
          <w:szCs w:val="32"/>
          <w14:textFill>
            <w14:solidFill>
              <w14:schemeClr w14:val="tx1"/>
            </w14:solidFill>
          </w14:textFill>
        </w:rPr>
        <w:t>片区功能体系加快完善，</w:t>
      </w:r>
      <w:r>
        <w:rPr>
          <w:rFonts w:eastAsia="方正仿宋_GBK"/>
          <w:color w:val="000000" w:themeColor="text1"/>
          <w:kern w:val="2"/>
          <w:szCs w:val="32"/>
          <w14:textFill>
            <w14:solidFill>
              <w14:schemeClr w14:val="tx1"/>
            </w14:solidFill>
          </w14:textFill>
        </w:rPr>
        <w:t>宝武西南总部、茄子溪</w:t>
      </w:r>
      <w:r>
        <w:rPr>
          <w:rFonts w:hint="eastAsia" w:ascii="方正小标宋_GBK" w:hAnsi="方正小标宋_GBK" w:eastAsia="方正小标宋_GBK" w:cs="方正小标宋_GBK"/>
          <w:color w:val="000000" w:themeColor="text1"/>
          <w:kern w:val="2"/>
          <w:szCs w:val="32"/>
          <w14:textFill>
            <w14:solidFill>
              <w14:schemeClr w14:val="tx1"/>
            </w14:solidFill>
          </w14:textFill>
        </w:rPr>
        <w:t>·</w:t>
      </w:r>
      <w:r>
        <w:rPr>
          <w:rFonts w:eastAsia="方正仿宋_GBK"/>
          <w:color w:val="000000" w:themeColor="text1"/>
          <w:kern w:val="2"/>
          <w:szCs w:val="32"/>
          <w14:textFill>
            <w14:solidFill>
              <w14:schemeClr w14:val="tx1"/>
            </w14:solidFill>
          </w14:textFill>
        </w:rPr>
        <w:t>长江音悦港、中南高科</w:t>
      </w:r>
      <w:r>
        <w:rPr>
          <w:rFonts w:hint="eastAsia" w:ascii="方正小标宋_GBK" w:hAnsi="方正小标宋_GBK" w:eastAsia="方正小标宋_GBK" w:cs="方正小标宋_GBK"/>
          <w:color w:val="000000" w:themeColor="text1"/>
          <w:kern w:val="2"/>
          <w:szCs w:val="32"/>
          <w14:textFill>
            <w14:solidFill>
              <w14:schemeClr w14:val="tx1"/>
            </w14:solidFill>
          </w14:textFill>
        </w:rPr>
        <w:t>·</w:t>
      </w:r>
      <w:r>
        <w:rPr>
          <w:rFonts w:eastAsia="方正仿宋_GBK"/>
          <w:bCs/>
          <w:color w:val="000000" w:themeColor="text1"/>
          <w:kern w:val="2"/>
          <w:szCs w:val="32"/>
          <w14:textFill>
            <w14:solidFill>
              <w14:schemeClr w14:val="tx1"/>
            </w14:solidFill>
          </w14:textFill>
        </w:rPr>
        <w:t>重庆滨江创智云谷等项目加速建设，</w:t>
      </w:r>
      <w:r>
        <w:rPr>
          <w:rFonts w:eastAsia="方正仿宋_GBK"/>
          <w:color w:val="000000" w:themeColor="text1"/>
          <w:kern w:val="2"/>
          <w:szCs w:val="32"/>
          <w14:textFill>
            <w14:solidFill>
              <w14:schemeClr w14:val="tx1"/>
            </w14:solidFill>
          </w14:textFill>
        </w:rPr>
        <w:t>钓鱼嘴立交、</w:t>
      </w:r>
      <w:r>
        <w:rPr>
          <w:rFonts w:eastAsia="方正仿宋_GBK"/>
          <w:color w:val="000000" w:themeColor="text1"/>
          <w:kern w:val="2"/>
          <w14:textFill>
            <w14:solidFill>
              <w14:schemeClr w14:val="tx1"/>
            </w14:solidFill>
          </w14:textFill>
        </w:rPr>
        <w:t>重钢崖线山城步道二期等项目完工，</w:t>
      </w:r>
      <w:r>
        <w:rPr>
          <w:rFonts w:eastAsia="方正仿宋_GBK"/>
          <w:color w:val="000000" w:themeColor="text1"/>
          <w:szCs w:val="32"/>
          <w14:textFill>
            <w14:solidFill>
              <w14:schemeClr w14:val="tx1"/>
            </w14:solidFill>
          </w14:textFill>
        </w:rPr>
        <w:t>老成渝铁路改造工程、音乐大道中段、嘉南线连接道等项目加快推进，</w:t>
      </w:r>
      <w:r>
        <w:rPr>
          <w:rFonts w:hint="eastAsia" w:ascii="方正仿宋_GBK"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两江四岸</w:t>
      </w:r>
      <w:r>
        <w:rPr>
          <w:rFonts w:hint="eastAsia" w:ascii="方正仿宋_GBK"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治理提升工程葛老溪段建成。</w:t>
      </w:r>
      <w:r>
        <w:rPr>
          <w:rFonts w:eastAsia="方正仿宋_GBK"/>
          <w:color w:val="000000" w:themeColor="text1"/>
          <w:szCs w:val="32"/>
          <w:lang w:val="zh-CN"/>
          <w14:textFill>
            <w14:solidFill>
              <w14:schemeClr w14:val="tx1"/>
            </w14:solidFill>
          </w14:textFill>
        </w:rPr>
        <w:t>产业及人文体系加快构建，重庆工业文化博览园成功创建国家4A级旅游景区、获评国家工业旅游示范基地，</w:t>
      </w:r>
      <w:r>
        <w:rPr>
          <w:rFonts w:eastAsia="方正仿宋_GBK"/>
          <w:color w:val="000000" w:themeColor="text1"/>
          <w:szCs w:val="32"/>
          <w14:textFill>
            <w14:solidFill>
              <w14:schemeClr w14:val="tx1"/>
            </w14:solidFill>
          </w14:textFill>
        </w:rPr>
        <w:t>义渡古镇招商进程加快，成功举办重庆</w:t>
      </w:r>
      <w:r>
        <w:rPr>
          <w:rFonts w:hint="eastAsia" w:ascii="方正仿宋_GBK"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乐堡WHY NOT</w:t>
      </w:r>
      <w:r>
        <w:rPr>
          <w:rFonts w:hint="eastAsia" w:ascii="方正仿宋_GBK"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音乐节</w:t>
      </w:r>
      <w:r>
        <w:rPr>
          <w:rFonts w:eastAsia="方正仿宋_GBK"/>
          <w:color w:val="000000" w:themeColor="text1"/>
          <w:szCs w:val="32"/>
          <w:lang w:val="zh-CN"/>
          <w14:textFill>
            <w14:solidFill>
              <w14:schemeClr w14:val="tx1"/>
            </w14:solidFill>
          </w14:textFill>
        </w:rPr>
        <w:t>。</w:t>
      </w:r>
      <w:r>
        <w:rPr>
          <w:rFonts w:eastAsia="方正仿宋_GBK"/>
          <w:b/>
          <w:color w:val="000000" w:themeColor="text1"/>
          <w:kern w:val="2"/>
          <w:szCs w:val="32"/>
          <w14:textFill>
            <w14:solidFill>
              <w14:schemeClr w14:val="tx1"/>
            </w14:solidFill>
          </w14:textFill>
        </w:rPr>
        <w:t>城市功能品质更加完善。</w:t>
      </w:r>
      <w:r>
        <w:rPr>
          <w:rFonts w:eastAsia="方正仿宋_GBK"/>
          <w:color w:val="000000" w:themeColor="text1"/>
          <w:szCs w:val="32"/>
          <w14:textFill>
            <w14:solidFill>
              <w14:schemeClr w14:val="tx1"/>
            </w14:solidFill>
          </w14:textFill>
        </w:rPr>
        <w:t>完成农村土地征收2056.8亩、国有土地上房屋征收10万平方米，出让土地297亩。</w:t>
      </w:r>
      <w:r>
        <w:rPr>
          <w:rFonts w:eastAsia="方正仿宋_GBK"/>
          <w:color w:val="000000" w:themeColor="text1"/>
          <w:kern w:val="2"/>
          <w:szCs w:val="32"/>
          <w14:textFill>
            <w14:solidFill>
              <w14:schemeClr w14:val="tx1"/>
            </w14:solidFill>
          </w14:textFill>
        </w:rPr>
        <w:t>轨道交通18号线、江跳线开通运营，5号线全线贯通，金晟路网二期、陈家阁立交等项目建成通车，三纵线双山隧道至金家湾立交段改造、陶家隧道、新袁茄路南段、</w:t>
      </w:r>
      <w:r>
        <w:rPr>
          <w:rFonts w:eastAsia="方正仿宋_GBK"/>
          <w:color w:val="000000" w:themeColor="text1"/>
          <w:szCs w:val="32"/>
          <w14:textFill>
            <w14:solidFill>
              <w14:schemeClr w14:val="tx1"/>
            </w14:solidFill>
          </w14:textFill>
        </w:rPr>
        <w:t>重钢南北干道</w:t>
      </w:r>
      <w:r>
        <w:rPr>
          <w:rFonts w:eastAsia="方正仿宋_GBK"/>
          <w:color w:val="000000" w:themeColor="text1"/>
          <w:kern w:val="2"/>
          <w:szCs w:val="32"/>
          <w14:textFill>
            <w14:solidFill>
              <w14:schemeClr w14:val="tx1"/>
            </w14:solidFill>
          </w14:textFill>
        </w:rPr>
        <w:t>等项目加速推进，累计建成城市道路247公里。完成新工社区、伏牛溪社区等12个老旧小区改造、惠及居民8640户，启动五一互助片区城中村改造。</w:t>
      </w:r>
      <w:r>
        <w:rPr>
          <w:rFonts w:eastAsia="方正仿宋_GBK"/>
          <w:color w:val="000000" w:themeColor="text1"/>
          <w:szCs w:val="32"/>
          <w14:textFill>
            <w14:solidFill>
              <w14:schemeClr w14:val="tx1"/>
            </w14:solidFill>
          </w14:textFill>
        </w:rPr>
        <w:t>推进全国文明城区创建，巩固创卫成果，</w:t>
      </w:r>
      <w:r>
        <w:rPr>
          <w:rFonts w:eastAsia="方正仿宋_GBK"/>
          <w:color w:val="000000" w:themeColor="text1"/>
          <w:kern w:val="2"/>
          <w:szCs w:val="32"/>
          <w14:textFill>
            <w14:solidFill>
              <w14:schemeClr w14:val="tx1"/>
            </w14:solidFill>
          </w14:textFill>
        </w:rPr>
        <w:t>新建</w:t>
      </w:r>
      <w:r>
        <w:rPr>
          <w:rFonts w:hint="eastAsia" w:ascii="方正仿宋_GBK" w:eastAsia="方正仿宋_GBK"/>
          <w:color w:val="000000" w:themeColor="text1"/>
          <w:kern w:val="2"/>
          <w:szCs w:val="32"/>
          <w14:textFill>
            <w14:solidFill>
              <w14:schemeClr w14:val="tx1"/>
            </w14:solidFill>
          </w14:textFill>
        </w:rPr>
        <w:t>“</w:t>
      </w:r>
      <w:r>
        <w:rPr>
          <w:rFonts w:eastAsia="方正仿宋_GBK"/>
          <w:color w:val="000000" w:themeColor="text1"/>
          <w:kern w:val="2"/>
          <w:szCs w:val="32"/>
          <w14:textFill>
            <w14:solidFill>
              <w14:schemeClr w14:val="tx1"/>
            </w14:solidFill>
          </w14:textFill>
        </w:rPr>
        <w:t>三包五长</w:t>
      </w:r>
      <w:r>
        <w:rPr>
          <w:rFonts w:hint="eastAsia" w:ascii="方正仿宋_GBK" w:eastAsia="方正仿宋_GBK"/>
          <w:color w:val="000000" w:themeColor="text1"/>
          <w:kern w:val="2"/>
          <w:szCs w:val="32"/>
          <w14:textFill>
            <w14:solidFill>
              <w14:schemeClr w14:val="tx1"/>
            </w14:solidFill>
          </w14:textFill>
        </w:rPr>
        <w:t>”</w:t>
      </w:r>
      <w:r>
        <w:rPr>
          <w:rFonts w:eastAsia="方正仿宋_GBK"/>
          <w:color w:val="000000" w:themeColor="text1"/>
          <w:kern w:val="2"/>
          <w:szCs w:val="32"/>
          <w14:textFill>
            <w14:solidFill>
              <w14:schemeClr w14:val="tx1"/>
            </w14:solidFill>
          </w14:textFill>
        </w:rPr>
        <w:t>示范道路8条，</w:t>
      </w:r>
      <w:r>
        <w:rPr>
          <w:rFonts w:eastAsia="方正仿宋_GBK"/>
          <w:color w:val="000000" w:themeColor="text1"/>
          <w:szCs w:val="32"/>
          <w14:textFill>
            <w14:solidFill>
              <w14:schemeClr w14:val="tx1"/>
            </w14:solidFill>
          </w14:textFill>
        </w:rPr>
        <w:t>查处违法建筑、占道停车等各类违规行为1.3万起，</w:t>
      </w:r>
      <w:r>
        <w:rPr>
          <w:rFonts w:eastAsia="方正仿宋_GBK"/>
          <w:color w:val="000000" w:themeColor="text1"/>
          <w:kern w:val="2"/>
          <w14:textFill>
            <w14:solidFill>
              <w14:schemeClr w14:val="tx1"/>
            </w14:solidFill>
          </w14:textFill>
        </w:rPr>
        <w:t>新建小微停车场29个、停车泊位1662个</w:t>
      </w:r>
      <w:r>
        <w:rPr>
          <w:rFonts w:eastAsia="方正仿宋_GBK"/>
          <w:color w:val="000000" w:themeColor="text1"/>
          <w:szCs w:val="32"/>
          <w14:textFill>
            <w14:solidFill>
              <w14:schemeClr w14:val="tx1"/>
            </w14:solidFill>
          </w14:textFill>
        </w:rPr>
        <w:t>。跃进村雨污水管网整治工程完工，</w:t>
      </w:r>
      <w:r>
        <w:rPr>
          <w:rFonts w:eastAsia="方正仿宋_GBK"/>
          <w:color w:val="000000" w:themeColor="text1"/>
          <w:kern w:val="2"/>
          <w14:textFill>
            <w14:solidFill>
              <w14:schemeClr w14:val="tx1"/>
            </w14:solidFill>
          </w14:textFill>
        </w:rPr>
        <w:t>实施老旧供水管网改造7公里</w:t>
      </w:r>
      <w:r>
        <w:rPr>
          <w:rFonts w:eastAsia="方正仿宋_GBK"/>
          <w:color w:val="000000" w:themeColor="text1"/>
          <w:szCs w:val="32"/>
          <w14:textFill>
            <w14:solidFill>
              <w14:schemeClr w14:val="tx1"/>
            </w14:solidFill>
          </w14:textFill>
        </w:rPr>
        <w:t>。全区城市生活垃圾回收利用率保持41%以上，城乡生活垃圾分类覆盖率、无害化处理率均达100%。</w:t>
      </w:r>
      <w:r>
        <w:rPr>
          <w:rFonts w:eastAsia="方正仿宋_GBK"/>
          <w:b/>
          <w:bCs/>
          <w:color w:val="000000" w:themeColor="text1"/>
          <w:kern w:val="2"/>
          <w14:textFill>
            <w14:solidFill>
              <w14:schemeClr w14:val="tx1"/>
            </w14:solidFill>
          </w14:textFill>
        </w:rPr>
        <w:t>乡村振兴战略深入实施。</w:t>
      </w:r>
      <w:r>
        <w:rPr>
          <w:rFonts w:eastAsia="方正仿宋_GBK"/>
          <w:color w:val="000000" w:themeColor="text1"/>
          <w:kern w:val="2"/>
          <w:szCs w:val="32"/>
          <w14:textFill>
            <w14:solidFill>
              <w14:schemeClr w14:val="tx1"/>
            </w14:solidFill>
          </w14:textFill>
        </w:rPr>
        <w:t>实施乡村振兴项目31个，</w:t>
      </w:r>
      <w:r>
        <w:rPr>
          <w:rFonts w:eastAsia="方正仿宋_GBK"/>
          <w:color w:val="000000" w:themeColor="text1"/>
          <w:szCs w:val="32"/>
          <w14:textFill>
            <w14:solidFill>
              <w14:schemeClr w14:val="tx1"/>
            </w14:solidFill>
          </w14:textFill>
        </w:rPr>
        <w:t>打造环金鳌山沿线6公里观景大道，</w:t>
      </w:r>
      <w:r>
        <w:rPr>
          <w:rFonts w:eastAsia="方正仿宋_GBK"/>
          <w:color w:val="000000" w:themeColor="text1"/>
          <w:kern w:val="2"/>
          <w:szCs w:val="40"/>
          <w14:textFill>
            <w14:solidFill>
              <w14:schemeClr w14:val="tx1"/>
            </w14:solidFill>
          </w14:textFill>
        </w:rPr>
        <w:t>完成石新路等公路建设项目7个、21.8公里。</w:t>
      </w:r>
      <w:r>
        <w:rPr>
          <w:rFonts w:eastAsia="方正仿宋_GBK"/>
          <w:color w:val="000000" w:themeColor="text1"/>
          <w:szCs w:val="32"/>
          <w14:textFill>
            <w14:solidFill>
              <w14:schemeClr w14:val="tx1"/>
            </w14:solidFill>
          </w14:textFill>
        </w:rPr>
        <w:t>持续做优特色农产品加工业，</w:t>
      </w:r>
      <w:r>
        <w:rPr>
          <w:rFonts w:hint="eastAsia" w:eastAsia="方正仿宋_GBK"/>
          <w:color w:val="000000" w:themeColor="text1"/>
          <w:szCs w:val="32"/>
          <w14:textFill>
            <w14:solidFill>
              <w14:schemeClr w14:val="tx1"/>
            </w14:solidFill>
          </w14:textFill>
        </w:rPr>
        <w:t>新</w:t>
      </w:r>
      <w:r>
        <w:rPr>
          <w:rFonts w:eastAsia="方正仿宋_GBK"/>
          <w:color w:val="000000" w:themeColor="text1"/>
          <w:szCs w:val="32"/>
          <w14:textFill>
            <w14:solidFill>
              <w14:schemeClr w14:val="tx1"/>
            </w14:solidFill>
          </w14:textFill>
        </w:rPr>
        <w:t>培育国家级农业产业化龙头企业2家</w:t>
      </w:r>
      <w:r>
        <w:rPr>
          <w:rFonts w:eastAsia="方正仿宋_GBK"/>
          <w:color w:val="000000" w:themeColor="text1"/>
          <w:kern w:val="2"/>
          <w:szCs w:val="32"/>
          <w14:textFill>
            <w14:solidFill>
              <w14:schemeClr w14:val="tx1"/>
            </w14:solidFill>
          </w14:textFill>
        </w:rPr>
        <w:t>，</w:t>
      </w:r>
      <w:r>
        <w:rPr>
          <w:rFonts w:eastAsia="方正仿宋_GBK"/>
          <w:color w:val="000000" w:themeColor="text1"/>
          <w:szCs w:val="32"/>
          <w14:textFill>
            <w14:solidFill>
              <w14:schemeClr w14:val="tx1"/>
            </w14:solidFill>
          </w14:textFill>
        </w:rPr>
        <w:t>新增食品和农产品加工</w:t>
      </w:r>
      <w:r>
        <w:rPr>
          <w:rFonts w:hint="eastAsia" w:ascii="方正仿宋_GBK"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双百</w:t>
      </w:r>
      <w:r>
        <w:rPr>
          <w:rFonts w:hint="eastAsia" w:ascii="方正仿宋_GBK"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企业</w:t>
      </w:r>
      <w:r>
        <w:rPr>
          <w:color w:val="000000" w:themeColor="text1"/>
          <w:szCs w:val="32"/>
          <w14:textFill>
            <w14:solidFill>
              <w14:schemeClr w14:val="tx1"/>
            </w14:solidFill>
          </w14:textFill>
        </w:rPr>
        <w:t>4</w:t>
      </w:r>
      <w:r>
        <w:rPr>
          <w:rFonts w:eastAsia="方正仿宋_GBK"/>
          <w:color w:val="000000" w:themeColor="text1"/>
          <w:szCs w:val="32"/>
          <w14:textFill>
            <w14:solidFill>
              <w14:schemeClr w14:val="tx1"/>
            </w14:solidFill>
          </w14:textFill>
        </w:rPr>
        <w:t>家、</w:t>
      </w:r>
      <w:r>
        <w:rPr>
          <w:rFonts w:eastAsia="方正仿宋_GBK"/>
          <w:color w:val="000000" w:themeColor="text1"/>
          <w:kern w:val="2"/>
          <w:szCs w:val="32"/>
          <w14:textFill>
            <w14:solidFill>
              <w14:schemeClr w14:val="tx1"/>
            </w14:solidFill>
          </w14:textFill>
        </w:rPr>
        <w:t>重庆市农产品加工示范企业1家。加快推进中梁山康养、金鳌田园等农商旅融合项目，</w:t>
      </w:r>
      <w:r>
        <w:rPr>
          <w:rFonts w:eastAsia="方正仿宋_GBK"/>
          <w:color w:val="000000" w:themeColor="text1"/>
          <w:szCs w:val="32"/>
          <w14:textFill>
            <w14:solidFill>
              <w14:schemeClr w14:val="tx1"/>
            </w14:solidFill>
          </w14:textFill>
        </w:rPr>
        <w:t>蒲公英成长酷玩营地一期开营、二期启动建设，</w:t>
      </w:r>
      <w:r>
        <w:rPr>
          <w:rFonts w:eastAsia="方正仿宋_GBK"/>
          <w:color w:val="000000" w:themeColor="text1"/>
          <w:kern w:val="2"/>
          <w:szCs w:val="32"/>
          <w14:textFill>
            <w14:solidFill>
              <w14:schemeClr w14:val="tx1"/>
            </w14:solidFill>
          </w14:textFill>
        </w:rPr>
        <w:t>成功打造田园景观1700余亩，全年游客突破50万人，实现</w:t>
      </w:r>
      <w:r>
        <w:rPr>
          <w:rFonts w:eastAsia="方正仿宋_GBK"/>
          <w:color w:val="000000" w:themeColor="text1"/>
          <w:szCs w:val="32"/>
          <w14:textFill>
            <w14:solidFill>
              <w14:schemeClr w14:val="tx1"/>
            </w14:solidFill>
          </w14:textFill>
        </w:rPr>
        <w:t>乡村旅游营业收入2亿元、增长8.74%。</w:t>
      </w:r>
      <w:r>
        <w:rPr>
          <w:rFonts w:eastAsia="方正仿宋_GBK"/>
          <w:color w:val="000000" w:themeColor="text1"/>
          <w:kern w:val="2"/>
          <w:szCs w:val="32"/>
          <w14:textFill>
            <w14:solidFill>
              <w14:schemeClr w14:val="tx1"/>
            </w14:solidFill>
          </w14:textFill>
        </w:rPr>
        <w:t>金鳌村成功创建市级宜居宜业和美乡村五星级示范村，金鳌田园入选成渝地区双城经济圈乡村特色风貌保护十大案例、美丽重庆建设案例。成功创建乡村治理国家级（市级）示范村3个。</w:t>
      </w:r>
    </w:p>
    <w:p>
      <w:pPr>
        <w:pStyle w:val="2"/>
        <w:spacing w:line="594" w:lineRule="exact"/>
        <w:ind w:firstLine="643" w:firstLineChars="200"/>
        <w:contextualSpacing/>
        <w:rPr>
          <w:rFonts w:eastAsia="方正仿宋_GBK"/>
          <w:color w:val="000000" w:themeColor="text1"/>
          <w:szCs w:val="32"/>
          <w14:textFill>
            <w14:solidFill>
              <w14:schemeClr w14:val="tx1"/>
            </w14:solidFill>
          </w14:textFill>
        </w:rPr>
      </w:pPr>
      <w:r>
        <w:rPr>
          <w:rFonts w:eastAsia="方正仿宋_GBK"/>
          <w:b/>
          <w:color w:val="000000" w:themeColor="text1"/>
          <w:szCs w:val="32"/>
          <w14:textFill>
            <w14:solidFill>
              <w14:schemeClr w14:val="tx1"/>
            </w14:solidFill>
          </w14:textFill>
        </w:rPr>
        <w:t>4. 加快筑牢绿色发展本底，生态品质持续提升。公园城市建设成效明显。</w:t>
      </w:r>
      <w:r>
        <w:rPr>
          <w:rFonts w:eastAsia="方正仿宋_GBK"/>
          <w:bCs/>
          <w:color w:val="000000" w:themeColor="text1"/>
          <w:szCs w:val="32"/>
          <w14:textFill>
            <w14:solidFill>
              <w14:schemeClr w14:val="tx1"/>
            </w14:solidFill>
          </w14:textFill>
        </w:rPr>
        <w:t>发布</w:t>
      </w:r>
      <w:r>
        <w:rPr>
          <w:rFonts w:eastAsia="方正仿宋_GBK"/>
          <w:color w:val="000000" w:themeColor="text1"/>
          <w:szCs w:val="21"/>
          <w14:textFill>
            <w14:solidFill>
              <w14:schemeClr w14:val="tx1"/>
            </w14:solidFill>
          </w14:textFill>
        </w:rPr>
        <w:t>《公园大渡口规划方案》，出台《关于公园大渡口建设的实施意见》，成功举办公园大渡口建设发展实践大会，实施</w:t>
      </w:r>
      <w:r>
        <w:rPr>
          <w:rFonts w:eastAsia="方正仿宋_GBK"/>
          <w:color w:val="000000" w:themeColor="text1"/>
          <w:szCs w:val="32"/>
          <w14:textFill>
            <w14:solidFill>
              <w14:schemeClr w14:val="tx1"/>
            </w14:solidFill>
          </w14:textFill>
        </w:rPr>
        <w:t>公园建设改造、街头绿地提质等重点项目18个，建成爱情公园、快乐羽李公园、新港小游园等口袋公园10个，建成公园总量达79个；建成18.3公里滨江多彩艺术绿道，全年新增绿地面积70万平方米，人均公园绿地面积达25平方米、全市领先。创新</w:t>
      </w:r>
      <w:r>
        <w:rPr>
          <w:rFonts w:hint="eastAsia" w:ascii="方正仿宋_GBK"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公园+</w:t>
      </w:r>
      <w:r>
        <w:rPr>
          <w:rFonts w:hint="eastAsia" w:ascii="方正仿宋_GBK"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运营管理模式，盘活公园资源17处、收益增长3倍。积极开展</w:t>
      </w:r>
      <w:r>
        <w:rPr>
          <w:rFonts w:hint="eastAsia" w:ascii="方正仿宋_GBK"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六进</w:t>
      </w:r>
      <w:r>
        <w:rPr>
          <w:rFonts w:hint="eastAsia" w:ascii="方正仿宋_GBK"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行动、</w:t>
      </w:r>
      <w:r>
        <w:rPr>
          <w:rFonts w:hint="eastAsia" w:ascii="方正仿宋_GBK"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十个最美</w:t>
      </w:r>
      <w:r>
        <w:rPr>
          <w:rFonts w:hint="eastAsia" w:ascii="方正仿宋_GBK"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评选，</w:t>
      </w:r>
      <w:r>
        <w:rPr>
          <w:rFonts w:eastAsia="方正仿宋_GBK"/>
          <w:color w:val="000000" w:themeColor="text1"/>
          <w:szCs w:val="21"/>
          <w14:textFill>
            <w14:solidFill>
              <w14:schemeClr w14:val="tx1"/>
            </w14:solidFill>
          </w14:textFill>
        </w:rPr>
        <w:t>大渡口公园被列入全市重点公园。</w:t>
      </w:r>
      <w:r>
        <w:rPr>
          <w:rFonts w:eastAsia="方正仿宋_GBK"/>
          <w:b/>
          <w:color w:val="000000" w:themeColor="text1"/>
          <w:szCs w:val="32"/>
          <w14:textFill>
            <w14:solidFill>
              <w14:schemeClr w14:val="tx1"/>
            </w14:solidFill>
          </w14:textFill>
        </w:rPr>
        <w:t>生态环境质量持续巩固。</w:t>
      </w:r>
      <w:r>
        <w:rPr>
          <w:rFonts w:eastAsia="方正仿宋_GBK"/>
          <w:color w:val="000000" w:themeColor="text1"/>
          <w:szCs w:val="32"/>
          <w14:textFill>
            <w14:solidFill>
              <w14:schemeClr w14:val="tx1"/>
            </w14:solidFill>
          </w14:textFill>
        </w:rPr>
        <w:t>完成国土空间分区规划编制和</w:t>
      </w:r>
      <w:r>
        <w:rPr>
          <w:rFonts w:hint="eastAsia" w:ascii="方正仿宋_GBK"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三区三线</w:t>
      </w:r>
      <w:r>
        <w:rPr>
          <w:rFonts w:hint="eastAsia" w:ascii="方正仿宋_GBK"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划定，压紧压实耕地保护责任，守住2000亩永久基本农田。全面推进林长制，完成</w:t>
      </w:r>
      <w:r>
        <w:rPr>
          <w:rFonts w:hint="eastAsia" w:ascii="方正仿宋_GBK"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两岸青山千里林带</w:t>
      </w:r>
      <w:r>
        <w:rPr>
          <w:rFonts w:hint="eastAsia" w:ascii="方正仿宋_GBK"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国土绿化森林抚育任务800亩，完成矿山修复6.82公顷，森林覆盖率达55%。深化落实河长制，长江丰收坝断面水质保持在Ⅱ类以上，饮用水水源地水质达标率保持100%。推进大气污染综合治理，完成居民楼公共烟道颗粒物集中治理示范项目一期工程、惠及家庭350余户，减少污染物排放2.86吨/年。完成污染土壤治理修复930亩，土壤污染防治建设联合监管机制全市试点，污染地块安全利用率达100%。做好声环境功能区划分及分类管理，累计创建安静居住小区23个。</w:t>
      </w:r>
      <w:r>
        <w:rPr>
          <w:rFonts w:eastAsia="方正仿宋_GBK"/>
          <w:b/>
          <w:color w:val="000000" w:themeColor="text1"/>
          <w:szCs w:val="32"/>
          <w14:textFill>
            <w14:solidFill>
              <w14:schemeClr w14:val="tx1"/>
            </w14:solidFill>
          </w14:textFill>
        </w:rPr>
        <w:t>绿色低碳发展有序推进。</w:t>
      </w:r>
      <w:r>
        <w:rPr>
          <w:rFonts w:eastAsia="方正仿宋_GBK"/>
          <w:color w:val="000000" w:themeColor="text1"/>
          <w:szCs w:val="32"/>
          <w14:textFill>
            <w14:solidFill>
              <w14:schemeClr w14:val="tx1"/>
            </w14:solidFill>
          </w14:textFill>
        </w:rPr>
        <w:t>认真实施大渡口区碳达峰实施方案及行动计划，持续完善工业、城乡建设等领域碳达峰政策体系，做好能源消耗总量和强度弹性管理。建设绿色低碳园区，严格落实产业禁投清单、工业项目环境准入规定，建桥园区获评国家级绿色工业园区、全市近零碳试点园区，长征重工入选市级绿色工厂。加大绿色企业信贷投放，</w:t>
      </w:r>
      <w:r>
        <w:rPr>
          <w:rFonts w:hint="eastAsia" w:eastAsia="方正仿宋_GBK"/>
          <w:color w:val="000000" w:themeColor="text1"/>
          <w:szCs w:val="32"/>
          <w14:textFill>
            <w14:solidFill>
              <w14:schemeClr w14:val="tx1"/>
            </w14:solidFill>
          </w14:textFill>
        </w:rPr>
        <w:t>截至</w:t>
      </w:r>
      <w:r>
        <w:rPr>
          <w:rFonts w:eastAsia="方正仿宋_GBK"/>
          <w:color w:val="000000" w:themeColor="text1"/>
          <w:szCs w:val="32"/>
          <w14:textFill>
            <w14:solidFill>
              <w14:schemeClr w14:val="tx1"/>
            </w14:solidFill>
          </w14:textFill>
        </w:rPr>
        <w:t>2023</w:t>
      </w:r>
      <w:r>
        <w:rPr>
          <w:rFonts w:hint="eastAsia" w:eastAsia="方正仿宋_GBK"/>
          <w:color w:val="000000" w:themeColor="text1"/>
          <w:szCs w:val="32"/>
          <w14:textFill>
            <w14:solidFill>
              <w14:schemeClr w14:val="tx1"/>
            </w14:solidFill>
          </w14:textFill>
        </w:rPr>
        <w:t>年底，</w:t>
      </w:r>
      <w:r>
        <w:rPr>
          <w:rFonts w:eastAsia="方正仿宋_GBK"/>
          <w:color w:val="000000" w:themeColor="text1"/>
          <w:szCs w:val="32"/>
          <w14:textFill>
            <w14:solidFill>
              <w14:schemeClr w14:val="tx1"/>
            </w14:solidFill>
          </w14:textFill>
        </w:rPr>
        <w:t>绿色信贷余额114.17亿元、增长36.33%。中梁山EOD项目争取国家政策性银行授信19亿元。全面实施绿色建筑标准，全年新建建筑执行绿色建筑标准比例达100%。构建绿色交通体系，水上运输实现船舶污染物零排放全接收，公交车全部使用CNG清洁能源。入选国家绿色消费发展典型城市案例，为全市唯一入选区县。</w:t>
      </w:r>
    </w:p>
    <w:p>
      <w:pPr>
        <w:widowControl w:val="0"/>
        <w:tabs>
          <w:tab w:val="left" w:pos="1760"/>
        </w:tabs>
        <w:spacing w:after="0" w:line="594" w:lineRule="exact"/>
        <w:ind w:firstLine="643" w:firstLineChars="200"/>
        <w:jc w:val="both"/>
        <w:rPr>
          <w:rFonts w:ascii="Times New Roman" w:hAnsi="Times New Roman" w:cs="Times New Roman"/>
          <w:color w:val="000000" w:themeColor="text1"/>
          <w14:textFill>
            <w14:solidFill>
              <w14:schemeClr w14:val="tx1"/>
            </w14:solidFill>
          </w14:textFill>
        </w:rPr>
      </w:pPr>
      <w:r>
        <w:rPr>
          <w:rFonts w:ascii="Times New Roman" w:hAnsi="Times New Roman" w:eastAsia="方正仿宋_GBK" w:cs="Times New Roman"/>
          <w:b/>
          <w:color w:val="000000" w:themeColor="text1"/>
          <w:sz w:val="32"/>
          <w:szCs w:val="32"/>
          <w14:textFill>
            <w14:solidFill>
              <w14:schemeClr w14:val="tx1"/>
            </w14:solidFill>
          </w14:textFill>
        </w:rPr>
        <w:t>5. 纵深推进改革开放创新，发展动能持续激活。川渝合作走深走实。</w:t>
      </w:r>
      <w:r>
        <w:rPr>
          <w:rFonts w:ascii="Times New Roman" w:hAnsi="Times New Roman" w:eastAsia="方正仿宋_GBK" w:cs="Times New Roman"/>
          <w:color w:val="000000" w:themeColor="text1"/>
          <w:sz w:val="32"/>
          <w:szCs w:val="32"/>
          <w14:textFill>
            <w14:solidFill>
              <w14:schemeClr w14:val="tx1"/>
            </w14:solidFill>
          </w14:textFill>
        </w:rPr>
        <w:t>与四川省遂宁市、成都市成华区等3个友好区（市）县建立区域合作关系，</w:t>
      </w:r>
      <w:r>
        <w:rPr>
          <w:rFonts w:hint="eastAsia" w:ascii="Times New Roman" w:hAnsi="Times New Roman" w:eastAsia="方正仿宋_GBK" w:cs="Times New Roman"/>
          <w:color w:val="000000" w:themeColor="text1"/>
          <w:sz w:val="32"/>
          <w:szCs w:val="32"/>
          <w14:textFill>
            <w14:solidFill>
              <w14:schemeClr w14:val="tx1"/>
            </w14:solidFill>
          </w14:textFill>
        </w:rPr>
        <w:t>全年</w:t>
      </w:r>
      <w:r>
        <w:rPr>
          <w:rFonts w:ascii="Times New Roman" w:hAnsi="Times New Roman" w:eastAsia="方正仿宋_GBK" w:cs="Times New Roman"/>
          <w:color w:val="000000" w:themeColor="text1"/>
          <w:sz w:val="32"/>
          <w:szCs w:val="32"/>
          <w14:textFill>
            <w14:solidFill>
              <w14:schemeClr w14:val="tx1"/>
            </w14:solidFill>
          </w14:textFill>
        </w:rPr>
        <w:t>签订各类合作协议39项，开展招商引资推介、商贸文化交流等活动50余次。推动川渝产业协作，引入落地四川哈瑞、熊炎团队生物医药等项目6个、计划投资16.25亿元，建桥园区与绵阳安州工业园区、</w:t>
      </w:r>
      <w:r>
        <w:rPr>
          <w:rFonts w:ascii="Times New Roman" w:hAnsi="Times New Roman" w:eastAsia="方正仿宋_GBK" w:cs="Times New Roman"/>
          <w:color w:val="000000" w:themeColor="text1"/>
          <w:sz w:val="32"/>
          <w:szCs w:val="32"/>
          <w:shd w:val="clear" w:color="auto" w:fill="FFFFFF"/>
          <w:lang w:bidi="ar"/>
          <w14:textFill>
            <w14:solidFill>
              <w14:schemeClr w14:val="tx1"/>
            </w14:solidFill>
          </w14:textFill>
        </w:rPr>
        <w:t>渠县工业园区</w:t>
      </w:r>
      <w:r>
        <w:rPr>
          <w:rFonts w:ascii="Times New Roman" w:hAnsi="Times New Roman" w:eastAsia="方正仿宋_GBK" w:cs="Times New Roman"/>
          <w:color w:val="000000" w:themeColor="text1"/>
          <w:sz w:val="32"/>
          <w:szCs w:val="32"/>
          <w14:textFill>
            <w14:solidFill>
              <w14:schemeClr w14:val="tx1"/>
            </w14:solidFill>
          </w14:textFill>
        </w:rPr>
        <w:t>共建双城产业合作示范园区。扎实推进</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一区两群</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对口忠县协同发展，联动建设</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重庆小面产业园</w:t>
      </w:r>
      <w:r>
        <w:rPr>
          <w:rFonts w:hint="eastAsia" w:ascii="方正小标宋_GBK" w:hAnsi="方正小标宋_GBK" w:eastAsia="方正小标宋_GBK" w:cs="方正小标宋_GBK"/>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忠县园区</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，协作到位资金1.8亿元，帮助忠县天地药业融资1.76亿元。</w:t>
      </w:r>
      <w:r>
        <w:rPr>
          <w:rFonts w:ascii="Times New Roman" w:hAnsi="Times New Roman" w:eastAsia="方正仿宋_GBK" w:cs="Times New Roman"/>
          <w:b/>
          <w:color w:val="000000" w:themeColor="text1"/>
          <w:sz w:val="32"/>
          <w:szCs w:val="32"/>
          <w14:textFill>
            <w14:solidFill>
              <w14:schemeClr w14:val="tx1"/>
            </w14:solidFill>
          </w14:textFill>
        </w:rPr>
        <w:t>创新活力不断迸发。</w:t>
      </w:r>
      <w:r>
        <w:rPr>
          <w:rFonts w:ascii="Times New Roman" w:hAnsi="Times New Roman" w:eastAsia="方正仿宋_GBK" w:cs="Times New Roman"/>
          <w:color w:val="000000" w:themeColor="text1"/>
          <w:sz w:val="32"/>
          <w:szCs w:val="32"/>
          <w14:textFill>
            <w14:solidFill>
              <w14:schemeClr w14:val="tx1"/>
            </w14:solidFill>
          </w14:textFill>
        </w:rPr>
        <w:t>创新主体加快成长，实施</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双倍增</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行动计划，</w:t>
      </w:r>
      <w:r>
        <w:rPr>
          <w:rFonts w:hint="eastAsia" w:ascii="Times New Roman" w:hAnsi="Times New Roman" w:eastAsia="方正仿宋_GBK" w:cs="Times New Roman"/>
          <w:color w:val="000000" w:themeColor="text1"/>
          <w:sz w:val="32"/>
          <w:szCs w:val="32"/>
          <w14:textFill>
            <w14:solidFill>
              <w14:schemeClr w14:val="tx1"/>
            </w14:solidFill>
          </w14:textFill>
        </w:rPr>
        <w:t>全</w:t>
      </w:r>
      <w:r>
        <w:rPr>
          <w:rFonts w:ascii="Times New Roman" w:hAnsi="Times New Roman" w:eastAsia="方正仿宋_GBK" w:cs="Times New Roman"/>
          <w:color w:val="000000" w:themeColor="text1"/>
          <w:sz w:val="32"/>
          <w:szCs w:val="32"/>
          <w14:textFill>
            <w14:solidFill>
              <w14:schemeClr w14:val="tx1"/>
            </w14:solidFill>
          </w14:textFill>
        </w:rPr>
        <w:t>年新增科技型企业91家、总量达536家，认定国家高新技术企业50家</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有效期高企达150家。创新平台加速集聚</w:t>
      </w:r>
      <w:r>
        <w:rPr>
          <w:rFonts w:ascii="Times New Roman"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建立全国首个火锅油碟联合实验室，</w:t>
      </w:r>
      <w:r>
        <w:rPr>
          <w:rFonts w:ascii="Times New Roman" w:hAnsi="Times New Roman" w:eastAsia="方正仿宋_GBK" w:cs="Times New Roman"/>
          <w:color w:val="000000" w:themeColor="text1"/>
          <w:kern w:val="2"/>
          <w:sz w:val="32"/>
          <w:szCs w:val="32"/>
          <w14:textFill>
            <w14:solidFill>
              <w14:schemeClr w14:val="tx1"/>
            </w14:solidFill>
          </w14:textFill>
        </w:rPr>
        <w:t>创建国家级企业技术中心1个、市级2个，</w:t>
      </w:r>
      <w:r>
        <w:rPr>
          <w:rFonts w:ascii="Times New Roman" w:hAnsi="Times New Roman" w:eastAsia="方正仿宋_GBK" w:cs="Times New Roman"/>
          <w:color w:val="000000" w:themeColor="text1"/>
          <w:sz w:val="32"/>
          <w:szCs w:val="32"/>
          <w14:textFill>
            <w14:solidFill>
              <w14:schemeClr w14:val="tx1"/>
            </w14:solidFill>
          </w14:textFill>
        </w:rPr>
        <w:t>市级创新平台累计达107个。科技成果加快转化，</w:t>
      </w:r>
      <w:r>
        <w:rPr>
          <w:rFonts w:ascii="Times New Roman" w:hAnsi="Times New Roman" w:eastAsia="方正仿宋_GBK" w:cs="Times New Roman"/>
          <w:color w:val="000000" w:themeColor="text1"/>
          <w:kern w:val="2"/>
          <w:sz w:val="32"/>
          <w:szCs w:val="32"/>
          <w14:textFill>
            <w14:solidFill>
              <w14:schemeClr w14:val="tx1"/>
            </w14:solidFill>
          </w14:textFill>
        </w:rPr>
        <w:t>技术合同交易登记</w:t>
      </w:r>
      <w:r>
        <w:rPr>
          <w:rFonts w:hint="eastAsia" w:ascii="Times New Roman" w:hAnsi="Times New Roman" w:eastAsia="方正仿宋_GBK" w:cs="Times New Roman"/>
          <w:color w:val="000000" w:themeColor="text1"/>
          <w:kern w:val="2"/>
          <w:sz w:val="32"/>
          <w:szCs w:val="32"/>
          <w14:textFill>
            <w14:solidFill>
              <w14:schemeClr w14:val="tx1"/>
            </w14:solidFill>
          </w14:textFill>
        </w:rPr>
        <w:t>突破</w:t>
      </w:r>
      <w:r>
        <w:rPr>
          <w:rFonts w:ascii="Times New Roman" w:hAnsi="Times New Roman" w:eastAsia="方正仿宋_GBK" w:cs="Times New Roman"/>
          <w:color w:val="000000" w:themeColor="text1"/>
          <w:kern w:val="2"/>
          <w:sz w:val="32"/>
          <w:szCs w:val="32"/>
          <w14:textFill>
            <w14:solidFill>
              <w14:schemeClr w14:val="tx1"/>
            </w14:solidFill>
          </w14:textFill>
        </w:rPr>
        <w:t>27亿元</w:t>
      </w:r>
      <w:r>
        <w:rPr>
          <w:rFonts w:hint="eastAsia" w:ascii="Times New Roman" w:hAnsi="Times New Roman" w:eastAsia="方正仿宋_GBK" w:cs="Times New Roman"/>
          <w:color w:val="000000" w:themeColor="text1"/>
          <w:kern w:val="2"/>
          <w:sz w:val="32"/>
          <w:szCs w:val="32"/>
          <w14:textFill>
            <w14:solidFill>
              <w14:schemeClr w14:val="tx1"/>
            </w14:solidFill>
          </w14:textFill>
        </w:rPr>
        <w:t>、增长</w:t>
      </w:r>
      <w:r>
        <w:rPr>
          <w:rFonts w:ascii="Times New Roman" w:hAnsi="Times New Roman" w:eastAsia="方正仿宋_GBK" w:cs="Times New Roman"/>
          <w:color w:val="000000" w:themeColor="text1"/>
          <w:kern w:val="2"/>
          <w:sz w:val="32"/>
          <w:szCs w:val="32"/>
          <w14:textFill>
            <w14:solidFill>
              <w14:schemeClr w14:val="tx1"/>
            </w14:solidFill>
          </w14:textFill>
        </w:rPr>
        <w:t>48</w:t>
      </w:r>
      <w:r>
        <w:rPr>
          <w:rFonts w:hint="eastAsia" w:ascii="Times New Roman"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，每万人发明专利拥有量达26</w:t>
      </w:r>
      <w:r>
        <w:rPr>
          <w:rFonts w:hint="eastAsia" w:ascii="Times New Roman"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01件。</w:t>
      </w:r>
      <w:r>
        <w:rPr>
          <w:rFonts w:ascii="Times New Roman" w:hAnsi="Times New Roman" w:eastAsia="方正仿宋_GBK" w:cs="Times New Roman"/>
          <w:color w:val="000000" w:themeColor="text1"/>
          <w:sz w:val="32"/>
          <w:szCs w:val="32"/>
          <w14:textFill>
            <w14:solidFill>
              <w14:schemeClr w14:val="tx1"/>
            </w14:solidFill>
          </w14:textFill>
        </w:rPr>
        <w:t>创新生态不断优化，积极推进国家双创示范基地建设，举</w:t>
      </w:r>
      <w:r>
        <w:rPr>
          <w:rFonts w:ascii="Times New Roman" w:hAnsi="Times New Roman" w:eastAsia="方正仿宋_GBK" w:cs="Times New Roman"/>
          <w:color w:val="000000" w:themeColor="text1"/>
          <w:kern w:val="2"/>
          <w:sz w:val="32"/>
          <w:szCs w:val="32"/>
          <w14:textFill>
            <w14:solidFill>
              <w14:schemeClr w14:val="tx1"/>
            </w14:solidFill>
          </w14:textFill>
        </w:rPr>
        <w:t>办</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渝创渝新</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义渡赛创会</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等创新</w:t>
      </w:r>
      <w:r>
        <w:rPr>
          <w:rFonts w:ascii="Times New Roman" w:hAnsi="Times New Roman" w:eastAsia="方正仿宋_GBK" w:cs="Times New Roman"/>
          <w:color w:val="000000" w:themeColor="text1"/>
          <w:sz w:val="32"/>
          <w:szCs w:val="32"/>
          <w14:textFill>
            <w14:solidFill>
              <w14:schemeClr w14:val="tx1"/>
            </w14:solidFill>
          </w14:textFill>
        </w:rPr>
        <w:t>创业活动87场，出台支持科技创新</w:t>
      </w:r>
      <w:r>
        <w:rPr>
          <w:rFonts w:hint="eastAsia" w:ascii="Times New Roman" w:hAnsi="Times New Roman" w:eastAsia="方正仿宋_GBK" w:cs="Times New Roman"/>
          <w:color w:val="000000" w:themeColor="text1"/>
          <w:sz w:val="32"/>
          <w:szCs w:val="32"/>
          <w14:textFill>
            <w14:solidFill>
              <w14:schemeClr w14:val="tx1"/>
            </w14:solidFill>
          </w14:textFill>
        </w:rPr>
        <w:t>十五</w:t>
      </w:r>
      <w:r>
        <w:rPr>
          <w:rFonts w:ascii="Times New Roman" w:hAnsi="Times New Roman" w:eastAsia="方正仿宋_GBK" w:cs="Times New Roman"/>
          <w:color w:val="000000" w:themeColor="text1"/>
          <w:sz w:val="32"/>
          <w:szCs w:val="32"/>
          <w14:textFill>
            <w14:solidFill>
              <w14:schemeClr w14:val="tx1"/>
            </w14:solidFill>
          </w14:textFill>
        </w:rPr>
        <w:t>条政策，兑现区级科技奖励资金1800余万元。健全</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1+5+N</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人才政策体系，兑现人才奖补资金560万元。开展</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公园大渡口等您来</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系列引才活动，新增国家级、市级博士后科研工作站各1个，新入选</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鸿雁计划</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人才23人。</w:t>
      </w:r>
      <w:r>
        <w:rPr>
          <w:rFonts w:ascii="Times New Roman" w:hAnsi="Times New Roman" w:eastAsia="方正仿宋_GBK" w:cs="Times New Roman"/>
          <w:b/>
          <w:color w:val="000000" w:themeColor="text1"/>
          <w:sz w:val="32"/>
          <w:szCs w:val="32"/>
          <w14:textFill>
            <w14:solidFill>
              <w14:schemeClr w14:val="tx1"/>
            </w14:solidFill>
          </w14:textFill>
        </w:rPr>
        <w:t>改革动能有效激发。</w:t>
      </w:r>
      <w:r>
        <w:rPr>
          <w:rFonts w:ascii="Times New Roman" w:hAnsi="Times New Roman" w:eastAsia="方正仿宋_GBK" w:cs="Times New Roman"/>
          <w:color w:val="000000" w:themeColor="text1"/>
          <w:sz w:val="32"/>
          <w:szCs w:val="32"/>
          <w14:textFill>
            <w14:solidFill>
              <w14:schemeClr w14:val="tx1"/>
            </w14:solidFill>
          </w14:textFill>
        </w:rPr>
        <w:t>落实数字重庆</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1361</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整体架构和市级统一部署，抓好核心业务梳理、数据归集共享、</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一件事</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谋划等工作，全区核心及重要数据目录管理实现全覆盖，7</w:t>
      </w:r>
      <w:r>
        <w:rPr>
          <w:rFonts w:hint="eastAsia" w:ascii="Times New Roman" w:hAnsi="Times New Roman" w:eastAsia="方正仿宋_GBK" w:cs="Times New Roman"/>
          <w:color w:val="000000" w:themeColor="text1"/>
          <w:sz w:val="32"/>
          <w:szCs w:val="32"/>
          <w14:textFill>
            <w14:solidFill>
              <w14:schemeClr w14:val="tx1"/>
            </w14:solidFill>
          </w14:textFill>
        </w:rPr>
        <w:t>个</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一件事</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进入市级论证审查，</w:t>
      </w:r>
      <w:r>
        <w:rPr>
          <w:rFonts w:ascii="Times New Roman" w:hAnsi="Times New Roman" w:eastAsia="方正仿宋_GBK" w:cs="Times New Roman"/>
          <w:color w:val="000000" w:themeColor="text1"/>
          <w:sz w:val="32"/>
          <w:szCs w:val="32"/>
          <w14:textFill>
            <w14:solidFill>
              <w14:schemeClr w14:val="tx1"/>
            </w14:solidFill>
          </w14:textFill>
        </w:rPr>
        <w:t>红隼系统在全市数字重庆建设推进会上晾晒。深化国资国企改革，出台区国资委直管一级企业</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合规体系建设强化年</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专项行动方案，重组设立新晟发公司、城乡建设、城市运营</w:t>
      </w:r>
      <w:r>
        <w:rPr>
          <w:rFonts w:hint="eastAsia" w:ascii="Times New Roman" w:hAnsi="Times New Roman" w:eastAsia="方正仿宋_GBK" w:cs="Times New Roman"/>
          <w:color w:val="000000" w:themeColor="text1"/>
          <w:sz w:val="32"/>
          <w:szCs w:val="32"/>
          <w14:textFill>
            <w14:solidFill>
              <w14:schemeClr w14:val="tx1"/>
            </w14:solidFill>
          </w14:textFill>
        </w:rPr>
        <w:t>等</w:t>
      </w:r>
      <w:r>
        <w:rPr>
          <w:rFonts w:ascii="Times New Roman" w:hAnsi="Times New Roman" w:eastAsia="方正仿宋_GBK" w:cs="Times New Roman"/>
          <w:color w:val="000000" w:themeColor="text1"/>
          <w:sz w:val="32"/>
          <w:szCs w:val="32"/>
          <w14:textFill>
            <w14:solidFill>
              <w14:schemeClr w14:val="tx1"/>
            </w14:solidFill>
          </w14:textFill>
        </w:rPr>
        <w:t>3家专业化企业，一级企业从7家压减至3家。着力盘活国有资产，深入开展</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三资</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清理，清理编制特许经营权事项34项，探索统筹盘活路径，实现收益超7亿元。推进开发区管理制度改革，推进园区管理体制</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去行政化</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，组建权责清晰、运行高效的市场化专业化运营机构，我区入选全市开发区改革典型案例。推进制造业亩均论英雄改革，规上制造业亩均税收36</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8万元、亩均增加值268万元。出台打造一流营商环境十五项行动，完善事前、事中、事后信用监管，在服务、阅读、审批等领域开展信用应用场景，推广</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信易贷</w:t>
      </w:r>
      <w:r>
        <w:rPr>
          <w:rFonts w:hint="eastAsia" w:ascii="方正小标宋_GBK" w:hAnsi="方正小标宋_GBK" w:eastAsia="方正小标宋_GBK" w:cs="方正小标宋_GBK"/>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渝惠融</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平台，为中小企业纯信用融资3988万元。深化</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放管服</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改革，实现60项</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一件事一次办</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集成服务、4项在我区试点，建成全市首个医疗器械</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放管服</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审评查验服务站。</w:t>
      </w:r>
      <w:r>
        <w:rPr>
          <w:rFonts w:ascii="Times New Roman" w:hAnsi="Times New Roman" w:eastAsia="方正仿宋_GBK" w:cs="Times New Roman"/>
          <w:b/>
          <w:color w:val="000000" w:themeColor="text1"/>
          <w:sz w:val="32"/>
          <w:szCs w:val="32"/>
          <w14:textFill>
            <w14:solidFill>
              <w14:schemeClr w14:val="tx1"/>
            </w14:solidFill>
          </w14:textFill>
        </w:rPr>
        <w:t>对外开放步伐加快。</w:t>
      </w:r>
      <w:r>
        <w:rPr>
          <w:rFonts w:ascii="Times New Roman" w:hAnsi="Times New Roman" w:eastAsia="方正仿宋_GBK" w:cs="Times New Roman"/>
          <w:color w:val="000000" w:themeColor="text1"/>
          <w:sz w:val="32"/>
          <w:szCs w:val="32"/>
          <w14:textFill>
            <w14:solidFill>
              <w14:schemeClr w14:val="tx1"/>
            </w14:solidFill>
          </w14:textFill>
        </w:rPr>
        <w:t>台湾中小企业产业园被国台办正式授牌为</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海峡两岸青年就业创业基地</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。全力稳住外经贸市场主体，及时兑现跨周期调节奖励资金，组织30余家外经贸企业申报出口信保、对外投资、国际服务贸易等专项资金500余万元。</w:t>
      </w:r>
      <w:r>
        <w:rPr>
          <w:rFonts w:ascii="Times New Roman" w:hAnsi="Times New Roman" w:eastAsia="方正仿宋_GBK" w:cs="Times New Roman"/>
          <w:bCs/>
          <w:color w:val="000000" w:themeColor="text1"/>
          <w:sz w:val="32"/>
          <w:szCs w:val="32"/>
          <w14:textFill>
            <w14:solidFill>
              <w14:schemeClr w14:val="tx1"/>
            </w14:solidFill>
          </w14:textFill>
        </w:rPr>
        <w:t>国际复材获得AEO高级认证，</w:t>
      </w:r>
      <w:r>
        <w:rPr>
          <w:rFonts w:ascii="Times New Roman" w:hAnsi="Times New Roman" w:eastAsia="方正仿宋_GBK" w:cs="Times New Roman"/>
          <w:color w:val="000000" w:themeColor="text1"/>
          <w:sz w:val="32"/>
          <w:szCs w:val="32"/>
          <w14:textFill>
            <w14:solidFill>
              <w14:schemeClr w14:val="tx1"/>
            </w14:solidFill>
          </w14:textFill>
        </w:rPr>
        <w:t>井谷元与泰国清迈商会</w:t>
      </w:r>
      <w:r>
        <w:rPr>
          <w:rFonts w:hint="eastAsia" w:ascii="Times New Roman" w:hAnsi="Times New Roman" w:eastAsia="方正仿宋_GBK" w:cs="Times New Roman"/>
          <w:color w:val="000000" w:themeColor="text1"/>
          <w:sz w:val="32"/>
          <w:szCs w:val="32"/>
          <w14:textFill>
            <w14:solidFill>
              <w14:schemeClr w14:val="tx1"/>
            </w14:solidFill>
          </w14:textFill>
        </w:rPr>
        <w:t>达成</w:t>
      </w:r>
      <w:r>
        <w:rPr>
          <w:rFonts w:ascii="Times New Roman" w:hAnsi="Times New Roman" w:eastAsia="方正仿宋_GBK" w:cs="Times New Roman"/>
          <w:color w:val="000000" w:themeColor="text1"/>
          <w:sz w:val="32"/>
          <w:szCs w:val="32"/>
          <w14:textFill>
            <w14:solidFill>
              <w14:schemeClr w14:val="tx1"/>
            </w14:solidFill>
          </w14:textFill>
        </w:rPr>
        <w:t>合作，华生园食品进入美国市场。促成新加坡能源集团项目签约，助推汉联汽车二手车出口额超7000万元，</w:t>
      </w:r>
      <w:r>
        <w:rPr>
          <w:rFonts w:hint="eastAsia" w:ascii="Times New Roman" w:hAnsi="Times New Roman" w:eastAsia="方正仿宋_GBK" w:cs="Times New Roman"/>
          <w:color w:val="000000" w:themeColor="text1"/>
          <w:sz w:val="32"/>
          <w:szCs w:val="32"/>
          <w14:textFill>
            <w14:solidFill>
              <w14:schemeClr w14:val="tx1"/>
            </w14:solidFill>
          </w14:textFill>
        </w:rPr>
        <w:t>全年</w:t>
      </w:r>
      <w:r>
        <w:rPr>
          <w:rFonts w:ascii="Times New Roman" w:hAnsi="Times New Roman" w:eastAsia="方正仿宋_GBK" w:cs="Times New Roman"/>
          <w:color w:val="000000" w:themeColor="text1"/>
          <w:sz w:val="32"/>
          <w:szCs w:val="32"/>
          <w14:textFill>
            <w14:solidFill>
              <w14:schemeClr w14:val="tx1"/>
            </w14:solidFill>
          </w14:textFill>
        </w:rPr>
        <w:t>完成外贸进出口总额31</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8亿元。</w:t>
      </w:r>
    </w:p>
    <w:p>
      <w:pPr>
        <w:widowControl w:val="0"/>
        <w:spacing w:after="0" w:line="594" w:lineRule="exact"/>
        <w:ind w:firstLine="643" w:firstLineChars="200"/>
        <w:jc w:val="both"/>
        <w:rPr>
          <w:rFonts w:ascii="Times New Roman" w:hAnsi="Times New Roman" w:eastAsia="方正楷体_GBK" w:cs="Times New Roman"/>
          <w:color w:val="000000" w:themeColor="text1"/>
          <w:kern w:val="2"/>
          <w:sz w:val="32"/>
          <w:szCs w:val="32"/>
          <w:shd w:val="clear" w:color="auto" w:fill="FFFFFF"/>
          <w14:textFill>
            <w14:solidFill>
              <w14:schemeClr w14:val="tx1"/>
            </w14:solidFill>
          </w14:textFill>
        </w:rPr>
      </w:pPr>
      <w:r>
        <w:rPr>
          <w:rFonts w:ascii="Times New Roman" w:hAnsi="Times New Roman" w:eastAsia="方正仿宋_GBK" w:cs="Times New Roman"/>
          <w:b/>
          <w:color w:val="000000" w:themeColor="text1"/>
          <w:sz w:val="32"/>
          <w:szCs w:val="32"/>
          <w14:textFill>
            <w14:solidFill>
              <w14:schemeClr w14:val="tx1"/>
            </w14:solidFill>
          </w14:textFill>
        </w:rPr>
        <w:t xml:space="preserve">6. </w:t>
      </w:r>
      <w:r>
        <w:rPr>
          <w:rFonts w:hint="eastAsia" w:ascii="方正仿宋_GBK" w:hAnsi="方正仿宋_GBK" w:eastAsia="方正仿宋_GBK" w:cs="方正仿宋_GBK"/>
          <w:b/>
          <w:bCs/>
          <w:color w:val="000000" w:themeColor="text1"/>
          <w:kern w:val="2"/>
          <w:sz w:val="32"/>
          <w:szCs w:val="32"/>
          <w14:textFill>
            <w14:solidFill>
              <w14:schemeClr w14:val="tx1"/>
            </w14:solidFill>
          </w14:textFill>
        </w:rPr>
        <w:t>切实满足美好生活需要，民生福祉持续增进。社会保障更加完善。</w:t>
      </w:r>
      <w:r>
        <w:rPr>
          <w:rFonts w:ascii="Times New Roman" w:hAnsi="Times New Roman" w:eastAsia="方正仿宋_GBK" w:cs="Times New Roman"/>
          <w:color w:val="000000" w:themeColor="text1"/>
          <w:kern w:val="2"/>
          <w:sz w:val="32"/>
          <w:szCs w:val="32"/>
          <w14:textFill>
            <w14:solidFill>
              <w14:schemeClr w14:val="tx1"/>
            </w14:solidFill>
          </w14:textFill>
        </w:rPr>
        <w:t>深化打造</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义渡就业列车</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服务品牌，开展招聘会26场，提供岗位约2.8万个；发放创业担保贷款1495万元，发放职业培训、就业见习补贴等惠企惠民资金1.04亿元，台湾中小企业产业园认定为</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渝创渝新</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市级创业孵化基地。稳步推进社保扩面，</w:t>
      </w:r>
      <w:r>
        <w:rPr>
          <w:rFonts w:ascii="Times New Roman" w:hAnsi="Times New Roman" w:eastAsia="方正仿宋_GBK" w:cs="Times New Roman"/>
          <w:color w:val="000000" w:themeColor="text1"/>
          <w:sz w:val="32"/>
          <w:szCs w:val="32"/>
          <w14:textFill>
            <w14:solidFill>
              <w14:schemeClr w14:val="tx1"/>
            </w14:solidFill>
          </w14:textFill>
        </w:rPr>
        <w:t>城乡居民基本养老保险、基本医疗保险参保率分别</w:t>
      </w:r>
      <w:r>
        <w:rPr>
          <w:rFonts w:ascii="Times New Roman" w:hAnsi="Times New Roman" w:eastAsia="方正仿宋_GBK" w:cs="Times New Roman"/>
          <w:color w:val="000000" w:themeColor="text1"/>
          <w:spacing w:val="-2"/>
          <w:sz w:val="32"/>
          <w:szCs w:val="32"/>
          <w14:textFill>
            <w14:solidFill>
              <w14:schemeClr w14:val="tx1"/>
            </w14:solidFill>
          </w14:textFill>
        </w:rPr>
        <w:t>保持97%、95%以上</w:t>
      </w:r>
      <w:r>
        <w:rPr>
          <w:rFonts w:ascii="Times New Roman" w:hAnsi="Times New Roman" w:eastAsia="方正仿宋_GBK" w:cs="Times New Roman"/>
          <w:color w:val="000000" w:themeColor="text1"/>
          <w:kern w:val="2"/>
          <w:sz w:val="32"/>
          <w:szCs w:val="32"/>
          <w14:textFill>
            <w14:solidFill>
              <w14:schemeClr w14:val="tx1"/>
            </w14:solidFill>
          </w14:textFill>
        </w:rPr>
        <w:t>。提升养老服务质效，建成</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医养结合</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示范点8个，完成老年人家庭养老床位建设、适老化改造100户，升级护理型养老床位1500余张，投建</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社区老年食堂</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9个。加大妇女儿童、青少年、残疾人等重点群体保障服务力度，</w:t>
      </w:r>
      <w:r>
        <w:rPr>
          <w:rFonts w:ascii="Times New Roman" w:hAnsi="Times New Roman" w:eastAsia="方正仿宋_GBK" w:cs="Times New Roman"/>
          <w:color w:val="000000" w:themeColor="text1"/>
          <w:sz w:val="32"/>
          <w:szCs w:val="32"/>
          <w14:textFill>
            <w14:solidFill>
              <w14:schemeClr w14:val="tx1"/>
            </w14:solidFill>
          </w14:textFill>
        </w:rPr>
        <w:t>加强低保边缘人群、刚性支出困难群众救助，支出各类救助金</w:t>
      </w:r>
      <w:r>
        <w:rPr>
          <w:rFonts w:ascii="Times New Roman" w:hAnsi="Times New Roman" w:eastAsia="微软雅黑" w:cs="Times New Roman"/>
          <w:color w:val="000000" w:themeColor="text1"/>
          <w:sz w:val="32"/>
          <w:szCs w:val="32"/>
          <w:shd w:val="clear" w:color="auto" w:fill="FFFFFF"/>
          <w14:textFill>
            <w14:solidFill>
              <w14:schemeClr w14:val="tx1"/>
            </w14:solidFill>
          </w14:textFill>
        </w:rPr>
        <w:t>2100</w:t>
      </w:r>
      <w:r>
        <w:rPr>
          <w:rFonts w:ascii="Times New Roman" w:hAnsi="Times New Roman" w:eastAsia="方正仿宋_GBK" w:cs="Times New Roman"/>
          <w:color w:val="000000" w:themeColor="text1"/>
          <w:sz w:val="32"/>
          <w:szCs w:val="32"/>
          <w14:textFill>
            <w14:solidFill>
              <w14:schemeClr w14:val="tx1"/>
            </w14:solidFill>
          </w14:textFill>
        </w:rPr>
        <w:t>万元</w:t>
      </w:r>
      <w:r>
        <w:rPr>
          <w:rFonts w:ascii="Times New Roman" w:hAnsi="Times New Roman" w:eastAsia="方正仿宋_GBK" w:cs="Times New Roman"/>
          <w:color w:val="000000" w:themeColor="text1"/>
          <w:kern w:val="2"/>
          <w:sz w:val="32"/>
          <w:szCs w:val="32"/>
          <w14:textFill>
            <w14:solidFill>
              <w14:schemeClr w14:val="tx1"/>
            </w14:solidFill>
          </w14:textFill>
        </w:rPr>
        <w:t>。筹集保障性租赁住房3010套。成功创建重庆市第八届双拥模范城。</w:t>
      </w:r>
      <w:r>
        <w:rPr>
          <w:rFonts w:ascii="Times New Roman" w:hAnsi="Times New Roman" w:eastAsia="方正仿宋_GBK" w:cs="Times New Roman"/>
          <w:b/>
          <w:bCs/>
          <w:color w:val="000000" w:themeColor="text1"/>
          <w:kern w:val="2"/>
          <w:sz w:val="32"/>
          <w:szCs w:val="32"/>
          <w14:textFill>
            <w14:solidFill>
              <w14:schemeClr w14:val="tx1"/>
            </w14:solidFill>
          </w14:textFill>
        </w:rPr>
        <w:t>公共服务持续加强。</w:t>
      </w:r>
      <w:r>
        <w:rPr>
          <w:rFonts w:ascii="Times New Roman" w:hAnsi="Times New Roman" w:eastAsia="方正仿宋_GBK" w:cs="Times New Roman"/>
          <w:color w:val="000000" w:themeColor="text1"/>
          <w:kern w:val="2"/>
          <w:sz w:val="32"/>
          <w:szCs w:val="32"/>
          <w14:textFill>
            <w14:solidFill>
              <w14:schemeClr w14:val="tx1"/>
            </w14:solidFill>
          </w14:textFill>
        </w:rPr>
        <w:t>促进教育均衡发展，</w:t>
      </w:r>
      <w:r>
        <w:rPr>
          <w:rFonts w:ascii="Times New Roman" w:hAnsi="Times New Roman" w:eastAsia="方正仿宋_GBK" w:cs="Times New Roman"/>
          <w:color w:val="000000" w:themeColor="text1"/>
          <w:sz w:val="32"/>
          <w:szCs w:val="32"/>
          <w14:textFill>
            <w14:solidFill>
              <w14:schemeClr w14:val="tx1"/>
            </w14:solidFill>
          </w14:textFill>
        </w:rPr>
        <w:t>公办园在园幼儿人数占比</w:t>
      </w:r>
      <w:r>
        <w:rPr>
          <w:rFonts w:hint="eastAsia" w:ascii="Times New Roman" w:hAnsi="Times New Roman" w:eastAsia="方正仿宋_GBK" w:cs="Times New Roman"/>
          <w:color w:val="000000" w:themeColor="text1"/>
          <w:sz w:val="32"/>
          <w:szCs w:val="32"/>
          <w14:textFill>
            <w14:solidFill>
              <w14:schemeClr w14:val="tx1"/>
            </w14:solidFill>
          </w14:textFill>
        </w:rPr>
        <w:t>达</w:t>
      </w:r>
      <w:r>
        <w:rPr>
          <w:rFonts w:ascii="Times New Roman" w:hAnsi="Times New Roman" w:eastAsia="方正仿宋_GBK" w:cs="Times New Roman"/>
          <w:color w:val="000000" w:themeColor="text1"/>
          <w:sz w:val="32"/>
          <w:szCs w:val="32"/>
          <w14:textFill>
            <w14:solidFill>
              <w14:schemeClr w14:val="tx1"/>
            </w14:solidFill>
          </w14:textFill>
        </w:rPr>
        <w:t>56</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6%、</w:t>
      </w:r>
      <w:r>
        <w:rPr>
          <w:rFonts w:ascii="Times New Roman" w:hAnsi="Times New Roman" w:eastAsia="方正仿宋_GBK" w:cs="Times New Roman"/>
          <w:color w:val="000000" w:themeColor="text1"/>
          <w:spacing w:val="-2"/>
          <w:sz w:val="32"/>
          <w:szCs w:val="32"/>
          <w14:textFill>
            <w14:solidFill>
              <w14:schemeClr w14:val="tx1"/>
            </w14:solidFill>
          </w14:textFill>
        </w:rPr>
        <w:t>学前教育普惠率达</w:t>
      </w:r>
      <w:r>
        <w:rPr>
          <w:rFonts w:ascii="Times New Roman" w:hAnsi="Times New Roman" w:eastAsia="方正仿宋_GBK" w:cs="Times New Roman"/>
          <w:color w:val="000000" w:themeColor="text1"/>
          <w:sz w:val="32"/>
          <w:szCs w:val="32"/>
          <w14:textFill>
            <w14:solidFill>
              <w14:schemeClr w14:val="tx1"/>
            </w14:solidFill>
          </w14:textFill>
        </w:rPr>
        <w:t>93.7%，</w:t>
      </w:r>
      <w:r>
        <w:rPr>
          <w:rFonts w:ascii="Times New Roman" w:hAnsi="Times New Roman" w:eastAsia="方正仿宋_GBK" w:cs="Times New Roman"/>
          <w:color w:val="000000" w:themeColor="text1"/>
          <w:kern w:val="2"/>
          <w:sz w:val="32"/>
          <w:szCs w:val="32"/>
          <w14:textFill>
            <w14:solidFill>
              <w14:schemeClr w14:val="tx1"/>
            </w14:solidFill>
          </w14:textFill>
        </w:rPr>
        <w:t>建成投用西辰小学、义渡小学、37中自成校区，李雪芮运动学校、D9地块新建学校等项目提速推进，茄子溪中学晋升为市联招学校</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14:textFill>
            <w14:solidFill>
              <w14:schemeClr w14:val="tx1"/>
            </w14:solidFill>
          </w14:textFill>
        </w:rPr>
        <w:t>我区</w:t>
      </w:r>
      <w:r>
        <w:rPr>
          <w:rFonts w:hint="eastAsia" w:ascii="方正仿宋_GBK" w:hAnsi="方正仿宋_GBK" w:eastAsia="方正仿宋_GBK" w:cs="方正仿宋_GBK"/>
          <w:color w:val="000000" w:themeColor="text1"/>
          <w:kern w:val="2"/>
          <w:sz w:val="32"/>
          <w:szCs w:val="32"/>
          <w14:textFill>
            <w14:solidFill>
              <w14:schemeClr w14:val="tx1"/>
            </w14:solidFill>
          </w14:textFill>
        </w:rPr>
        <w:t>荣获首批全国中小学科学教育实验区荣誉，</w:t>
      </w:r>
      <w:r>
        <w:rPr>
          <w:rFonts w:hint="eastAsia" w:ascii="方正仿宋_GBK" w:hAnsi="方正仿宋_GBK" w:eastAsia="方正仿宋_GBK" w:cs="方正仿宋_GBK"/>
          <w:color w:val="000000" w:themeColor="text1"/>
          <w:sz w:val="32"/>
          <w:szCs w:val="32"/>
          <w14:textFill>
            <w14:solidFill>
              <w14:schemeClr w14:val="tx1"/>
            </w14:solidFill>
          </w14:textFill>
        </w:rPr>
        <w:t>成为全</w:t>
      </w:r>
      <w:r>
        <w:rPr>
          <w:rFonts w:ascii="Times New Roman" w:hAnsi="Times New Roman" w:eastAsia="方正仿宋_GBK" w:cs="Times New Roman"/>
          <w:color w:val="000000" w:themeColor="text1"/>
          <w:sz w:val="32"/>
          <w:szCs w:val="32"/>
          <w14:textFill>
            <w14:solidFill>
              <w14:schemeClr w14:val="tx1"/>
            </w14:solidFill>
          </w14:textFill>
        </w:rPr>
        <w:t>市深化新时代教育评价改革试点区，入选第三批智慧教育应用示范区县，思政教育研究获国家级教育成果奖二等奖。</w:t>
      </w:r>
      <w:r>
        <w:rPr>
          <w:rFonts w:ascii="Times New Roman" w:hAnsi="Times New Roman" w:eastAsia="方正仿宋_GBK" w:cs="Times New Roman"/>
          <w:color w:val="000000" w:themeColor="text1"/>
          <w:kern w:val="2"/>
          <w:sz w:val="32"/>
          <w:szCs w:val="32"/>
          <w14:textFill>
            <w14:solidFill>
              <w14:schemeClr w14:val="tx1"/>
            </w14:solidFill>
          </w14:textFill>
        </w:rPr>
        <w:t>推进托幼一体化建设，新增12家幼儿园开托，新建托位600个，每千人口托位数达3.22个。增加医疗高品质供给，重医附属康复医院正式运营，重钢总医院通过三级综合医院评审，建成重庆首家医用微生态诊疗中心，获批市级临床重点专科</w:t>
      </w:r>
      <w:r>
        <w:rPr>
          <w:rFonts w:hint="eastAsia" w:ascii="Times New Roman" w:hAnsi="Times New Roman" w:eastAsia="方正仿宋_GBK" w:cs="Times New Roman"/>
          <w:color w:val="000000" w:themeColor="text1"/>
          <w:kern w:val="2"/>
          <w:sz w:val="32"/>
          <w:szCs w:val="32"/>
          <w14:textFill>
            <w14:solidFill>
              <w14:schemeClr w14:val="tx1"/>
            </w14:solidFill>
          </w14:textFill>
        </w:rPr>
        <w:t>培育项目</w:t>
      </w:r>
      <w:r>
        <w:rPr>
          <w:rFonts w:ascii="Times New Roman" w:hAnsi="Times New Roman" w:eastAsia="方正仿宋_GBK" w:cs="Times New Roman"/>
          <w:color w:val="000000" w:themeColor="text1"/>
          <w:kern w:val="2"/>
          <w:sz w:val="32"/>
          <w:szCs w:val="32"/>
          <w14:textFill>
            <w14:solidFill>
              <w14:schemeClr w14:val="tx1"/>
            </w14:solidFill>
          </w14:textFill>
        </w:rPr>
        <w:t>3个，跳磴镇创建</w:t>
      </w:r>
      <w:r>
        <w:rPr>
          <w:rFonts w:hint="eastAsia" w:ascii="Times New Roman" w:hAnsi="Times New Roman" w:eastAsia="方正仿宋_GBK" w:cs="Times New Roman"/>
          <w:color w:val="000000" w:themeColor="text1"/>
          <w:kern w:val="2"/>
          <w:sz w:val="32"/>
          <w:szCs w:val="32"/>
          <w14:textFill>
            <w14:solidFill>
              <w14:schemeClr w14:val="tx1"/>
            </w14:solidFill>
          </w14:textFill>
        </w:rPr>
        <w:t>为</w:t>
      </w:r>
      <w:r>
        <w:rPr>
          <w:rFonts w:ascii="Times New Roman" w:hAnsi="Times New Roman" w:eastAsia="方正仿宋_GBK" w:cs="Times New Roman"/>
          <w:color w:val="000000" w:themeColor="text1"/>
          <w:kern w:val="2"/>
          <w:sz w:val="32"/>
          <w:szCs w:val="32"/>
          <w14:textFill>
            <w14:solidFill>
              <w14:schemeClr w14:val="tx1"/>
            </w14:solidFill>
          </w14:textFill>
        </w:rPr>
        <w:t>国家卫生镇。繁荣发展文体事业，</w:t>
      </w:r>
      <w:r>
        <w:rPr>
          <w:rFonts w:ascii="Times New Roman" w:hAnsi="Times New Roman" w:eastAsia="方正仿宋_GBK" w:cs="Times New Roman"/>
          <w:color w:val="000000" w:themeColor="text1"/>
          <w:sz w:val="32"/>
          <w:szCs w:val="32"/>
          <w14:textFill>
            <w14:solidFill>
              <w14:schemeClr w14:val="tx1"/>
            </w14:solidFill>
          </w14:textFill>
        </w:rPr>
        <w:t>设立梅忠智等名家艺术馆室，新建文图分馆7个，区美术馆获评全国最美乡村公共文化空间，34件文化作品获市级及以上奖项；市区共建高尔夫、女子拳击、自行车优秀运动</w:t>
      </w:r>
      <w:r>
        <w:rPr>
          <w:rFonts w:ascii="Times New Roman" w:hAnsi="Times New Roman" w:eastAsia="方正仿宋_GBK" w:cs="Times New Roman"/>
          <w:color w:val="000000" w:themeColor="text1"/>
          <w:kern w:val="10"/>
          <w:sz w:val="32"/>
          <w:szCs w:val="32"/>
          <w14:textFill>
            <w14:solidFill>
              <w14:schemeClr w14:val="tx1"/>
            </w14:solidFill>
          </w14:textFill>
        </w:rPr>
        <w:t>队，举办国家级、市级体育赛事30余场，</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李雪芮杯</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羽毛球公开赛获评川渝体育旅游精品赛事。</w:t>
      </w:r>
      <w:r>
        <w:rPr>
          <w:rFonts w:ascii="Times New Roman" w:hAnsi="Times New Roman" w:eastAsia="方正仿宋_GBK" w:cs="Times New Roman"/>
          <w:b/>
          <w:bCs/>
          <w:color w:val="000000" w:themeColor="text1"/>
          <w:sz w:val="32"/>
          <w:szCs w:val="32"/>
          <w14:textFill>
            <w14:solidFill>
              <w14:schemeClr w14:val="tx1"/>
            </w14:solidFill>
          </w14:textFill>
        </w:rPr>
        <w:t>社会大局安定有序。</w:t>
      </w:r>
      <w:r>
        <w:rPr>
          <w:rFonts w:ascii="Times New Roman" w:hAnsi="Times New Roman" w:eastAsia="方正仿宋_GBK" w:cs="Times New Roman"/>
          <w:color w:val="000000" w:themeColor="text1"/>
          <w:kern w:val="10"/>
          <w:sz w:val="32"/>
          <w:szCs w:val="32"/>
          <w14:textFill>
            <w14:solidFill>
              <w14:schemeClr w14:val="tx1"/>
            </w14:solidFill>
          </w14:textFill>
        </w:rPr>
        <w:t>以党建统领完善</w:t>
      </w:r>
      <w:r>
        <w:rPr>
          <w:rFonts w:hint="eastAsia" w:ascii="方正仿宋_GBK" w:hAnsi="Times New Roman" w:eastAsia="方正仿宋_GBK" w:cs="Times New Roman"/>
          <w:color w:val="000000" w:themeColor="text1"/>
          <w:kern w:val="10"/>
          <w:sz w:val="32"/>
          <w:szCs w:val="32"/>
          <w14:textFill>
            <w14:solidFill>
              <w14:schemeClr w14:val="tx1"/>
            </w14:solidFill>
          </w14:textFill>
        </w:rPr>
        <w:t>“</w:t>
      </w:r>
      <w:r>
        <w:rPr>
          <w:rFonts w:ascii="Times New Roman" w:hAnsi="Times New Roman" w:eastAsia="方正仿宋_GBK" w:cs="Times New Roman"/>
          <w:color w:val="000000" w:themeColor="text1"/>
          <w:kern w:val="10"/>
          <w:sz w:val="32"/>
          <w:szCs w:val="32"/>
          <w14:textFill>
            <w14:solidFill>
              <w14:schemeClr w14:val="tx1"/>
            </w14:solidFill>
          </w14:textFill>
        </w:rPr>
        <w:t>141</w:t>
      </w:r>
      <w:r>
        <w:rPr>
          <w:rFonts w:hint="eastAsia" w:ascii="方正仿宋_GBK" w:hAnsi="Times New Roman" w:eastAsia="方正仿宋_GBK" w:cs="Times New Roman"/>
          <w:color w:val="000000" w:themeColor="text1"/>
          <w:kern w:val="10"/>
          <w:sz w:val="32"/>
          <w:szCs w:val="32"/>
          <w14:textFill>
            <w14:solidFill>
              <w14:schemeClr w14:val="tx1"/>
            </w14:solidFill>
          </w14:textFill>
        </w:rPr>
        <w:t>”</w:t>
      </w:r>
      <w:r>
        <w:rPr>
          <w:rFonts w:ascii="Times New Roman" w:hAnsi="Times New Roman" w:eastAsia="方正仿宋_GBK" w:cs="Times New Roman"/>
          <w:color w:val="000000" w:themeColor="text1"/>
          <w:kern w:val="10"/>
          <w:sz w:val="32"/>
          <w:szCs w:val="32"/>
          <w14:textFill>
            <w14:solidFill>
              <w14:schemeClr w14:val="tx1"/>
            </w14:solidFill>
          </w14:textFill>
        </w:rPr>
        <w:t>基层智治体系建设，坚持和发展新时代</w:t>
      </w:r>
      <w:r>
        <w:rPr>
          <w:rFonts w:hint="eastAsia" w:ascii="方正仿宋_GBK" w:hAnsi="Times New Roman" w:eastAsia="方正仿宋_GBK" w:cs="Times New Roman"/>
          <w:color w:val="000000" w:themeColor="text1"/>
          <w:kern w:val="10"/>
          <w:sz w:val="32"/>
          <w:szCs w:val="32"/>
          <w14:textFill>
            <w14:solidFill>
              <w14:schemeClr w14:val="tx1"/>
            </w14:solidFill>
          </w14:textFill>
        </w:rPr>
        <w:t>“</w:t>
      </w:r>
      <w:r>
        <w:rPr>
          <w:rFonts w:ascii="Times New Roman" w:hAnsi="Times New Roman" w:eastAsia="方正仿宋_GBK" w:cs="Times New Roman"/>
          <w:color w:val="000000" w:themeColor="text1"/>
          <w:kern w:val="10"/>
          <w:sz w:val="32"/>
          <w:szCs w:val="32"/>
          <w14:textFill>
            <w14:solidFill>
              <w14:schemeClr w14:val="tx1"/>
            </w14:solidFill>
          </w14:textFill>
        </w:rPr>
        <w:t>枫桥经验</w:t>
      </w:r>
      <w:r>
        <w:rPr>
          <w:rFonts w:hint="eastAsia" w:ascii="方正仿宋_GBK" w:hAnsi="Times New Roman" w:eastAsia="方正仿宋_GBK" w:cs="Times New Roman"/>
          <w:color w:val="000000" w:themeColor="text1"/>
          <w:kern w:val="10"/>
          <w:sz w:val="32"/>
          <w:szCs w:val="32"/>
          <w14:textFill>
            <w14:solidFill>
              <w14:schemeClr w14:val="tx1"/>
            </w14:solidFill>
          </w14:textFill>
        </w:rPr>
        <w:t>”</w:t>
      </w:r>
      <w:r>
        <w:rPr>
          <w:rFonts w:ascii="Times New Roman" w:hAnsi="Times New Roman" w:eastAsia="方正仿宋_GBK" w:cs="Times New Roman"/>
          <w:color w:val="000000" w:themeColor="text1"/>
          <w:kern w:val="10"/>
          <w:sz w:val="32"/>
          <w:szCs w:val="32"/>
          <w14:textFill>
            <w14:solidFill>
              <w14:schemeClr w14:val="tx1"/>
            </w14:solidFill>
          </w14:textFill>
        </w:rPr>
        <w:t>，跃</w:t>
      </w:r>
      <w:r>
        <w:rPr>
          <w:rFonts w:ascii="Times New Roman" w:hAnsi="Times New Roman" w:eastAsia="方正仿宋_GBK" w:cs="Times New Roman"/>
          <w:color w:val="000000" w:themeColor="text1"/>
          <w:sz w:val="32"/>
          <w:szCs w:val="32"/>
          <w14:textFill>
            <w14:solidFill>
              <w14:schemeClr w14:val="tx1"/>
            </w14:solidFill>
          </w14:textFill>
        </w:rPr>
        <w:t>进村司法所获评市级首批</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枫桥式</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司法所。加强社会治安防控体系建设，率先推</w:t>
      </w:r>
      <w:r>
        <w:rPr>
          <w:rFonts w:hint="eastAsia" w:ascii="Times New Roman" w:hAnsi="Times New Roman" w:eastAsia="方正仿宋_GBK" w:cs="Times New Roman"/>
          <w:color w:val="000000" w:themeColor="text1"/>
          <w:sz w:val="32"/>
          <w:szCs w:val="32"/>
          <w14:textFill>
            <w14:solidFill>
              <w14:schemeClr w14:val="tx1"/>
            </w14:solidFill>
          </w14:textFill>
        </w:rPr>
        <w:t>行</w:t>
      </w:r>
      <w:r>
        <w:rPr>
          <w:rFonts w:ascii="Times New Roman" w:hAnsi="Times New Roman" w:eastAsia="方正仿宋_GBK" w:cs="Times New Roman"/>
          <w:color w:val="000000" w:themeColor="text1"/>
          <w:sz w:val="32"/>
          <w:szCs w:val="32"/>
          <w14:textFill>
            <w14:solidFill>
              <w14:schemeClr w14:val="tx1"/>
            </w14:solidFill>
          </w14:textFill>
        </w:rPr>
        <w:t>机动巡逻战训巡合一，在全市创新打造</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数字警务室</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荣获全国公安基层技术革新奖三等奖，公安合成作战中心获评全国公安机关成绩突出青年集体，现行命案连续14年全破。全力保障公共安全，严格落实安全生产责任制，连续6年未发生较大及以上生产安全事故和自然灾害事件，生产安全事故死亡人数连续3年下降。严守食品药品安全底线，落实粮食安全首长责任制，重要民生商品价格基本稳定。有效化解经济金融风险，10个</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保交楼</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项目</w:t>
      </w:r>
      <w:r>
        <w:rPr>
          <w:rFonts w:hint="eastAsia" w:ascii="Times New Roman" w:hAnsi="Times New Roman" w:eastAsia="方正仿宋_GBK" w:cs="Times New Roman"/>
          <w:color w:val="000000" w:themeColor="text1"/>
          <w:sz w:val="32"/>
          <w:szCs w:val="32"/>
          <w14:textFill>
            <w14:solidFill>
              <w14:schemeClr w14:val="tx1"/>
            </w14:solidFill>
          </w14:textFill>
        </w:rPr>
        <w:t>实现销号</w:t>
      </w:r>
      <w:r>
        <w:rPr>
          <w:rFonts w:ascii="Times New Roman" w:hAnsi="Times New Roman" w:eastAsia="方正仿宋_GBK" w:cs="Times New Roman"/>
          <w:color w:val="000000" w:themeColor="text1"/>
          <w:sz w:val="32"/>
          <w:szCs w:val="32"/>
          <w14:textFill>
            <w14:solidFill>
              <w14:schemeClr w14:val="tx1"/>
            </w14:solidFill>
          </w14:textFill>
        </w:rPr>
        <w:t>，全区无高风险评级金融机构。</w:t>
      </w:r>
    </w:p>
    <w:p>
      <w:pPr>
        <w:widowControl w:val="0"/>
        <w:spacing w:after="0" w:line="594" w:lineRule="exact"/>
        <w:ind w:firstLine="640" w:firstLineChars="200"/>
        <w:jc w:val="both"/>
        <w:rPr>
          <w:rFonts w:ascii="Times New Roman" w:hAnsi="Times New Roman" w:eastAsia="方正楷体_GBK" w:cs="Times New Roman"/>
          <w:color w:val="000000" w:themeColor="text1"/>
          <w:kern w:val="2"/>
          <w:sz w:val="32"/>
          <w:szCs w:val="32"/>
          <w:shd w:val="clear" w:color="auto" w:fill="FFFFFF"/>
          <w14:textFill>
            <w14:solidFill>
              <w14:schemeClr w14:val="tx1"/>
            </w14:solidFill>
          </w14:textFill>
        </w:rPr>
      </w:pPr>
      <w:r>
        <w:rPr>
          <w:rFonts w:ascii="Times New Roman" w:hAnsi="Times New Roman" w:eastAsia="方正楷体_GBK" w:cs="Times New Roman"/>
          <w:color w:val="000000" w:themeColor="text1"/>
          <w:kern w:val="2"/>
          <w:sz w:val="32"/>
          <w:szCs w:val="32"/>
          <w:shd w:val="clear" w:color="auto" w:fill="FFFFFF"/>
          <w14:textFill>
            <w14:solidFill>
              <w14:schemeClr w14:val="tx1"/>
            </w14:solidFill>
          </w14:textFill>
        </w:rPr>
        <w:t>（四）发展中存在的困难问题</w:t>
      </w:r>
    </w:p>
    <w:p>
      <w:pPr>
        <w:widowControl w:val="0"/>
        <w:spacing w:after="0" w:line="594" w:lineRule="exact"/>
        <w:ind w:firstLine="640" w:firstLineChars="200"/>
        <w:jc w:val="both"/>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2023年以来，面对外部环境错综复杂、市场需求不足、内生动力较弱等多重挑战，全区经济承压前行、持续恢复，经济展现出发展韧性与活力，但也要看到，不确定不稳定因素仍然较多，一些矛盾和困难依然存在。</w:t>
      </w:r>
      <w:r>
        <w:rPr>
          <w:rFonts w:ascii="Times New Roman" w:hAnsi="Times New Roman" w:eastAsia="方正仿宋_GBK" w:cs="Times New Roman"/>
          <w:b/>
          <w:bCs/>
          <w:color w:val="000000" w:themeColor="text1"/>
          <w:sz w:val="32"/>
          <w:szCs w:val="32"/>
          <w14:textFill>
            <w14:solidFill>
              <w14:schemeClr w14:val="tx1"/>
            </w14:solidFill>
          </w14:textFill>
        </w:rPr>
        <w:t>一是产业结构调整亟需加力。</w:t>
      </w:r>
      <w:r>
        <w:rPr>
          <w:rFonts w:ascii="Times New Roman" w:hAnsi="Times New Roman" w:eastAsia="方正仿宋_GBK" w:cs="Times New Roman"/>
          <w:color w:val="000000" w:themeColor="text1"/>
          <w:sz w:val="32"/>
          <w:szCs w:val="32"/>
          <w14:textFill>
            <w14:solidFill>
              <w14:schemeClr w14:val="tx1"/>
            </w14:solidFill>
          </w14:textFill>
        </w:rPr>
        <w:t>工业经济运行的韧性不足，</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一企独大</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现象突出，尚未形成多元化支撑格局；工业迭代升级及新动能培育不足，以先进材料、小面产业、软件产业等为代表的特色优势产业规模还偏小。现代服务业发展水平不高，管理咨询、检验检测、知识产权服务、科技服务等生产性服务业欠缺，高品质生</w:t>
      </w:r>
      <w:r>
        <w:rPr>
          <w:rFonts w:hint="eastAsia" w:ascii="Times New Roman" w:hAnsi="Times New Roman" w:eastAsia="方正仿宋_GBK" w:cs="Times New Roman"/>
          <w:color w:val="000000" w:themeColor="text1"/>
          <w:sz w:val="32"/>
          <w:szCs w:val="32"/>
          <w14:textFill>
            <w14:solidFill>
              <w14:schemeClr w14:val="tx1"/>
            </w14:solidFill>
          </w14:textFill>
        </w:rPr>
        <w:t>活</w:t>
      </w:r>
      <w:r>
        <w:rPr>
          <w:rFonts w:ascii="Times New Roman" w:hAnsi="Times New Roman" w:eastAsia="方正仿宋_GBK" w:cs="Times New Roman"/>
          <w:color w:val="000000" w:themeColor="text1"/>
          <w:sz w:val="32"/>
          <w:szCs w:val="32"/>
          <w14:textFill>
            <w14:solidFill>
              <w14:schemeClr w14:val="tx1"/>
            </w14:solidFill>
          </w14:textFill>
        </w:rPr>
        <w:t>性服务业供给不足。</w:t>
      </w:r>
      <w:r>
        <w:rPr>
          <w:rFonts w:ascii="Times New Roman" w:hAnsi="Times New Roman" w:eastAsia="方正仿宋_GBK" w:cs="Times New Roman"/>
          <w:b/>
          <w:bCs/>
          <w:color w:val="000000" w:themeColor="text1"/>
          <w:sz w:val="32"/>
          <w:szCs w:val="32"/>
          <w14:textFill>
            <w14:solidFill>
              <w14:schemeClr w14:val="tx1"/>
            </w14:solidFill>
          </w14:textFill>
        </w:rPr>
        <w:t>二是发展动能转换亟待提速。</w:t>
      </w:r>
      <w:r>
        <w:rPr>
          <w:rFonts w:ascii="Times New Roman" w:hAnsi="Times New Roman" w:eastAsia="方正仿宋_GBK" w:cs="Times New Roman"/>
          <w:color w:val="000000" w:themeColor="text1"/>
          <w:sz w:val="32"/>
          <w:szCs w:val="32"/>
          <w14:textFill>
            <w14:solidFill>
              <w14:schemeClr w14:val="tx1"/>
            </w14:solidFill>
          </w14:textFill>
        </w:rPr>
        <w:t>有效投资增长乏力，受债务管控、政策调整等因素影响，部分政府投资项目进度放缓；房地产仍处于下行周期，供需两端购置能力及信心疲弱，房地产投资</w:t>
      </w:r>
      <w:r>
        <w:rPr>
          <w:rFonts w:hint="eastAsia" w:ascii="Times New Roman" w:hAnsi="Times New Roman" w:eastAsia="方正仿宋_GBK" w:cs="Times New Roman"/>
          <w:color w:val="000000" w:themeColor="text1"/>
          <w:sz w:val="32"/>
          <w:szCs w:val="32"/>
          <w14:textFill>
            <w14:solidFill>
              <w14:schemeClr w14:val="tx1"/>
            </w14:solidFill>
          </w14:textFill>
        </w:rPr>
        <w:t>增长乏力</w:t>
      </w:r>
      <w:r>
        <w:rPr>
          <w:rFonts w:ascii="Times New Roman" w:hAnsi="Times New Roman" w:eastAsia="方正仿宋_GBK" w:cs="Times New Roman"/>
          <w:color w:val="000000" w:themeColor="text1"/>
          <w:sz w:val="32"/>
          <w:szCs w:val="32"/>
          <w14:textFill>
            <w14:solidFill>
              <w14:schemeClr w14:val="tx1"/>
            </w14:solidFill>
          </w14:textFill>
        </w:rPr>
        <w:t>。消费需求仍显不足，居民消费能力、消费意愿未完全恢复，高端消费、线上消费存在外流，新兴消费业态培育不足。外经贸领域活力不足，</w:t>
      </w:r>
      <w:r>
        <w:rPr>
          <w:rFonts w:hint="eastAsia" w:ascii="Times New Roman" w:hAnsi="Times New Roman" w:eastAsia="方正仿宋_GBK" w:cs="Times New Roman"/>
          <w:color w:val="000000" w:themeColor="text1"/>
          <w:sz w:val="32"/>
          <w:szCs w:val="32"/>
          <w14:textFill>
            <w14:solidFill>
              <w14:schemeClr w14:val="tx1"/>
            </w14:solidFill>
          </w14:textFill>
        </w:rPr>
        <w:t>使用</w:t>
      </w:r>
      <w:r>
        <w:rPr>
          <w:rFonts w:ascii="Times New Roman" w:hAnsi="Times New Roman" w:eastAsia="方正仿宋_GBK" w:cs="Times New Roman"/>
          <w:color w:val="000000" w:themeColor="text1"/>
          <w:sz w:val="32"/>
          <w:szCs w:val="32"/>
          <w14:textFill>
            <w14:solidFill>
              <w14:schemeClr w14:val="tx1"/>
            </w14:solidFill>
          </w14:textFill>
        </w:rPr>
        <w:t>外资亟待突破。</w:t>
      </w:r>
      <w:r>
        <w:rPr>
          <w:rFonts w:ascii="Times New Roman" w:hAnsi="Times New Roman" w:eastAsia="方正仿宋_GBK" w:cs="Times New Roman"/>
          <w:b/>
          <w:bCs/>
          <w:color w:val="000000" w:themeColor="text1"/>
          <w:sz w:val="32"/>
          <w:szCs w:val="32"/>
          <w14:textFill>
            <w14:solidFill>
              <w14:schemeClr w14:val="tx1"/>
            </w14:solidFill>
          </w14:textFill>
        </w:rPr>
        <w:t>三是企业服务体系亟需健全。</w:t>
      </w:r>
      <w:r>
        <w:rPr>
          <w:rFonts w:ascii="Times New Roman" w:hAnsi="Times New Roman" w:eastAsia="方正仿宋_GBK" w:cs="Times New Roman"/>
          <w:color w:val="000000" w:themeColor="text1"/>
          <w:sz w:val="32"/>
          <w:szCs w:val="32"/>
          <w14:textFill>
            <w14:solidFill>
              <w14:schemeClr w14:val="tx1"/>
            </w14:solidFill>
          </w14:textFill>
        </w:rPr>
        <w:t>能源、物流等要素成本偏高，民营企业特别是中小微企业融资难问题依然存在，围绕减轻企业负担、加大市场主体培育、优化营商环境等方面，措施举措有待完善。</w:t>
      </w:r>
      <w:r>
        <w:rPr>
          <w:rFonts w:ascii="Times New Roman" w:hAnsi="Times New Roman" w:eastAsia="方正仿宋_GBK" w:cs="Times New Roman"/>
          <w:b/>
          <w:bCs/>
          <w:color w:val="000000" w:themeColor="text1"/>
          <w:sz w:val="32"/>
          <w:szCs w:val="32"/>
          <w14:textFill>
            <w14:solidFill>
              <w14:schemeClr w14:val="tx1"/>
            </w14:solidFill>
          </w14:textFill>
        </w:rPr>
        <w:t>四是惠民安民力度仍需加大。</w:t>
      </w:r>
      <w:r>
        <w:rPr>
          <w:rFonts w:ascii="Times New Roman" w:hAnsi="Times New Roman" w:eastAsia="方正仿宋_GBK" w:cs="Times New Roman"/>
          <w:color w:val="000000" w:themeColor="text1"/>
          <w:sz w:val="32"/>
          <w:szCs w:val="32"/>
          <w14:textFill>
            <w14:solidFill>
              <w14:schemeClr w14:val="tx1"/>
            </w14:solidFill>
          </w14:textFill>
        </w:rPr>
        <w:t>教育、医疗、养老、托幼等优质公共服务供给与群众需求还有差距，就业结构性矛盾比较突出，居民持续增收基础有待巩固。财政收支矛盾日益突出，房地产、金融等重点领域风险需高度关注，统筹发展和安全压力加大。</w:t>
      </w:r>
    </w:p>
    <w:p>
      <w:pPr>
        <w:widowControl w:val="0"/>
        <w:spacing w:after="0" w:line="594" w:lineRule="exact"/>
        <w:ind w:firstLine="640" w:firstLineChars="200"/>
        <w:jc w:val="both"/>
        <w:rPr>
          <w:rFonts w:ascii="Times New Roman" w:hAnsi="Times New Roman" w:eastAsia="方正黑体_GBK" w:cs="Times New Roman"/>
          <w:color w:val="000000" w:themeColor="text1"/>
          <w:kern w:val="2"/>
          <w:sz w:val="32"/>
          <w:szCs w:val="32"/>
          <w14:textFill>
            <w14:solidFill>
              <w14:schemeClr w14:val="tx1"/>
            </w14:solidFill>
          </w14:textFill>
        </w:rPr>
      </w:pPr>
      <w:r>
        <w:rPr>
          <w:rFonts w:ascii="Times New Roman" w:hAnsi="Times New Roman" w:eastAsia="方正黑体_GBK" w:cs="Times New Roman"/>
          <w:color w:val="000000" w:themeColor="text1"/>
          <w:kern w:val="2"/>
          <w:sz w:val="32"/>
          <w:szCs w:val="32"/>
          <w14:textFill>
            <w14:solidFill>
              <w14:schemeClr w14:val="tx1"/>
            </w14:solidFill>
          </w14:textFill>
        </w:rPr>
        <w:t>二、2024年国民经济和社会发展主要指标和项目安排</w:t>
      </w:r>
    </w:p>
    <w:p>
      <w:pPr>
        <w:widowControl w:val="0"/>
        <w:spacing w:after="0" w:line="594" w:lineRule="exact"/>
        <w:ind w:firstLine="640" w:firstLineChars="200"/>
        <w:jc w:val="both"/>
        <w:rPr>
          <w:rFonts w:ascii="Times New Roman" w:hAnsi="Times New Roman" w:eastAsia="方正仿宋_GBK" w:cs="Times New Roman"/>
          <w:color w:val="000000" w:themeColor="text1"/>
          <w:kern w:val="2"/>
          <w:sz w:val="32"/>
          <w:szCs w:val="32"/>
          <w14:textFill>
            <w14:solidFill>
              <w14:schemeClr w14:val="tx1"/>
            </w14:solidFill>
          </w14:textFill>
        </w:rPr>
      </w:pPr>
      <w:r>
        <w:rPr>
          <w:rFonts w:ascii="Times New Roman" w:hAnsi="Times New Roman" w:eastAsia="方正仿宋_GBK" w:cs="Times New Roman"/>
          <w:color w:val="000000" w:themeColor="text1"/>
          <w:kern w:val="2"/>
          <w:sz w:val="32"/>
          <w:szCs w:val="32"/>
          <w14:textFill>
            <w14:solidFill>
              <w14:schemeClr w14:val="tx1"/>
            </w14:solidFill>
          </w14:textFill>
        </w:rPr>
        <w:t>2024年</w:t>
      </w:r>
      <w:r>
        <w:rPr>
          <w:rFonts w:hint="eastAsia" w:ascii="Times New Roman" w:hAnsi="Times New Roman" w:eastAsia="方正仿宋_GBK" w:cs="Times New Roman"/>
          <w:color w:val="000000" w:themeColor="text1"/>
          <w:kern w:val="2"/>
          <w:sz w:val="32"/>
          <w:szCs w:val="32"/>
          <w14:textFill>
            <w14:solidFill>
              <w14:schemeClr w14:val="tx1"/>
            </w14:solidFill>
          </w14:textFill>
        </w:rPr>
        <w:t>，是中华人民共和国成立</w:t>
      </w:r>
      <w:r>
        <w:rPr>
          <w:rFonts w:ascii="Times New Roman" w:hAnsi="Times New Roman" w:eastAsia="方正仿宋_GBK" w:cs="Times New Roman"/>
          <w:color w:val="000000" w:themeColor="text1"/>
          <w:kern w:val="2"/>
          <w:sz w:val="32"/>
          <w:szCs w:val="32"/>
          <w14:textFill>
            <w14:solidFill>
              <w14:schemeClr w14:val="tx1"/>
            </w14:solidFill>
          </w14:textFill>
        </w:rPr>
        <w:t>75</w:t>
      </w:r>
      <w:r>
        <w:rPr>
          <w:rFonts w:hint="eastAsia" w:ascii="Times New Roman" w:hAnsi="Times New Roman" w:eastAsia="方正仿宋_GBK" w:cs="Times New Roman"/>
          <w:color w:val="000000" w:themeColor="text1"/>
          <w:kern w:val="2"/>
          <w:sz w:val="32"/>
          <w:szCs w:val="32"/>
          <w14:textFill>
            <w14:solidFill>
              <w14:schemeClr w14:val="tx1"/>
            </w14:solidFill>
          </w14:textFill>
        </w:rPr>
        <w:t>周年，是实现</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hint="eastAsia" w:ascii="Times New Roman" w:hAnsi="Times New Roman" w:eastAsia="方正仿宋_GBK" w:cs="Times New Roman"/>
          <w:color w:val="000000" w:themeColor="text1"/>
          <w:kern w:val="2"/>
          <w:sz w:val="32"/>
          <w:szCs w:val="32"/>
          <w14:textFill>
            <w14:solidFill>
              <w14:schemeClr w14:val="tx1"/>
            </w14:solidFill>
          </w14:textFill>
        </w:rPr>
        <w:t>十四五</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hint="eastAsia" w:ascii="Times New Roman" w:hAnsi="Times New Roman" w:eastAsia="方正仿宋_GBK" w:cs="Times New Roman"/>
          <w:color w:val="000000" w:themeColor="text1"/>
          <w:kern w:val="2"/>
          <w:sz w:val="32"/>
          <w:szCs w:val="32"/>
          <w14:textFill>
            <w14:solidFill>
              <w14:schemeClr w14:val="tx1"/>
            </w14:solidFill>
          </w14:textFill>
        </w:rPr>
        <w:t>规划目标任务的关键一年，也是大渡口实现换挡提速的提升之年。</w:t>
      </w:r>
      <w:r>
        <w:rPr>
          <w:rFonts w:ascii="Times New Roman" w:hAnsi="Times New Roman" w:eastAsia="方正仿宋_GBK" w:cs="Times New Roman"/>
          <w:color w:val="000000" w:themeColor="text1"/>
          <w:kern w:val="2"/>
          <w:sz w:val="32"/>
          <w:szCs w:val="32"/>
          <w14:textFill>
            <w14:solidFill>
              <w14:schemeClr w14:val="tx1"/>
            </w14:solidFill>
          </w14:textFill>
        </w:rPr>
        <w:t>今年4月，习近平总书记来渝视察，对重庆工作成绩给</w:t>
      </w:r>
      <w:r>
        <w:rPr>
          <w:rFonts w:hint="eastAsia" w:ascii="方正仿宋_GBK" w:hAnsi="方正仿宋_GBK" w:eastAsia="方正仿宋_GBK" w:cs="方正仿宋_GBK"/>
          <w:color w:val="000000" w:themeColor="text1"/>
          <w:kern w:val="2"/>
          <w:sz w:val="32"/>
          <w:szCs w:val="32"/>
          <w14:textFill>
            <w14:solidFill>
              <w14:schemeClr w14:val="tx1"/>
            </w14:solidFill>
          </w14:textFill>
        </w:rPr>
        <w:t>予“六个新”的肯定</w:t>
      </w:r>
      <w:r>
        <w:rPr>
          <w:rFonts w:ascii="Times New Roman" w:hAnsi="Times New Roman" w:eastAsia="方正仿宋_GBK" w:cs="Times New Roman"/>
          <w:color w:val="000000" w:themeColor="text1"/>
          <w:kern w:val="2"/>
          <w:sz w:val="32"/>
          <w:szCs w:val="32"/>
          <w14:textFill>
            <w14:solidFill>
              <w14:schemeClr w14:val="tx1"/>
            </w14:solidFill>
          </w14:textFill>
        </w:rPr>
        <w:t>勉励，赋予重庆打造新时代西部大开发重要战略支点、内陆开放综合枢</w:t>
      </w:r>
      <w:r>
        <w:rPr>
          <w:rFonts w:hint="eastAsia" w:ascii="方正仿宋_GBK" w:hAnsi="方正仿宋_GBK" w:eastAsia="方正仿宋_GBK" w:cs="方正仿宋_GBK"/>
          <w:color w:val="000000" w:themeColor="text1"/>
          <w:kern w:val="2"/>
          <w:sz w:val="32"/>
          <w:szCs w:val="32"/>
          <w14:textFill>
            <w14:solidFill>
              <w14:schemeClr w14:val="tx1"/>
            </w14:solidFill>
          </w14:textFill>
        </w:rPr>
        <w:t>纽“两大定位”，部</w:t>
      </w:r>
      <w:r>
        <w:rPr>
          <w:rFonts w:ascii="Times New Roman" w:hAnsi="Times New Roman" w:eastAsia="方正仿宋_GBK" w:cs="Times New Roman"/>
          <w:color w:val="000000" w:themeColor="text1"/>
          <w:kern w:val="2"/>
          <w:sz w:val="32"/>
          <w:szCs w:val="32"/>
          <w14:textFill>
            <w14:solidFill>
              <w14:schemeClr w14:val="tx1"/>
            </w14:solidFill>
          </w14:textFill>
        </w:rPr>
        <w:t>署提出</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四项任务</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，就推动新时代西部大开发形成新格局明确</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六个坚持</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重要要求，为重庆立足西部、服务大局提供了根本指引。我们要坚决贯彻落实党中央、国务院决策部署，</w:t>
      </w:r>
      <w:r>
        <w:rPr>
          <w:rFonts w:ascii="Times New Roman" w:hAnsi="Times New Roman" w:eastAsia="方正仿宋_GBK" w:cs="Times New Roman"/>
          <w:color w:val="000000" w:themeColor="text1"/>
          <w:sz w:val="32"/>
          <w:szCs w:val="32"/>
          <w14:textFill>
            <w14:solidFill>
              <w14:schemeClr w14:val="tx1"/>
            </w14:solidFill>
          </w14:textFill>
        </w:rPr>
        <w:t>坚持稳中求进、以进促稳、先立后破，</w:t>
      </w:r>
      <w:r>
        <w:rPr>
          <w:rFonts w:ascii="Times New Roman" w:hAnsi="Times New Roman" w:eastAsia="方正仿宋_GBK" w:cs="Times New Roman"/>
          <w:color w:val="000000" w:themeColor="text1"/>
          <w:kern w:val="2"/>
          <w:sz w:val="32"/>
          <w:szCs w:val="32"/>
          <w14:textFill>
            <w14:solidFill>
              <w14:schemeClr w14:val="tx1"/>
            </w14:solidFill>
          </w14:textFill>
        </w:rPr>
        <w:t>切实增强经济活力、防范化解风险、改善社会预期，巩固和增强经济回升向好态势，持续推动经济实现质的有效提升和量的合理增长，增进民生福祉、保持社会稳定，奋力谱写现代化新重庆大渡口新篇章。</w:t>
      </w:r>
    </w:p>
    <w:p>
      <w:pPr>
        <w:widowControl w:val="0"/>
        <w:spacing w:after="0" w:line="594" w:lineRule="exact"/>
        <w:ind w:firstLine="640" w:firstLineChars="200"/>
        <w:jc w:val="both"/>
        <w:rPr>
          <w:rFonts w:ascii="Times New Roman" w:hAnsi="Times New Roman" w:eastAsia="方正楷体_GBK" w:cs="Times New Roman"/>
          <w:color w:val="000000" w:themeColor="text1"/>
          <w:kern w:val="2"/>
          <w:sz w:val="32"/>
          <w:szCs w:val="32"/>
          <w14:textFill>
            <w14:solidFill>
              <w14:schemeClr w14:val="tx1"/>
            </w14:solidFill>
          </w14:textFill>
        </w:rPr>
      </w:pPr>
      <w:r>
        <w:rPr>
          <w:rFonts w:ascii="Times New Roman" w:hAnsi="Times New Roman" w:eastAsia="方正楷体_GBK" w:cs="Times New Roman"/>
          <w:color w:val="000000" w:themeColor="text1"/>
          <w:kern w:val="2"/>
          <w:sz w:val="32"/>
          <w:szCs w:val="32"/>
          <w14:textFill>
            <w14:solidFill>
              <w14:schemeClr w14:val="tx1"/>
            </w14:solidFill>
          </w14:textFill>
        </w:rPr>
        <w:t>（一）主要发展目标</w:t>
      </w:r>
    </w:p>
    <w:p>
      <w:pPr>
        <w:widowControl w:val="0"/>
        <w:adjustRightInd w:val="0"/>
        <w:snapToGrid w:val="0"/>
        <w:spacing w:after="0" w:line="594" w:lineRule="exact"/>
        <w:ind w:firstLine="640" w:firstLineChars="200"/>
        <w:jc w:val="both"/>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kern w:val="2"/>
          <w:sz w:val="32"/>
          <w:szCs w:val="32"/>
          <w14:textFill>
            <w14:solidFill>
              <w14:schemeClr w14:val="tx1"/>
            </w14:solidFill>
          </w14:textFill>
        </w:rPr>
        <w:t>按照中央、市委和区委经济工作会议精神，综合分析国内外形势变化、我区经济发展基础和潜力，与</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十四五</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规划目标相衔接，兼顾需要与可能、长期与短期、速度与质量、总量与结构，建议全年地区生产总值增长6%、争取实现更好结果。确立这一目标，主要考虑四个方面因素：</w:t>
      </w:r>
      <w:r>
        <w:rPr>
          <w:rFonts w:hint="eastAsia" w:ascii="方正仿宋_GBK" w:hAnsi="方正仿宋_GBK" w:eastAsia="方正仿宋_GBK" w:cs="方正仿宋_GBK"/>
          <w:b/>
          <w:bCs/>
          <w:color w:val="000000" w:themeColor="text1"/>
          <w:kern w:val="2"/>
          <w:sz w:val="32"/>
          <w:szCs w:val="32"/>
          <w14:textFill>
            <w14:solidFill>
              <w14:schemeClr w14:val="tx1"/>
            </w14:solidFill>
          </w14:textFill>
        </w:rPr>
        <w:t>一是战略机遇有利好</w:t>
      </w:r>
      <w:r>
        <w:rPr>
          <w:rFonts w:ascii="Times New Roman" w:hAnsi="Times New Roman" w:eastAsia="方正黑体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当前，长江经济带发展、成渝地区双城经济圈建设、西部陆海新通道建设等国家战略持续释放利好，</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一带一路</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国际合作重大项目——柴可夫斯基音乐学院落地钓鱼嘴半岛，中国（重庆）自由贸易试验区大渡口联动创新区成功创建，我区战略优势加快重塑</w:t>
      </w:r>
      <w:r>
        <w:rPr>
          <w:rFonts w:hint="eastAsia" w:ascii="Times New Roman"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有利于聚焦优质要素资源、加快转型发展。</w:t>
      </w:r>
      <w:r>
        <w:rPr>
          <w:rFonts w:ascii="方正仿宋_GBK" w:hAnsi="方正仿宋_GBK" w:eastAsia="方正仿宋_GBK" w:cs="方正仿宋_GBK"/>
          <w:b/>
          <w:bCs/>
          <w:color w:val="000000" w:themeColor="text1"/>
          <w:kern w:val="2"/>
          <w:sz w:val="32"/>
          <w:szCs w:val="32"/>
          <w14:textFill>
            <w14:solidFill>
              <w14:schemeClr w14:val="tx1"/>
            </w14:solidFill>
          </w14:textFill>
        </w:rPr>
        <w:t>二是产业发展有支撑</w:t>
      </w:r>
      <w:r>
        <w:rPr>
          <w:rFonts w:ascii="Times New Roman" w:hAnsi="Times New Roman" w:eastAsia="方正黑体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电子信息、摩托车、消费品等产业增势良好，工业经济将</w:t>
      </w:r>
      <w:r>
        <w:rPr>
          <w:rFonts w:hint="eastAsia" w:ascii="Times New Roman" w:hAnsi="Times New Roman" w:eastAsia="方正仿宋_GBK" w:cs="Times New Roman"/>
          <w:color w:val="000000" w:themeColor="text1"/>
          <w:sz w:val="32"/>
          <w:szCs w:val="32"/>
          <w14:textFill>
            <w14:solidFill>
              <w14:schemeClr w14:val="tx1"/>
            </w14:solidFill>
          </w14:textFill>
        </w:rPr>
        <w:t>企稳回升</w:t>
      </w:r>
      <w:r>
        <w:rPr>
          <w:rFonts w:ascii="Times New Roman" w:hAnsi="Times New Roman" w:eastAsia="方正仿宋_GBK" w:cs="Times New Roman"/>
          <w:color w:val="000000" w:themeColor="text1"/>
          <w:sz w:val="32"/>
          <w:szCs w:val="32"/>
          <w14:textFill>
            <w14:solidFill>
              <w14:schemeClr w14:val="tx1"/>
            </w14:solidFill>
          </w14:textFill>
        </w:rPr>
        <w:t>；中冶建工等特一级企业持续带动，建筑业将保持平稳增长；消费升级加快推进，现代金融、物流等提速发展，其他服务业提质提效，将推动服务业扩容提质；华韶智算中心、春风动力等一批重大项目落地见效，经济新增长点不断涌现，将有力支撑既定目标实现。</w:t>
      </w:r>
      <w:r>
        <w:rPr>
          <w:rFonts w:ascii="方正仿宋_GBK" w:hAnsi="方正仿宋_GBK" w:eastAsia="方正仿宋_GBK" w:cs="方正仿宋_GBK"/>
          <w:b/>
          <w:bCs/>
          <w:color w:val="000000" w:themeColor="text1"/>
          <w:kern w:val="2"/>
          <w:sz w:val="32"/>
          <w:szCs w:val="32"/>
          <w14:textFill>
            <w14:solidFill>
              <w14:schemeClr w14:val="tx1"/>
            </w14:solidFill>
          </w14:textFill>
        </w:rPr>
        <w:t>三是高质量发展有需要</w:t>
      </w:r>
      <w:r>
        <w:rPr>
          <w:rFonts w:ascii="Times New Roman" w:hAnsi="Times New Roman" w:eastAsia="方正黑体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经济社会高质量发展需要以合理经济增速作支撑，较快经济增速有利于创造更多就业、提供更多公共服务、拓展更多财源，也有利于在发展中化解风险矛盾。</w:t>
      </w:r>
      <w:r>
        <w:rPr>
          <w:rFonts w:ascii="方正仿宋_GBK" w:hAnsi="方正仿宋_GBK" w:eastAsia="方正仿宋_GBK" w:cs="方正仿宋_GBK"/>
          <w:b/>
          <w:bCs/>
          <w:color w:val="000000" w:themeColor="text1"/>
          <w:kern w:val="2"/>
          <w:sz w:val="32"/>
          <w:szCs w:val="32"/>
          <w14:textFill>
            <w14:solidFill>
              <w14:schemeClr w14:val="tx1"/>
            </w14:solidFill>
          </w14:textFill>
        </w:rPr>
        <w:t>四是赶超进位有需要</w:t>
      </w:r>
      <w:r>
        <w:rPr>
          <w:rFonts w:ascii="Times New Roman" w:hAnsi="Times New Roman" w:eastAsia="方正黑体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2024年全市地区生产总值增速目标为6%。我们将增长目标设定为6%、争取实现更好结果，体现积极进取的工作导向，也体现中心城区的担当作为，有利于缩小与先进区县的差距，不断增强区域竞争力和区域辐射力。</w:t>
      </w:r>
      <w:r>
        <w:rPr>
          <w:rFonts w:ascii="Times New Roman" w:hAnsi="Times New Roman" w:eastAsia="方正仿宋_GBK" w:cs="Times New Roman"/>
          <w:color w:val="000000" w:themeColor="text1"/>
          <w:sz w:val="32"/>
          <w:szCs w:val="32"/>
          <w14:textFill>
            <w14:solidFill>
              <w14:schemeClr w14:val="tx1"/>
            </w14:solidFill>
          </w14:textFill>
        </w:rPr>
        <w:t>同时，2023年基数较低，6%以上的增长目标符合现阶段我区潜在增长水平，有利于引导预期、提振信心，凝聚发展共识。</w:t>
      </w:r>
    </w:p>
    <w:p>
      <w:pPr>
        <w:widowControl w:val="0"/>
        <w:spacing w:after="0" w:line="594" w:lineRule="exact"/>
        <w:ind w:firstLine="640" w:firstLineChars="200"/>
        <w:jc w:val="both"/>
        <w:rPr>
          <w:rFonts w:ascii="Times New Roman" w:hAnsi="Times New Roman" w:eastAsia="方正仿宋_GBK" w:cs="Times New Roman"/>
          <w:color w:val="000000" w:themeColor="text1"/>
          <w:kern w:val="2"/>
          <w:sz w:val="32"/>
          <w:szCs w:val="32"/>
          <w14:textFill>
            <w14:solidFill>
              <w14:schemeClr w14:val="tx1"/>
            </w14:solidFill>
          </w14:textFill>
        </w:rPr>
      </w:pPr>
      <w:r>
        <w:rPr>
          <w:rFonts w:ascii="Times New Roman" w:hAnsi="Times New Roman" w:eastAsia="方正仿宋_GBK" w:cs="Times New Roman"/>
          <w:color w:val="000000" w:themeColor="text1"/>
          <w:kern w:val="2"/>
          <w:sz w:val="32"/>
          <w:szCs w:val="32"/>
          <w14:textFill>
            <w14:solidFill>
              <w14:schemeClr w14:val="tx1"/>
            </w14:solidFill>
          </w14:textFill>
        </w:rPr>
        <w:t>对标2024年重庆市国民经济与社会发展计划指标体系，2024 年我区国民经济和社会发展计划指标在沿用2023年指标体系基础上进一步优化调整</w:t>
      </w:r>
      <w:r>
        <w:rPr>
          <w:rFonts w:hint="eastAsia" w:ascii="Times New Roman" w:hAnsi="Times New Roman" w:eastAsia="方正仿宋_GBK" w:cs="Times New Roman"/>
          <w:color w:val="000000" w:themeColor="text1"/>
          <w:kern w:val="2"/>
          <w:sz w:val="32"/>
          <w:szCs w:val="32"/>
          <w14:textFill>
            <w14:solidFill>
              <w14:schemeClr w14:val="tx1"/>
            </w14:solidFill>
          </w14:textFill>
        </w:rPr>
        <w:t>。结合</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885</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hint="eastAsia" w:ascii="Times New Roman" w:hAnsi="Times New Roman" w:eastAsia="方正仿宋_GBK" w:cs="Times New Roman"/>
          <w:color w:val="000000" w:themeColor="text1"/>
          <w:kern w:val="2"/>
          <w:sz w:val="32"/>
          <w:szCs w:val="32"/>
          <w14:textFill>
            <w14:solidFill>
              <w14:schemeClr w14:val="tx1"/>
            </w14:solidFill>
          </w14:textFill>
        </w:rPr>
        <w:t>机制指标体系，将</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数字产业增加值占地区生产总值比重</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指标调整为</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数字经济核心产业增加值增速</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；根据</w:t>
      </w:r>
      <w:r>
        <w:rPr>
          <w:rFonts w:ascii="Times New Roman" w:hAnsi="Times New Roman" w:eastAsia="方正仿宋_GBK" w:cs="Times New Roman"/>
          <w:color w:val="000000" w:themeColor="text1"/>
          <w:sz w:val="32"/>
          <w:szCs w:val="32"/>
          <w14:textFill>
            <w14:solidFill>
              <w14:schemeClr w14:val="tx1"/>
            </w14:solidFill>
          </w14:textFill>
        </w:rPr>
        <w:t>GDP</w:t>
      </w:r>
      <w:r>
        <w:rPr>
          <w:rFonts w:hint="eastAsia" w:ascii="Times New Roman" w:hAnsi="Times New Roman" w:eastAsia="方正仿宋_GBK" w:cs="Times New Roman"/>
          <w:color w:val="000000" w:themeColor="text1"/>
          <w:sz w:val="32"/>
          <w:szCs w:val="32"/>
          <w14:textFill>
            <w14:solidFill>
              <w14:schemeClr w14:val="tx1"/>
            </w14:solidFill>
          </w14:textFill>
        </w:rPr>
        <w:t>核算方法变化，将</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本外币存贷款余额增速</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指标调整为</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金融业增加值增速</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；同时，</w:t>
      </w:r>
      <w:r>
        <w:rPr>
          <w:rFonts w:ascii="Times New Roman" w:hAnsi="Times New Roman" w:eastAsia="方正仿宋_GBK" w:cs="Times New Roman"/>
          <w:color w:val="000000" w:themeColor="text1"/>
          <w:kern w:val="2"/>
          <w:sz w:val="32"/>
          <w:szCs w:val="32"/>
          <w14:textFill>
            <w14:solidFill>
              <w14:schemeClr w14:val="tx1"/>
            </w14:solidFill>
          </w14:textFill>
        </w:rPr>
        <w:t>新增工业投资增速1项指标</w:t>
      </w:r>
      <w:r>
        <w:rPr>
          <w:rFonts w:hint="eastAsia" w:ascii="Times New Roman"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优化调整后的指标共计33项，其中约束性指标8项，是政府履行公共职能必须完成的；其余25项为预期性指标，体现导向性，是政府期望达到的目标。</w:t>
      </w:r>
    </w:p>
    <w:p>
      <w:pPr>
        <w:widowControl w:val="0"/>
        <w:spacing w:after="0" w:line="594" w:lineRule="exact"/>
        <w:jc w:val="center"/>
        <w:rPr>
          <w:rFonts w:ascii="Times New Roman" w:hAnsi="Times New Roman" w:eastAsia="方正黑体_GBK" w:cs="Times New Roman"/>
          <w:color w:val="000000" w:themeColor="text1"/>
          <w:sz w:val="28"/>
          <w:szCs w:val="28"/>
          <w14:textFill>
            <w14:solidFill>
              <w14:schemeClr w14:val="tx1"/>
            </w14:solidFill>
          </w14:textFill>
        </w:rPr>
      </w:pPr>
      <w:r>
        <w:rPr>
          <w:rFonts w:ascii="Times New Roman" w:hAnsi="Times New Roman" w:eastAsia="方正黑体_GBK" w:cs="Times New Roman"/>
          <w:color w:val="000000" w:themeColor="text1"/>
          <w:sz w:val="28"/>
          <w:szCs w:val="28"/>
          <w14:textFill>
            <w14:solidFill>
              <w14:schemeClr w14:val="tx1"/>
            </w14:solidFill>
          </w14:textFill>
        </w:rPr>
        <w:t>表2：2024年国民经济和社会发展预期目标</w:t>
      </w:r>
    </w:p>
    <w:tbl>
      <w:tblPr>
        <w:tblStyle w:val="13"/>
        <w:tblW w:w="9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3" w:type="dxa"/>
          <w:bottom w:w="0" w:type="dxa"/>
          <w:right w:w="3" w:type="dxa"/>
        </w:tblCellMar>
      </w:tblPr>
      <w:tblGrid>
        <w:gridCol w:w="605"/>
        <w:gridCol w:w="4426"/>
        <w:gridCol w:w="1728"/>
        <w:gridCol w:w="1059"/>
        <w:gridCol w:w="2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113" w:hRule="atLeast"/>
          <w:tblHeader/>
          <w:jc w:val="center"/>
        </w:trPr>
        <w:tc>
          <w:tcPr>
            <w:tcW w:w="605" w:type="dxa"/>
            <w:vAlign w:val="center"/>
          </w:tcPr>
          <w:p>
            <w:pPr>
              <w:widowControl w:val="0"/>
              <w:spacing w:after="0" w:line="0" w:lineRule="atLeast"/>
              <w:jc w:val="center"/>
              <w:rPr>
                <w:rFonts w:ascii="Times New Roman" w:hAnsi="Times New Roman" w:eastAsia="方正黑体_GBK" w:cs="Times New Roman"/>
                <w:color w:val="000000" w:themeColor="text1"/>
                <w:sz w:val="24"/>
                <w:szCs w:val="24"/>
                <w14:textFill>
                  <w14:solidFill>
                    <w14:schemeClr w14:val="tx1"/>
                  </w14:solidFill>
                </w14:textFill>
              </w:rPr>
            </w:pPr>
            <w:r>
              <w:rPr>
                <w:rFonts w:ascii="Times New Roman" w:hAnsi="Times New Roman" w:eastAsia="方正黑体_GBK" w:cs="Times New Roman"/>
                <w:color w:val="000000" w:themeColor="text1"/>
                <w:sz w:val="24"/>
                <w:szCs w:val="24"/>
                <w14:textFill>
                  <w14:solidFill>
                    <w14:schemeClr w14:val="tx1"/>
                  </w14:solidFill>
                </w14:textFill>
              </w:rPr>
              <w:t>序号</w:t>
            </w:r>
          </w:p>
        </w:tc>
        <w:tc>
          <w:tcPr>
            <w:tcW w:w="4426" w:type="dxa"/>
            <w:vAlign w:val="center"/>
          </w:tcPr>
          <w:p>
            <w:pPr>
              <w:widowControl w:val="0"/>
              <w:spacing w:after="0" w:line="0" w:lineRule="atLeast"/>
              <w:jc w:val="center"/>
              <w:rPr>
                <w:rFonts w:ascii="Times New Roman" w:hAnsi="Times New Roman" w:eastAsia="方正黑体_GBK" w:cs="Times New Roman"/>
                <w:color w:val="000000" w:themeColor="text1"/>
                <w:sz w:val="24"/>
                <w:szCs w:val="24"/>
                <w14:textFill>
                  <w14:solidFill>
                    <w14:schemeClr w14:val="tx1"/>
                  </w14:solidFill>
                </w14:textFill>
              </w:rPr>
            </w:pPr>
            <w:r>
              <w:rPr>
                <w:rFonts w:ascii="Times New Roman" w:hAnsi="Times New Roman" w:eastAsia="方正黑体_GBK" w:cs="Times New Roman"/>
                <w:color w:val="000000" w:themeColor="text1"/>
                <w:sz w:val="24"/>
                <w:szCs w:val="24"/>
                <w14:textFill>
                  <w14:solidFill>
                    <w14:schemeClr w14:val="tx1"/>
                  </w14:solidFill>
                </w14:textFill>
              </w:rPr>
              <w:t>指标名称</w:t>
            </w:r>
          </w:p>
        </w:tc>
        <w:tc>
          <w:tcPr>
            <w:tcW w:w="1728" w:type="dxa"/>
            <w:vAlign w:val="center"/>
          </w:tcPr>
          <w:p>
            <w:pPr>
              <w:widowControl w:val="0"/>
              <w:spacing w:after="0" w:line="0" w:lineRule="atLeast"/>
              <w:jc w:val="center"/>
              <w:rPr>
                <w:rFonts w:ascii="Times New Roman" w:hAnsi="Times New Roman" w:eastAsia="方正黑体_GBK" w:cs="Times New Roman"/>
                <w:color w:val="000000" w:themeColor="text1"/>
                <w:sz w:val="24"/>
                <w:szCs w:val="24"/>
                <w14:textFill>
                  <w14:solidFill>
                    <w14:schemeClr w14:val="tx1"/>
                  </w14:solidFill>
                </w14:textFill>
              </w:rPr>
            </w:pPr>
            <w:r>
              <w:rPr>
                <w:rFonts w:ascii="Times New Roman" w:hAnsi="Times New Roman" w:eastAsia="方正黑体_GBK" w:cs="Times New Roman"/>
                <w:color w:val="000000" w:themeColor="text1"/>
                <w:sz w:val="24"/>
                <w:szCs w:val="24"/>
                <w14:textFill>
                  <w14:solidFill>
                    <w14:schemeClr w14:val="tx1"/>
                  </w14:solidFill>
                </w14:textFill>
              </w:rPr>
              <w:t>单位</w:t>
            </w:r>
          </w:p>
        </w:tc>
        <w:tc>
          <w:tcPr>
            <w:tcW w:w="1059" w:type="dxa"/>
            <w:vAlign w:val="center"/>
          </w:tcPr>
          <w:p>
            <w:pPr>
              <w:widowControl w:val="0"/>
              <w:spacing w:after="0" w:line="0" w:lineRule="atLeast"/>
              <w:jc w:val="center"/>
              <w:rPr>
                <w:rFonts w:ascii="Times New Roman" w:hAnsi="Times New Roman" w:eastAsia="方正黑体_GBK" w:cs="Times New Roman"/>
                <w:color w:val="000000" w:themeColor="text1"/>
                <w:sz w:val="24"/>
                <w:szCs w:val="24"/>
                <w14:textFill>
                  <w14:solidFill>
                    <w14:schemeClr w14:val="tx1"/>
                  </w14:solidFill>
                </w14:textFill>
              </w:rPr>
            </w:pPr>
            <w:r>
              <w:rPr>
                <w:rFonts w:ascii="Times New Roman" w:hAnsi="Times New Roman" w:eastAsia="方正黑体_GBK" w:cs="Times New Roman"/>
                <w:color w:val="000000" w:themeColor="text1"/>
                <w:sz w:val="24"/>
                <w:szCs w:val="24"/>
                <w14:textFill>
                  <w14:solidFill>
                    <w14:schemeClr w14:val="tx1"/>
                  </w14:solidFill>
                </w14:textFill>
              </w:rPr>
              <w:t>指标属性</w:t>
            </w:r>
          </w:p>
        </w:tc>
        <w:tc>
          <w:tcPr>
            <w:tcW w:w="2115" w:type="dxa"/>
            <w:vAlign w:val="center"/>
          </w:tcPr>
          <w:p>
            <w:pPr>
              <w:widowControl w:val="0"/>
              <w:spacing w:after="0" w:line="0" w:lineRule="atLeast"/>
              <w:jc w:val="center"/>
              <w:rPr>
                <w:rFonts w:ascii="Times New Roman" w:hAnsi="Times New Roman" w:eastAsia="方正黑体_GBK" w:cs="Times New Roman"/>
                <w:color w:val="000000" w:themeColor="text1"/>
                <w:sz w:val="24"/>
                <w:szCs w:val="24"/>
                <w14:textFill>
                  <w14:solidFill>
                    <w14:schemeClr w14:val="tx1"/>
                  </w14:solidFill>
                </w14:textFill>
              </w:rPr>
            </w:pPr>
            <w:r>
              <w:rPr>
                <w:rFonts w:ascii="Times New Roman" w:hAnsi="Times New Roman" w:eastAsia="方正黑体_GBK" w:cs="Times New Roman"/>
                <w:color w:val="000000" w:themeColor="text1"/>
                <w:sz w:val="24"/>
                <w:szCs w:val="24"/>
                <w14:textFill>
                  <w14:solidFill>
                    <w14:schemeClr w14:val="tx1"/>
                  </w14:solidFill>
                </w14:textFill>
              </w:rPr>
              <w:t>2024年目标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113" w:hRule="atLeast"/>
          <w:jc w:val="center"/>
        </w:trPr>
        <w:tc>
          <w:tcPr>
            <w:tcW w:w="60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1</w:t>
            </w:r>
          </w:p>
        </w:tc>
        <w:tc>
          <w:tcPr>
            <w:tcW w:w="4426" w:type="dxa"/>
            <w:vAlign w:val="center"/>
          </w:tcPr>
          <w:p>
            <w:pPr>
              <w:widowControl w:val="0"/>
              <w:spacing w:after="0"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地区生产总值增速</w:t>
            </w:r>
          </w:p>
        </w:tc>
        <w:tc>
          <w:tcPr>
            <w:tcW w:w="1728" w:type="dxa"/>
            <w:vAlign w:val="center"/>
          </w:tcPr>
          <w:p>
            <w:pPr>
              <w:widowControl w:val="0"/>
              <w:spacing w:after="0"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w:t>
            </w:r>
          </w:p>
        </w:tc>
        <w:tc>
          <w:tcPr>
            <w:tcW w:w="1059"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2115" w:type="dxa"/>
            <w:vAlign w:val="center"/>
          </w:tcPr>
          <w:p>
            <w:pPr>
              <w:widowControl w:val="0"/>
              <w:spacing w:after="0"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113" w:hRule="atLeast"/>
          <w:jc w:val="center"/>
        </w:trPr>
        <w:tc>
          <w:tcPr>
            <w:tcW w:w="60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2</w:t>
            </w:r>
          </w:p>
        </w:tc>
        <w:tc>
          <w:tcPr>
            <w:tcW w:w="4426" w:type="dxa"/>
            <w:vAlign w:val="center"/>
          </w:tcPr>
          <w:p>
            <w:pPr>
              <w:widowControl w:val="0"/>
              <w:spacing w:after="0"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人均地区生产总值</w:t>
            </w:r>
          </w:p>
        </w:tc>
        <w:tc>
          <w:tcPr>
            <w:tcW w:w="1728" w:type="dxa"/>
            <w:vAlign w:val="center"/>
          </w:tcPr>
          <w:p>
            <w:pPr>
              <w:widowControl w:val="0"/>
              <w:spacing w:after="0"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（万元）</w:t>
            </w:r>
          </w:p>
        </w:tc>
        <w:tc>
          <w:tcPr>
            <w:tcW w:w="1059"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211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15" w:hRule="atLeast"/>
          <w:jc w:val="center"/>
        </w:trPr>
        <w:tc>
          <w:tcPr>
            <w:tcW w:w="60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3</w:t>
            </w:r>
          </w:p>
        </w:tc>
        <w:tc>
          <w:tcPr>
            <w:tcW w:w="4426" w:type="dxa"/>
            <w:vAlign w:val="center"/>
          </w:tcPr>
          <w:p>
            <w:pPr>
              <w:widowControl w:val="0"/>
              <w:spacing w:after="0"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全员劳动生产率</w:t>
            </w:r>
          </w:p>
        </w:tc>
        <w:tc>
          <w:tcPr>
            <w:tcW w:w="1728" w:type="dxa"/>
            <w:vAlign w:val="center"/>
          </w:tcPr>
          <w:p>
            <w:pPr>
              <w:widowControl w:val="0"/>
              <w:spacing w:after="0"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（万元/人）</w:t>
            </w:r>
          </w:p>
        </w:tc>
        <w:tc>
          <w:tcPr>
            <w:tcW w:w="1059"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211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113" w:hRule="atLeast"/>
          <w:jc w:val="center"/>
        </w:trPr>
        <w:tc>
          <w:tcPr>
            <w:tcW w:w="60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4</w:t>
            </w:r>
          </w:p>
        </w:tc>
        <w:tc>
          <w:tcPr>
            <w:tcW w:w="4426" w:type="dxa"/>
            <w:vAlign w:val="center"/>
          </w:tcPr>
          <w:p>
            <w:pPr>
              <w:widowControl w:val="0"/>
              <w:spacing w:after="0"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规上工业增加值增速</w:t>
            </w:r>
          </w:p>
        </w:tc>
        <w:tc>
          <w:tcPr>
            <w:tcW w:w="1728" w:type="dxa"/>
            <w:vAlign w:val="center"/>
          </w:tcPr>
          <w:p>
            <w:pPr>
              <w:widowControl w:val="0"/>
              <w:spacing w:after="0"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w:t>
            </w:r>
          </w:p>
        </w:tc>
        <w:tc>
          <w:tcPr>
            <w:tcW w:w="1059"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211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25" w:hRule="atLeast"/>
          <w:jc w:val="center"/>
        </w:trPr>
        <w:tc>
          <w:tcPr>
            <w:tcW w:w="60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5</w:t>
            </w:r>
          </w:p>
        </w:tc>
        <w:tc>
          <w:tcPr>
            <w:tcW w:w="4426" w:type="dxa"/>
            <w:vAlign w:val="center"/>
          </w:tcPr>
          <w:p>
            <w:pPr>
              <w:widowControl w:val="0"/>
              <w:spacing w:after="0"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固定资产投资增速</w:t>
            </w:r>
          </w:p>
        </w:tc>
        <w:tc>
          <w:tcPr>
            <w:tcW w:w="1728" w:type="dxa"/>
            <w:vAlign w:val="center"/>
          </w:tcPr>
          <w:p>
            <w:pPr>
              <w:widowControl w:val="0"/>
              <w:spacing w:after="0"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w:t>
            </w:r>
          </w:p>
        </w:tc>
        <w:tc>
          <w:tcPr>
            <w:tcW w:w="1059"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211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85" w:hRule="atLeast"/>
          <w:jc w:val="center"/>
        </w:trPr>
        <w:tc>
          <w:tcPr>
            <w:tcW w:w="60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6</w:t>
            </w:r>
          </w:p>
        </w:tc>
        <w:tc>
          <w:tcPr>
            <w:tcW w:w="4426" w:type="dxa"/>
            <w:vAlign w:val="center"/>
          </w:tcPr>
          <w:p>
            <w:pPr>
              <w:widowControl w:val="0"/>
              <w:spacing w:after="0"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工业投资增速</w:t>
            </w:r>
          </w:p>
        </w:tc>
        <w:tc>
          <w:tcPr>
            <w:tcW w:w="1728" w:type="dxa"/>
            <w:vAlign w:val="center"/>
          </w:tcPr>
          <w:p>
            <w:pPr>
              <w:widowControl w:val="0"/>
              <w:spacing w:after="0"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w:t>
            </w:r>
          </w:p>
        </w:tc>
        <w:tc>
          <w:tcPr>
            <w:tcW w:w="1059"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211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113" w:hRule="atLeast"/>
          <w:jc w:val="center"/>
        </w:trPr>
        <w:tc>
          <w:tcPr>
            <w:tcW w:w="60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7</w:t>
            </w:r>
          </w:p>
        </w:tc>
        <w:tc>
          <w:tcPr>
            <w:tcW w:w="4426" w:type="dxa"/>
            <w:vAlign w:val="center"/>
          </w:tcPr>
          <w:p>
            <w:pPr>
              <w:widowControl w:val="0"/>
              <w:spacing w:after="0"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社会消费品零售总额增速</w:t>
            </w:r>
          </w:p>
        </w:tc>
        <w:tc>
          <w:tcPr>
            <w:tcW w:w="1728" w:type="dxa"/>
            <w:vAlign w:val="center"/>
          </w:tcPr>
          <w:p>
            <w:pPr>
              <w:widowControl w:val="0"/>
              <w:spacing w:after="0"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w:t>
            </w:r>
          </w:p>
        </w:tc>
        <w:tc>
          <w:tcPr>
            <w:tcW w:w="1059"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211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113" w:hRule="atLeast"/>
          <w:jc w:val="center"/>
        </w:trPr>
        <w:tc>
          <w:tcPr>
            <w:tcW w:w="60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8</w:t>
            </w:r>
          </w:p>
        </w:tc>
        <w:tc>
          <w:tcPr>
            <w:tcW w:w="4426" w:type="dxa"/>
            <w:vAlign w:val="center"/>
          </w:tcPr>
          <w:p>
            <w:pPr>
              <w:widowControl w:val="0"/>
              <w:spacing w:after="0"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战略性新兴制造业产值占规上工业总产值比重</w:t>
            </w:r>
          </w:p>
        </w:tc>
        <w:tc>
          <w:tcPr>
            <w:tcW w:w="1728" w:type="dxa"/>
            <w:vAlign w:val="center"/>
          </w:tcPr>
          <w:p>
            <w:pPr>
              <w:widowControl w:val="0"/>
              <w:spacing w:after="0"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w:t>
            </w:r>
          </w:p>
        </w:tc>
        <w:tc>
          <w:tcPr>
            <w:tcW w:w="1059"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211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113" w:hRule="atLeast"/>
          <w:jc w:val="center"/>
        </w:trPr>
        <w:tc>
          <w:tcPr>
            <w:tcW w:w="60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9</w:t>
            </w:r>
          </w:p>
        </w:tc>
        <w:tc>
          <w:tcPr>
            <w:tcW w:w="4426" w:type="dxa"/>
            <w:vAlign w:val="center"/>
          </w:tcPr>
          <w:p>
            <w:pPr>
              <w:widowControl w:val="0"/>
              <w:spacing w:after="0"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服务业增加值增速</w:t>
            </w:r>
          </w:p>
        </w:tc>
        <w:tc>
          <w:tcPr>
            <w:tcW w:w="1728" w:type="dxa"/>
            <w:vAlign w:val="center"/>
          </w:tcPr>
          <w:p>
            <w:pPr>
              <w:widowControl w:val="0"/>
              <w:spacing w:after="0"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w:t>
            </w:r>
          </w:p>
        </w:tc>
        <w:tc>
          <w:tcPr>
            <w:tcW w:w="1059"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211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24" w:hRule="atLeast"/>
          <w:jc w:val="center"/>
        </w:trPr>
        <w:tc>
          <w:tcPr>
            <w:tcW w:w="60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10</w:t>
            </w:r>
          </w:p>
        </w:tc>
        <w:tc>
          <w:tcPr>
            <w:tcW w:w="4426" w:type="dxa"/>
            <w:vAlign w:val="center"/>
          </w:tcPr>
          <w:p>
            <w:pPr>
              <w:widowControl w:val="0"/>
              <w:spacing w:after="0"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数字经济核心产业增加值增速</w:t>
            </w:r>
          </w:p>
        </w:tc>
        <w:tc>
          <w:tcPr>
            <w:tcW w:w="1728" w:type="dxa"/>
            <w:vAlign w:val="center"/>
          </w:tcPr>
          <w:p>
            <w:pPr>
              <w:widowControl w:val="0"/>
              <w:spacing w:after="0"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w:t>
            </w:r>
          </w:p>
        </w:tc>
        <w:tc>
          <w:tcPr>
            <w:tcW w:w="1059"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211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113" w:hRule="atLeast"/>
          <w:jc w:val="center"/>
        </w:trPr>
        <w:tc>
          <w:tcPr>
            <w:tcW w:w="60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11</w:t>
            </w:r>
          </w:p>
        </w:tc>
        <w:tc>
          <w:tcPr>
            <w:tcW w:w="4426" w:type="dxa"/>
            <w:vAlign w:val="center"/>
          </w:tcPr>
          <w:p>
            <w:pPr>
              <w:widowControl w:val="0"/>
              <w:spacing w:after="0"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文化产业增加值占地区生产总值比重</w:t>
            </w:r>
          </w:p>
        </w:tc>
        <w:tc>
          <w:tcPr>
            <w:tcW w:w="1728" w:type="dxa"/>
            <w:vAlign w:val="center"/>
          </w:tcPr>
          <w:p>
            <w:pPr>
              <w:widowControl w:val="0"/>
              <w:spacing w:after="0"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w:t>
            </w:r>
          </w:p>
        </w:tc>
        <w:tc>
          <w:tcPr>
            <w:tcW w:w="1059"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211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113" w:hRule="atLeast"/>
          <w:jc w:val="center"/>
        </w:trPr>
        <w:tc>
          <w:tcPr>
            <w:tcW w:w="60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12</w:t>
            </w:r>
          </w:p>
        </w:tc>
        <w:tc>
          <w:tcPr>
            <w:tcW w:w="4426" w:type="dxa"/>
            <w:vAlign w:val="center"/>
          </w:tcPr>
          <w:p>
            <w:pPr>
              <w:widowControl w:val="0"/>
              <w:spacing w:after="0"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研究与试验发展支出占地区生产总值比重</w:t>
            </w:r>
          </w:p>
        </w:tc>
        <w:tc>
          <w:tcPr>
            <w:tcW w:w="1728" w:type="dxa"/>
            <w:vAlign w:val="center"/>
          </w:tcPr>
          <w:p>
            <w:pPr>
              <w:widowControl w:val="0"/>
              <w:spacing w:after="0"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w:t>
            </w:r>
          </w:p>
        </w:tc>
        <w:tc>
          <w:tcPr>
            <w:tcW w:w="1059"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2115" w:type="dxa"/>
            <w:vAlign w:val="center"/>
          </w:tcPr>
          <w:p>
            <w:pPr>
              <w:widowControl w:val="0"/>
              <w:spacing w:after="0" w:line="24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3.7左右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113" w:hRule="atLeast"/>
          <w:jc w:val="center"/>
        </w:trPr>
        <w:tc>
          <w:tcPr>
            <w:tcW w:w="60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13</w:t>
            </w:r>
          </w:p>
        </w:tc>
        <w:tc>
          <w:tcPr>
            <w:tcW w:w="4426" w:type="dxa"/>
            <w:vAlign w:val="center"/>
          </w:tcPr>
          <w:p>
            <w:pPr>
              <w:widowControl w:val="0"/>
              <w:spacing w:after="0"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万人发明专利拥有量</w:t>
            </w:r>
          </w:p>
        </w:tc>
        <w:tc>
          <w:tcPr>
            <w:tcW w:w="1728" w:type="dxa"/>
            <w:vAlign w:val="center"/>
          </w:tcPr>
          <w:p>
            <w:pPr>
              <w:widowControl w:val="0"/>
              <w:spacing w:after="0"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（件）</w:t>
            </w:r>
          </w:p>
        </w:tc>
        <w:tc>
          <w:tcPr>
            <w:tcW w:w="1059"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211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27</w:t>
            </w:r>
            <w:r>
              <w:rPr>
                <w:rFonts w:hint="eastAsia" w:ascii="Times New Roman" w:hAnsi="Times New Roman" w:eastAsia="方正仿宋_GBK" w:cs="Times New Roman"/>
                <w:color w:val="000000" w:themeColor="text1"/>
                <w:sz w:val="24"/>
                <w:szCs w:val="24"/>
                <w14:textFill>
                  <w14:solidFill>
                    <w14:schemeClr w14:val="tx1"/>
                  </w14:solidFill>
                </w14:textFill>
              </w:rPr>
              <w:t>.</w:t>
            </w:r>
            <w:r>
              <w:rPr>
                <w:rFonts w:ascii="Times New Roman" w:hAnsi="Times New Roman" w:eastAsia="方正仿宋_GBK" w:cs="Times New Roman"/>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113" w:hRule="atLeast"/>
          <w:jc w:val="center"/>
        </w:trPr>
        <w:tc>
          <w:tcPr>
            <w:tcW w:w="605" w:type="dxa"/>
            <w:vAlign w:val="center"/>
          </w:tcPr>
          <w:p>
            <w:pPr>
              <w:widowControl w:val="0"/>
              <w:spacing w:after="0"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14</w:t>
            </w:r>
          </w:p>
        </w:tc>
        <w:tc>
          <w:tcPr>
            <w:tcW w:w="4426" w:type="dxa"/>
            <w:vAlign w:val="center"/>
          </w:tcPr>
          <w:p>
            <w:pPr>
              <w:widowControl w:val="0"/>
              <w:spacing w:after="0"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14:textFill>
                  <w14:solidFill>
                    <w14:schemeClr w14:val="tx1"/>
                  </w14:solidFill>
                </w14:textFill>
              </w:rPr>
              <w:t>金融业增加值增速</w:t>
            </w:r>
          </w:p>
        </w:tc>
        <w:tc>
          <w:tcPr>
            <w:tcW w:w="1728" w:type="dxa"/>
            <w:vAlign w:val="center"/>
          </w:tcPr>
          <w:p>
            <w:pPr>
              <w:widowControl w:val="0"/>
              <w:spacing w:after="0"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w:t>
            </w:r>
          </w:p>
        </w:tc>
        <w:tc>
          <w:tcPr>
            <w:tcW w:w="1059"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211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hint="eastAsia" w:ascii="Times New Roman" w:hAnsi="Times New Roman" w:eastAsia="方正仿宋_GBK" w:cs="Times New Roman"/>
                <w:color w:val="000000" w:themeColor="text1"/>
                <w:sz w:val="24"/>
                <w:szCs w:val="24"/>
                <w14:textFill>
                  <w14:solidFill>
                    <w14:schemeClr w14:val="tx1"/>
                  </w14:solidFill>
                </w14:textFill>
              </w:rPr>
              <w:t>正增长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113" w:hRule="atLeast"/>
          <w:jc w:val="center"/>
        </w:trPr>
        <w:tc>
          <w:tcPr>
            <w:tcW w:w="60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15</w:t>
            </w:r>
          </w:p>
        </w:tc>
        <w:tc>
          <w:tcPr>
            <w:tcW w:w="4426" w:type="dxa"/>
            <w:vAlign w:val="center"/>
          </w:tcPr>
          <w:p>
            <w:pPr>
              <w:widowControl w:val="0"/>
              <w:spacing w:after="0"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进出口总额增速</w:t>
            </w:r>
          </w:p>
        </w:tc>
        <w:tc>
          <w:tcPr>
            <w:tcW w:w="1728" w:type="dxa"/>
            <w:vAlign w:val="center"/>
          </w:tcPr>
          <w:p>
            <w:pPr>
              <w:widowControl w:val="0"/>
              <w:spacing w:after="0"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w:t>
            </w:r>
          </w:p>
        </w:tc>
        <w:tc>
          <w:tcPr>
            <w:tcW w:w="1059"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211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113" w:hRule="atLeast"/>
          <w:jc w:val="center"/>
        </w:trPr>
        <w:tc>
          <w:tcPr>
            <w:tcW w:w="60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16</w:t>
            </w:r>
          </w:p>
        </w:tc>
        <w:tc>
          <w:tcPr>
            <w:tcW w:w="4426" w:type="dxa"/>
            <w:vAlign w:val="center"/>
          </w:tcPr>
          <w:p>
            <w:pPr>
              <w:widowControl w:val="0"/>
              <w:spacing w:after="0"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实际使用外资</w:t>
            </w:r>
          </w:p>
        </w:tc>
        <w:tc>
          <w:tcPr>
            <w:tcW w:w="1728" w:type="dxa"/>
            <w:vAlign w:val="center"/>
          </w:tcPr>
          <w:p>
            <w:pPr>
              <w:widowControl w:val="0"/>
              <w:spacing w:after="0"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w:t>
            </w:r>
            <w:r>
              <w:rPr>
                <w:rFonts w:hint="eastAsia" w:ascii="Times New Roman" w:hAnsi="Times New Roman" w:eastAsia="方正仿宋_GBK" w:cs="Times New Roman"/>
                <w:color w:val="000000" w:themeColor="text1"/>
                <w:sz w:val="24"/>
                <w:szCs w:val="24"/>
                <w14:textFill>
                  <w14:solidFill>
                    <w14:schemeClr w14:val="tx1"/>
                  </w14:solidFill>
                </w14:textFill>
              </w:rPr>
              <w:t>万</w:t>
            </w:r>
            <w:r>
              <w:rPr>
                <w:rFonts w:ascii="Times New Roman" w:hAnsi="Times New Roman" w:eastAsia="方正仿宋_GBK" w:cs="Times New Roman"/>
                <w:color w:val="000000" w:themeColor="text1"/>
                <w:sz w:val="24"/>
                <w:szCs w:val="24"/>
                <w14:textFill>
                  <w14:solidFill>
                    <w14:schemeClr w14:val="tx1"/>
                  </w14:solidFill>
                </w14:textFill>
              </w:rPr>
              <w:t>美元）</w:t>
            </w:r>
          </w:p>
        </w:tc>
        <w:tc>
          <w:tcPr>
            <w:tcW w:w="1059"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211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完成市级下达</w:t>
            </w:r>
            <w:r>
              <w:rPr>
                <w:rFonts w:hint="eastAsia" w:ascii="Times New Roman" w:hAnsi="Times New Roman" w:eastAsia="方正仿宋_GBK" w:cs="Times New Roman"/>
                <w:color w:val="000000" w:themeColor="text1"/>
                <w:sz w:val="24"/>
                <w:szCs w:val="24"/>
                <w14:textFill>
                  <w14:solidFill>
                    <w14:schemeClr w14:val="tx1"/>
                  </w14:solidFill>
                </w14:textFill>
              </w:rPr>
              <w:t>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113" w:hRule="atLeast"/>
          <w:jc w:val="center"/>
        </w:trPr>
        <w:tc>
          <w:tcPr>
            <w:tcW w:w="60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17</w:t>
            </w:r>
          </w:p>
        </w:tc>
        <w:tc>
          <w:tcPr>
            <w:tcW w:w="4426" w:type="dxa"/>
            <w:vAlign w:val="center"/>
          </w:tcPr>
          <w:p>
            <w:pPr>
              <w:widowControl w:val="0"/>
              <w:spacing w:after="0"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民营经济市场主体</w:t>
            </w:r>
          </w:p>
        </w:tc>
        <w:tc>
          <w:tcPr>
            <w:tcW w:w="1728" w:type="dxa"/>
            <w:vAlign w:val="center"/>
          </w:tcPr>
          <w:p>
            <w:pPr>
              <w:widowControl w:val="0"/>
              <w:spacing w:after="0"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（家）</w:t>
            </w:r>
          </w:p>
        </w:tc>
        <w:tc>
          <w:tcPr>
            <w:tcW w:w="1059"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211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44000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113" w:hRule="atLeast"/>
          <w:jc w:val="center"/>
        </w:trPr>
        <w:tc>
          <w:tcPr>
            <w:tcW w:w="60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18</w:t>
            </w:r>
          </w:p>
        </w:tc>
        <w:tc>
          <w:tcPr>
            <w:tcW w:w="4426" w:type="dxa"/>
            <w:vAlign w:val="center"/>
          </w:tcPr>
          <w:p>
            <w:pPr>
              <w:widowControl w:val="0"/>
              <w:spacing w:after="0"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民营经济增加值增速</w:t>
            </w:r>
          </w:p>
        </w:tc>
        <w:tc>
          <w:tcPr>
            <w:tcW w:w="1728" w:type="dxa"/>
            <w:vAlign w:val="center"/>
          </w:tcPr>
          <w:p>
            <w:pPr>
              <w:widowControl w:val="0"/>
              <w:spacing w:after="0"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w:t>
            </w:r>
          </w:p>
        </w:tc>
        <w:tc>
          <w:tcPr>
            <w:tcW w:w="1059"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211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26" w:hRule="atLeast"/>
          <w:jc w:val="center"/>
        </w:trPr>
        <w:tc>
          <w:tcPr>
            <w:tcW w:w="60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19</w:t>
            </w:r>
          </w:p>
        </w:tc>
        <w:tc>
          <w:tcPr>
            <w:tcW w:w="4426" w:type="dxa"/>
            <w:vAlign w:val="center"/>
          </w:tcPr>
          <w:p>
            <w:pPr>
              <w:widowControl w:val="0"/>
              <w:spacing w:after="0"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一般公共预算收入增速</w:t>
            </w:r>
          </w:p>
        </w:tc>
        <w:tc>
          <w:tcPr>
            <w:tcW w:w="1728" w:type="dxa"/>
            <w:vAlign w:val="center"/>
          </w:tcPr>
          <w:p>
            <w:pPr>
              <w:widowControl w:val="0"/>
              <w:spacing w:after="0"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w:t>
            </w:r>
          </w:p>
        </w:tc>
        <w:tc>
          <w:tcPr>
            <w:tcW w:w="1059"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211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113" w:hRule="atLeast"/>
          <w:jc w:val="center"/>
        </w:trPr>
        <w:tc>
          <w:tcPr>
            <w:tcW w:w="60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20</w:t>
            </w:r>
          </w:p>
        </w:tc>
        <w:tc>
          <w:tcPr>
            <w:tcW w:w="4426" w:type="dxa"/>
            <w:vAlign w:val="center"/>
          </w:tcPr>
          <w:p>
            <w:pPr>
              <w:widowControl w:val="0"/>
              <w:spacing w:after="0"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单位地区生产总值能源消耗降低</w:t>
            </w:r>
          </w:p>
        </w:tc>
        <w:tc>
          <w:tcPr>
            <w:tcW w:w="1728" w:type="dxa"/>
            <w:vAlign w:val="center"/>
          </w:tcPr>
          <w:p>
            <w:pPr>
              <w:widowControl w:val="0"/>
              <w:spacing w:after="0"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w:t>
            </w:r>
          </w:p>
        </w:tc>
        <w:tc>
          <w:tcPr>
            <w:tcW w:w="1059"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约束性</w:t>
            </w:r>
          </w:p>
        </w:tc>
        <w:tc>
          <w:tcPr>
            <w:tcW w:w="211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完成市级下达任务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113" w:hRule="atLeast"/>
          <w:jc w:val="center"/>
        </w:trPr>
        <w:tc>
          <w:tcPr>
            <w:tcW w:w="60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21</w:t>
            </w:r>
          </w:p>
        </w:tc>
        <w:tc>
          <w:tcPr>
            <w:tcW w:w="4426" w:type="dxa"/>
            <w:vAlign w:val="center"/>
          </w:tcPr>
          <w:p>
            <w:pPr>
              <w:widowControl w:val="0"/>
              <w:spacing w:after="0"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单位地区生产总值二氧化碳排放降低</w:t>
            </w:r>
          </w:p>
        </w:tc>
        <w:tc>
          <w:tcPr>
            <w:tcW w:w="1728" w:type="dxa"/>
            <w:vAlign w:val="center"/>
          </w:tcPr>
          <w:p>
            <w:pPr>
              <w:widowControl w:val="0"/>
              <w:spacing w:after="0"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w:t>
            </w:r>
          </w:p>
        </w:tc>
        <w:tc>
          <w:tcPr>
            <w:tcW w:w="1059"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约束性</w:t>
            </w:r>
          </w:p>
        </w:tc>
        <w:tc>
          <w:tcPr>
            <w:tcW w:w="211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完成市级下达任务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327" w:hRule="atLeast"/>
          <w:jc w:val="center"/>
        </w:trPr>
        <w:tc>
          <w:tcPr>
            <w:tcW w:w="60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22</w:t>
            </w:r>
          </w:p>
        </w:tc>
        <w:tc>
          <w:tcPr>
            <w:tcW w:w="4426" w:type="dxa"/>
            <w:vAlign w:val="center"/>
          </w:tcPr>
          <w:p>
            <w:pPr>
              <w:widowControl w:val="0"/>
              <w:spacing w:after="0"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国家考核断面水质优良率</w:t>
            </w:r>
          </w:p>
        </w:tc>
        <w:tc>
          <w:tcPr>
            <w:tcW w:w="1728" w:type="dxa"/>
            <w:vAlign w:val="center"/>
          </w:tcPr>
          <w:p>
            <w:pPr>
              <w:widowControl w:val="0"/>
              <w:spacing w:after="0"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w:t>
            </w:r>
          </w:p>
        </w:tc>
        <w:tc>
          <w:tcPr>
            <w:tcW w:w="1059"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约束性</w:t>
            </w:r>
          </w:p>
        </w:tc>
        <w:tc>
          <w:tcPr>
            <w:tcW w:w="211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113" w:hRule="atLeast"/>
          <w:jc w:val="center"/>
        </w:trPr>
        <w:tc>
          <w:tcPr>
            <w:tcW w:w="60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23</w:t>
            </w:r>
          </w:p>
        </w:tc>
        <w:tc>
          <w:tcPr>
            <w:tcW w:w="4426" w:type="dxa"/>
            <w:vAlign w:val="center"/>
          </w:tcPr>
          <w:p>
            <w:pPr>
              <w:widowControl w:val="0"/>
              <w:spacing w:after="0"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环境空气质量优良天数</w:t>
            </w:r>
          </w:p>
        </w:tc>
        <w:tc>
          <w:tcPr>
            <w:tcW w:w="1728" w:type="dxa"/>
            <w:vAlign w:val="center"/>
          </w:tcPr>
          <w:p>
            <w:pPr>
              <w:widowControl w:val="0"/>
              <w:spacing w:after="0"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（天）</w:t>
            </w:r>
          </w:p>
        </w:tc>
        <w:tc>
          <w:tcPr>
            <w:tcW w:w="1059"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约束性</w:t>
            </w:r>
          </w:p>
        </w:tc>
        <w:tc>
          <w:tcPr>
            <w:tcW w:w="211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113" w:hRule="atLeast"/>
          <w:jc w:val="center"/>
        </w:trPr>
        <w:tc>
          <w:tcPr>
            <w:tcW w:w="60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24</w:t>
            </w:r>
          </w:p>
        </w:tc>
        <w:tc>
          <w:tcPr>
            <w:tcW w:w="4426" w:type="dxa"/>
            <w:vAlign w:val="center"/>
          </w:tcPr>
          <w:p>
            <w:pPr>
              <w:widowControl w:val="0"/>
              <w:spacing w:after="0"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森林覆盖率</w:t>
            </w:r>
          </w:p>
        </w:tc>
        <w:tc>
          <w:tcPr>
            <w:tcW w:w="1728" w:type="dxa"/>
            <w:vAlign w:val="center"/>
          </w:tcPr>
          <w:p>
            <w:pPr>
              <w:widowControl w:val="0"/>
              <w:spacing w:after="0"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w:t>
            </w:r>
          </w:p>
        </w:tc>
        <w:tc>
          <w:tcPr>
            <w:tcW w:w="1059"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约束性</w:t>
            </w:r>
          </w:p>
        </w:tc>
        <w:tc>
          <w:tcPr>
            <w:tcW w:w="211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481" w:hRule="atLeast"/>
          <w:jc w:val="center"/>
        </w:trPr>
        <w:tc>
          <w:tcPr>
            <w:tcW w:w="60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25</w:t>
            </w:r>
          </w:p>
        </w:tc>
        <w:tc>
          <w:tcPr>
            <w:tcW w:w="4426" w:type="dxa"/>
            <w:vAlign w:val="center"/>
          </w:tcPr>
          <w:p>
            <w:pPr>
              <w:widowControl w:val="0"/>
              <w:spacing w:after="0"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人均公园绿地面积</w:t>
            </w:r>
          </w:p>
        </w:tc>
        <w:tc>
          <w:tcPr>
            <w:tcW w:w="1728" w:type="dxa"/>
            <w:vAlign w:val="center"/>
          </w:tcPr>
          <w:p>
            <w:pPr>
              <w:widowControl w:val="0"/>
              <w:spacing w:after="0"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（平方米）</w:t>
            </w:r>
          </w:p>
        </w:tc>
        <w:tc>
          <w:tcPr>
            <w:tcW w:w="1059"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约束性</w:t>
            </w:r>
          </w:p>
        </w:tc>
        <w:tc>
          <w:tcPr>
            <w:tcW w:w="211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25左右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685" w:hRule="atLeast"/>
          <w:jc w:val="center"/>
        </w:trPr>
        <w:tc>
          <w:tcPr>
            <w:tcW w:w="60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26</w:t>
            </w:r>
          </w:p>
        </w:tc>
        <w:tc>
          <w:tcPr>
            <w:tcW w:w="4426" w:type="dxa"/>
            <w:vAlign w:val="center"/>
          </w:tcPr>
          <w:p>
            <w:pPr>
              <w:widowControl w:val="0"/>
              <w:spacing w:after="0"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建成区路网密度</w:t>
            </w:r>
          </w:p>
        </w:tc>
        <w:tc>
          <w:tcPr>
            <w:tcW w:w="1728" w:type="dxa"/>
            <w:vAlign w:val="center"/>
          </w:tcPr>
          <w:p>
            <w:pPr>
              <w:widowControl w:val="0"/>
              <w:spacing w:after="0"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（公里/平方公里）</w:t>
            </w:r>
          </w:p>
        </w:tc>
        <w:tc>
          <w:tcPr>
            <w:tcW w:w="1059"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211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6.95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415" w:hRule="atLeast"/>
          <w:jc w:val="center"/>
        </w:trPr>
        <w:tc>
          <w:tcPr>
            <w:tcW w:w="60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27</w:t>
            </w:r>
          </w:p>
        </w:tc>
        <w:tc>
          <w:tcPr>
            <w:tcW w:w="4426" w:type="dxa"/>
            <w:vAlign w:val="center"/>
          </w:tcPr>
          <w:p>
            <w:pPr>
              <w:widowControl w:val="0"/>
              <w:spacing w:after="0"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全区居民人均可支配收入增速</w:t>
            </w:r>
          </w:p>
        </w:tc>
        <w:tc>
          <w:tcPr>
            <w:tcW w:w="1728" w:type="dxa"/>
            <w:vAlign w:val="center"/>
          </w:tcPr>
          <w:p>
            <w:pPr>
              <w:widowControl w:val="0"/>
              <w:spacing w:after="0"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w:t>
            </w:r>
          </w:p>
        </w:tc>
        <w:tc>
          <w:tcPr>
            <w:tcW w:w="1059"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211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与GDP增长同步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415" w:hRule="atLeast"/>
          <w:jc w:val="center"/>
        </w:trPr>
        <w:tc>
          <w:tcPr>
            <w:tcW w:w="60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28</w:t>
            </w:r>
          </w:p>
        </w:tc>
        <w:tc>
          <w:tcPr>
            <w:tcW w:w="4426" w:type="dxa"/>
            <w:vAlign w:val="center"/>
          </w:tcPr>
          <w:p>
            <w:pPr>
              <w:widowControl w:val="0"/>
              <w:spacing w:after="0"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城镇新增就业人数</w:t>
            </w:r>
          </w:p>
        </w:tc>
        <w:tc>
          <w:tcPr>
            <w:tcW w:w="1728" w:type="dxa"/>
            <w:vAlign w:val="center"/>
          </w:tcPr>
          <w:p>
            <w:pPr>
              <w:widowControl w:val="0"/>
              <w:spacing w:after="0"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（人）</w:t>
            </w:r>
          </w:p>
        </w:tc>
        <w:tc>
          <w:tcPr>
            <w:tcW w:w="1059"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211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10500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415" w:hRule="atLeast"/>
          <w:jc w:val="center"/>
        </w:trPr>
        <w:tc>
          <w:tcPr>
            <w:tcW w:w="60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29</w:t>
            </w:r>
          </w:p>
        </w:tc>
        <w:tc>
          <w:tcPr>
            <w:tcW w:w="4426" w:type="dxa"/>
            <w:vAlign w:val="center"/>
          </w:tcPr>
          <w:p>
            <w:pPr>
              <w:widowControl w:val="0"/>
              <w:spacing w:after="0"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每千名老人养老床位数</w:t>
            </w:r>
          </w:p>
        </w:tc>
        <w:tc>
          <w:tcPr>
            <w:tcW w:w="1728" w:type="dxa"/>
            <w:vAlign w:val="center"/>
          </w:tcPr>
          <w:p>
            <w:pPr>
              <w:widowControl w:val="0"/>
              <w:spacing w:after="0"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（张）</w:t>
            </w:r>
          </w:p>
        </w:tc>
        <w:tc>
          <w:tcPr>
            <w:tcW w:w="1059"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211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415" w:hRule="atLeast"/>
          <w:jc w:val="center"/>
        </w:trPr>
        <w:tc>
          <w:tcPr>
            <w:tcW w:w="60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30</w:t>
            </w:r>
          </w:p>
        </w:tc>
        <w:tc>
          <w:tcPr>
            <w:tcW w:w="4426" w:type="dxa"/>
            <w:vAlign w:val="center"/>
          </w:tcPr>
          <w:p>
            <w:pPr>
              <w:widowControl w:val="0"/>
              <w:spacing w:after="0"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每千人口拥有3岁以下婴幼儿托位数</w:t>
            </w:r>
          </w:p>
        </w:tc>
        <w:tc>
          <w:tcPr>
            <w:tcW w:w="1728" w:type="dxa"/>
            <w:vAlign w:val="center"/>
          </w:tcPr>
          <w:p>
            <w:pPr>
              <w:widowControl w:val="0"/>
              <w:spacing w:after="0"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（个）</w:t>
            </w:r>
          </w:p>
        </w:tc>
        <w:tc>
          <w:tcPr>
            <w:tcW w:w="1059"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211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415" w:hRule="atLeast"/>
          <w:jc w:val="center"/>
        </w:trPr>
        <w:tc>
          <w:tcPr>
            <w:tcW w:w="60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31</w:t>
            </w:r>
          </w:p>
        </w:tc>
        <w:tc>
          <w:tcPr>
            <w:tcW w:w="4426" w:type="dxa"/>
            <w:vAlign w:val="center"/>
          </w:tcPr>
          <w:p>
            <w:pPr>
              <w:widowControl w:val="0"/>
              <w:spacing w:after="0"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每千人口拥有执业（助理）医师数</w:t>
            </w:r>
          </w:p>
        </w:tc>
        <w:tc>
          <w:tcPr>
            <w:tcW w:w="1728" w:type="dxa"/>
            <w:vAlign w:val="center"/>
          </w:tcPr>
          <w:p>
            <w:pPr>
              <w:widowControl w:val="0"/>
              <w:spacing w:after="0"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（人）</w:t>
            </w:r>
          </w:p>
        </w:tc>
        <w:tc>
          <w:tcPr>
            <w:tcW w:w="1059"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预期性</w:t>
            </w:r>
          </w:p>
        </w:tc>
        <w:tc>
          <w:tcPr>
            <w:tcW w:w="211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415" w:hRule="atLeast"/>
          <w:jc w:val="center"/>
        </w:trPr>
        <w:tc>
          <w:tcPr>
            <w:tcW w:w="60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32</w:t>
            </w:r>
          </w:p>
        </w:tc>
        <w:tc>
          <w:tcPr>
            <w:tcW w:w="4426" w:type="dxa"/>
            <w:vAlign w:val="center"/>
          </w:tcPr>
          <w:p>
            <w:pPr>
              <w:widowControl w:val="0"/>
              <w:spacing w:after="0"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公办园在园幼儿人数占比</w:t>
            </w:r>
          </w:p>
        </w:tc>
        <w:tc>
          <w:tcPr>
            <w:tcW w:w="1728" w:type="dxa"/>
            <w:vAlign w:val="center"/>
          </w:tcPr>
          <w:p>
            <w:pPr>
              <w:widowControl w:val="0"/>
              <w:spacing w:after="0"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w:t>
            </w:r>
          </w:p>
        </w:tc>
        <w:tc>
          <w:tcPr>
            <w:tcW w:w="1059"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约束性</w:t>
            </w:r>
          </w:p>
        </w:tc>
        <w:tc>
          <w:tcPr>
            <w:tcW w:w="211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 w:type="dxa"/>
            <w:bottom w:w="0" w:type="dxa"/>
            <w:right w:w="3" w:type="dxa"/>
          </w:tblCellMar>
        </w:tblPrEx>
        <w:trPr>
          <w:trHeight w:val="415" w:hRule="atLeast"/>
          <w:jc w:val="center"/>
        </w:trPr>
        <w:tc>
          <w:tcPr>
            <w:tcW w:w="60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33</w:t>
            </w:r>
          </w:p>
        </w:tc>
        <w:tc>
          <w:tcPr>
            <w:tcW w:w="4426" w:type="dxa"/>
            <w:vAlign w:val="center"/>
          </w:tcPr>
          <w:p>
            <w:pPr>
              <w:widowControl w:val="0"/>
              <w:spacing w:after="0" w:line="300" w:lineRule="exact"/>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安全事故死亡人数</w:t>
            </w:r>
          </w:p>
        </w:tc>
        <w:tc>
          <w:tcPr>
            <w:tcW w:w="1728" w:type="dxa"/>
            <w:vAlign w:val="center"/>
          </w:tcPr>
          <w:p>
            <w:pPr>
              <w:widowControl w:val="0"/>
              <w:spacing w:after="0" w:line="300" w:lineRule="exac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（人）</w:t>
            </w:r>
          </w:p>
        </w:tc>
        <w:tc>
          <w:tcPr>
            <w:tcW w:w="1059"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约束性</w:t>
            </w:r>
          </w:p>
        </w:tc>
        <w:tc>
          <w:tcPr>
            <w:tcW w:w="2115" w:type="dxa"/>
            <w:vAlign w:val="center"/>
          </w:tcPr>
          <w:p>
            <w:pPr>
              <w:widowControl w:val="0"/>
              <w:spacing w:after="0" w:line="0" w:lineRule="atLeast"/>
              <w:jc w:val="center"/>
              <w:rPr>
                <w:rFonts w:ascii="Times New Roman" w:hAnsi="Times New Roman" w:eastAsia="方正仿宋_GBK" w:cs="Times New Roman"/>
                <w:color w:val="000000" w:themeColor="text1"/>
                <w:sz w:val="24"/>
                <w:szCs w:val="24"/>
                <w14:textFill>
                  <w14:solidFill>
                    <w14:schemeClr w14:val="tx1"/>
                  </w14:solidFill>
                </w14:textFill>
              </w:rPr>
            </w:pPr>
            <w:r>
              <w:rPr>
                <w:rFonts w:ascii="Times New Roman" w:hAnsi="Times New Roman" w:eastAsia="方正仿宋_GBK" w:cs="Times New Roman"/>
                <w:color w:val="000000" w:themeColor="text1"/>
                <w:sz w:val="24"/>
                <w:szCs w:val="24"/>
                <w14:textFill>
                  <w14:solidFill>
                    <w14:schemeClr w14:val="tx1"/>
                  </w14:solidFill>
                </w14:textFill>
              </w:rPr>
              <w:t>≤14</w:t>
            </w:r>
          </w:p>
        </w:tc>
      </w:tr>
    </w:tbl>
    <w:p>
      <w:pPr>
        <w:widowControl w:val="0"/>
        <w:spacing w:after="0" w:line="594" w:lineRule="exact"/>
        <w:ind w:firstLine="640" w:firstLineChars="200"/>
        <w:jc w:val="both"/>
        <w:rPr>
          <w:rFonts w:ascii="Times New Roman" w:hAnsi="Times New Roman" w:eastAsia="方正楷体_GBK" w:cs="Times New Roman"/>
          <w:color w:val="000000" w:themeColor="text1"/>
          <w:kern w:val="2"/>
          <w:sz w:val="32"/>
          <w:szCs w:val="32"/>
          <w14:textFill>
            <w14:solidFill>
              <w14:schemeClr w14:val="tx1"/>
            </w14:solidFill>
          </w14:textFill>
        </w:rPr>
      </w:pPr>
      <w:r>
        <w:rPr>
          <w:rFonts w:ascii="Times New Roman" w:hAnsi="Times New Roman" w:eastAsia="方正楷体_GBK" w:cs="Times New Roman"/>
          <w:color w:val="000000" w:themeColor="text1"/>
          <w:kern w:val="2"/>
          <w:sz w:val="32"/>
          <w:szCs w:val="32"/>
          <w14:textFill>
            <w14:solidFill>
              <w14:schemeClr w14:val="tx1"/>
            </w14:solidFill>
          </w14:textFill>
        </w:rPr>
        <w:t>（</w:t>
      </w:r>
      <w:r>
        <w:rPr>
          <w:rFonts w:hint="eastAsia" w:ascii="Times New Roman" w:hAnsi="Times New Roman" w:eastAsia="方正楷体_GBK" w:cs="Times New Roman"/>
          <w:color w:val="000000" w:themeColor="text1"/>
          <w:kern w:val="2"/>
          <w:sz w:val="32"/>
          <w:szCs w:val="32"/>
          <w14:textFill>
            <w14:solidFill>
              <w14:schemeClr w14:val="tx1"/>
            </w14:solidFill>
          </w14:textFill>
        </w:rPr>
        <w:t>二</w:t>
      </w:r>
      <w:r>
        <w:rPr>
          <w:rFonts w:ascii="Times New Roman" w:hAnsi="Times New Roman" w:eastAsia="方正楷体_GBK" w:cs="Times New Roman"/>
          <w:color w:val="000000" w:themeColor="text1"/>
          <w:kern w:val="2"/>
          <w:sz w:val="32"/>
          <w:szCs w:val="32"/>
          <w14:textFill>
            <w14:solidFill>
              <w14:schemeClr w14:val="tx1"/>
            </w14:solidFill>
          </w14:textFill>
        </w:rPr>
        <w:t>）重点项目安排</w:t>
      </w:r>
    </w:p>
    <w:p>
      <w:pPr>
        <w:widowControl w:val="0"/>
        <w:topLinePunct/>
        <w:spacing w:after="0" w:line="594" w:lineRule="exact"/>
        <w:ind w:firstLine="640" w:firstLineChars="200"/>
        <w:jc w:val="both"/>
        <w:rPr>
          <w:rFonts w:ascii="Times New Roman" w:hAnsi="Times New Roman" w:eastAsia="方正仿宋_GBK" w:cs="Times New Roman"/>
          <w:color w:val="000000" w:themeColor="text1"/>
          <w:kern w:val="2"/>
          <w:sz w:val="32"/>
          <w:szCs w:val="32"/>
          <w14:textFill>
            <w14:solidFill>
              <w14:schemeClr w14:val="tx1"/>
            </w14:solidFill>
          </w14:textFill>
        </w:rPr>
      </w:pPr>
      <w:r>
        <w:rPr>
          <w:rFonts w:ascii="Times New Roman" w:hAnsi="Times New Roman" w:eastAsia="方正仿宋_GBK" w:cs="Times New Roman"/>
          <w:color w:val="000000" w:themeColor="text1"/>
          <w:kern w:val="2"/>
          <w:sz w:val="32"/>
          <w:szCs w:val="32"/>
          <w14:textFill>
            <w14:solidFill>
              <w14:schemeClr w14:val="tx1"/>
            </w14:solidFill>
          </w14:textFill>
        </w:rPr>
        <w:t>2024</w:t>
      </w:r>
      <w:r>
        <w:rPr>
          <w:rFonts w:hint="eastAsia" w:ascii="Times New Roman" w:hAnsi="Times New Roman" w:eastAsia="方正仿宋_GBK" w:cs="Times New Roman"/>
          <w:color w:val="000000" w:themeColor="text1"/>
          <w:kern w:val="2"/>
          <w:sz w:val="32"/>
          <w:szCs w:val="32"/>
          <w14:textFill>
            <w14:solidFill>
              <w14:schemeClr w14:val="tx1"/>
            </w14:solidFill>
          </w14:textFill>
        </w:rPr>
        <w:t>年全区拟实施建设项目</w:t>
      </w:r>
      <w:r>
        <w:rPr>
          <w:rFonts w:ascii="Times New Roman" w:hAnsi="Times New Roman" w:eastAsia="方正仿宋_GBK" w:cs="Times New Roman"/>
          <w:color w:val="000000" w:themeColor="text1"/>
          <w:kern w:val="2"/>
          <w:sz w:val="32"/>
          <w:szCs w:val="32"/>
          <w14:textFill>
            <w14:solidFill>
              <w14:schemeClr w14:val="tx1"/>
            </w14:solidFill>
          </w14:textFill>
        </w:rPr>
        <w:t>360</w:t>
      </w:r>
      <w:r>
        <w:rPr>
          <w:rFonts w:hint="eastAsia" w:ascii="Times New Roman" w:hAnsi="Times New Roman" w:eastAsia="方正仿宋_GBK" w:cs="Times New Roman"/>
          <w:color w:val="000000" w:themeColor="text1"/>
          <w:kern w:val="2"/>
          <w:sz w:val="32"/>
          <w:szCs w:val="32"/>
          <w14:textFill>
            <w14:solidFill>
              <w14:schemeClr w14:val="tx1"/>
            </w14:solidFill>
          </w14:textFill>
        </w:rPr>
        <w:t>个，总投资</w:t>
      </w:r>
      <w:r>
        <w:rPr>
          <w:rFonts w:ascii="Times New Roman" w:hAnsi="Times New Roman" w:eastAsia="方正仿宋_GBK" w:cs="Times New Roman"/>
          <w:color w:val="000000" w:themeColor="text1"/>
          <w:kern w:val="2"/>
          <w:sz w:val="32"/>
          <w:szCs w:val="32"/>
          <w14:textFill>
            <w14:solidFill>
              <w14:schemeClr w14:val="tx1"/>
            </w14:solidFill>
          </w14:textFill>
        </w:rPr>
        <w:t>2108</w:t>
      </w:r>
      <w:r>
        <w:rPr>
          <w:rFonts w:hint="eastAsia" w:ascii="Times New Roman"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3</w:t>
      </w:r>
      <w:r>
        <w:rPr>
          <w:rFonts w:hint="eastAsia" w:ascii="Times New Roman" w:hAnsi="Times New Roman" w:eastAsia="方正仿宋_GBK" w:cs="Times New Roman"/>
          <w:color w:val="000000" w:themeColor="text1"/>
          <w:kern w:val="2"/>
          <w:sz w:val="32"/>
          <w:szCs w:val="32"/>
          <w14:textFill>
            <w14:solidFill>
              <w14:schemeClr w14:val="tx1"/>
            </w14:solidFill>
          </w14:textFill>
        </w:rPr>
        <w:t>亿元，年度计划投资</w:t>
      </w:r>
      <w:r>
        <w:rPr>
          <w:rFonts w:ascii="Times New Roman" w:hAnsi="Times New Roman" w:eastAsia="方正仿宋_GBK" w:cs="Times New Roman"/>
          <w:color w:val="000000" w:themeColor="text1"/>
          <w:kern w:val="2"/>
          <w:sz w:val="32"/>
          <w:szCs w:val="32"/>
          <w14:textFill>
            <w14:solidFill>
              <w14:schemeClr w14:val="tx1"/>
            </w14:solidFill>
          </w14:textFill>
        </w:rPr>
        <w:t>243</w:t>
      </w:r>
      <w:r>
        <w:rPr>
          <w:rFonts w:hint="eastAsia" w:ascii="Times New Roman" w:hAnsi="Times New Roman" w:eastAsia="方正仿宋_GBK" w:cs="Times New Roman"/>
          <w:color w:val="000000" w:themeColor="text1"/>
          <w:kern w:val="2"/>
          <w:sz w:val="32"/>
          <w:szCs w:val="32"/>
          <w14:textFill>
            <w14:solidFill>
              <w14:schemeClr w14:val="tx1"/>
            </w14:solidFill>
          </w14:textFill>
        </w:rPr>
        <w:t>亿元。按投资主体分：市级投资项目</w:t>
      </w:r>
      <w:r>
        <w:rPr>
          <w:rFonts w:ascii="Times New Roman" w:hAnsi="Times New Roman" w:eastAsia="方正仿宋_GBK" w:cs="Times New Roman"/>
          <w:color w:val="000000" w:themeColor="text1"/>
          <w:kern w:val="2"/>
          <w:sz w:val="32"/>
          <w:szCs w:val="32"/>
          <w14:textFill>
            <w14:solidFill>
              <w14:schemeClr w14:val="tx1"/>
            </w14:solidFill>
          </w14:textFill>
        </w:rPr>
        <w:t>81</w:t>
      </w:r>
      <w:r>
        <w:rPr>
          <w:rFonts w:hint="eastAsia" w:ascii="Times New Roman" w:hAnsi="Times New Roman" w:eastAsia="方正仿宋_GBK" w:cs="Times New Roman"/>
          <w:color w:val="000000" w:themeColor="text1"/>
          <w:kern w:val="2"/>
          <w:sz w:val="32"/>
          <w:szCs w:val="32"/>
          <w14:textFill>
            <w14:solidFill>
              <w14:schemeClr w14:val="tx1"/>
            </w14:solidFill>
          </w14:textFill>
        </w:rPr>
        <w:t>个、计划投资</w:t>
      </w:r>
      <w:r>
        <w:rPr>
          <w:rFonts w:ascii="Times New Roman" w:hAnsi="Times New Roman" w:eastAsia="方正仿宋_GBK" w:cs="Times New Roman"/>
          <w:color w:val="000000" w:themeColor="text1"/>
          <w:kern w:val="2"/>
          <w:sz w:val="32"/>
          <w:szCs w:val="32"/>
          <w14:textFill>
            <w14:solidFill>
              <w14:schemeClr w14:val="tx1"/>
            </w14:solidFill>
          </w14:textFill>
        </w:rPr>
        <w:t>50</w:t>
      </w:r>
      <w:r>
        <w:rPr>
          <w:rFonts w:hint="eastAsia" w:ascii="Times New Roman"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5</w:t>
      </w:r>
      <w:r>
        <w:rPr>
          <w:rFonts w:hint="eastAsia" w:ascii="Times New Roman" w:hAnsi="Times New Roman" w:eastAsia="方正仿宋_GBK" w:cs="Times New Roman"/>
          <w:color w:val="000000" w:themeColor="text1"/>
          <w:kern w:val="2"/>
          <w:sz w:val="32"/>
          <w:szCs w:val="32"/>
          <w14:textFill>
            <w14:solidFill>
              <w14:schemeClr w14:val="tx1"/>
            </w14:solidFill>
          </w14:textFill>
        </w:rPr>
        <w:t>亿元；区政府投资项目</w:t>
      </w:r>
      <w:r>
        <w:rPr>
          <w:rFonts w:ascii="Times New Roman" w:hAnsi="Times New Roman" w:eastAsia="方正仿宋_GBK" w:cs="Times New Roman"/>
          <w:color w:val="000000" w:themeColor="text1"/>
          <w:kern w:val="2"/>
          <w:sz w:val="32"/>
          <w:szCs w:val="32"/>
          <w14:textFill>
            <w14:solidFill>
              <w14:schemeClr w14:val="tx1"/>
            </w14:solidFill>
          </w14:textFill>
        </w:rPr>
        <w:t>145</w:t>
      </w:r>
      <w:r>
        <w:rPr>
          <w:rFonts w:hint="eastAsia" w:ascii="Times New Roman" w:hAnsi="Times New Roman" w:eastAsia="方正仿宋_GBK" w:cs="Times New Roman"/>
          <w:color w:val="000000" w:themeColor="text1"/>
          <w:kern w:val="2"/>
          <w:sz w:val="32"/>
          <w:szCs w:val="32"/>
          <w14:textFill>
            <w14:solidFill>
              <w14:schemeClr w14:val="tx1"/>
            </w14:solidFill>
          </w14:textFill>
        </w:rPr>
        <w:t>个（含区属平台公司)、计划投资</w:t>
      </w:r>
      <w:r>
        <w:rPr>
          <w:rFonts w:ascii="Times New Roman" w:hAnsi="Times New Roman" w:eastAsia="方正仿宋_GBK" w:cs="Times New Roman"/>
          <w:color w:val="000000" w:themeColor="text1"/>
          <w:kern w:val="2"/>
          <w:sz w:val="32"/>
          <w:szCs w:val="32"/>
          <w14:textFill>
            <w14:solidFill>
              <w14:schemeClr w14:val="tx1"/>
            </w14:solidFill>
          </w14:textFill>
        </w:rPr>
        <w:t>68</w:t>
      </w:r>
      <w:r>
        <w:rPr>
          <w:rFonts w:hint="eastAsia" w:ascii="Times New Roman"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7</w:t>
      </w:r>
      <w:r>
        <w:rPr>
          <w:rFonts w:hint="eastAsia" w:ascii="Times New Roman" w:hAnsi="Times New Roman" w:eastAsia="方正仿宋_GBK" w:cs="Times New Roman"/>
          <w:color w:val="000000" w:themeColor="text1"/>
          <w:kern w:val="2"/>
          <w:sz w:val="32"/>
          <w:szCs w:val="32"/>
          <w14:textFill>
            <w14:solidFill>
              <w14:schemeClr w14:val="tx1"/>
            </w14:solidFill>
          </w14:textFill>
        </w:rPr>
        <w:t>亿元；社会投资项目</w:t>
      </w:r>
      <w:r>
        <w:rPr>
          <w:rFonts w:ascii="Times New Roman" w:hAnsi="Times New Roman" w:eastAsia="方正仿宋_GBK" w:cs="Times New Roman"/>
          <w:color w:val="000000" w:themeColor="text1"/>
          <w:kern w:val="2"/>
          <w:sz w:val="32"/>
          <w:szCs w:val="32"/>
          <w14:textFill>
            <w14:solidFill>
              <w14:schemeClr w14:val="tx1"/>
            </w14:solidFill>
          </w14:textFill>
        </w:rPr>
        <w:t>134</w:t>
      </w:r>
      <w:r>
        <w:rPr>
          <w:rFonts w:hint="eastAsia" w:ascii="Times New Roman" w:hAnsi="Times New Roman" w:eastAsia="方正仿宋_GBK" w:cs="Times New Roman"/>
          <w:color w:val="000000" w:themeColor="text1"/>
          <w:kern w:val="2"/>
          <w:sz w:val="32"/>
          <w:szCs w:val="32"/>
          <w14:textFill>
            <w14:solidFill>
              <w14:schemeClr w14:val="tx1"/>
            </w14:solidFill>
          </w14:textFill>
        </w:rPr>
        <w:t>个、计划投资</w:t>
      </w:r>
      <w:r>
        <w:rPr>
          <w:rFonts w:ascii="Times New Roman" w:hAnsi="Times New Roman" w:eastAsia="方正仿宋_GBK" w:cs="Times New Roman"/>
          <w:color w:val="000000" w:themeColor="text1"/>
          <w:kern w:val="2"/>
          <w:sz w:val="32"/>
          <w:szCs w:val="32"/>
          <w14:textFill>
            <w14:solidFill>
              <w14:schemeClr w14:val="tx1"/>
            </w14:solidFill>
          </w14:textFill>
        </w:rPr>
        <w:t>123</w:t>
      </w:r>
      <w:r>
        <w:rPr>
          <w:rFonts w:hint="eastAsia" w:ascii="Times New Roman"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8</w:t>
      </w:r>
      <w:r>
        <w:rPr>
          <w:rFonts w:hint="eastAsia" w:ascii="Times New Roman" w:hAnsi="Times New Roman" w:eastAsia="方正仿宋_GBK" w:cs="Times New Roman"/>
          <w:color w:val="000000" w:themeColor="text1"/>
          <w:kern w:val="2"/>
          <w:sz w:val="32"/>
          <w:szCs w:val="32"/>
          <w14:textFill>
            <w14:solidFill>
              <w14:schemeClr w14:val="tx1"/>
            </w14:solidFill>
          </w14:textFill>
        </w:rPr>
        <w:t>亿元。按行业分：产业项目</w:t>
      </w:r>
      <w:r>
        <w:rPr>
          <w:rFonts w:ascii="Times New Roman" w:hAnsi="Times New Roman" w:eastAsia="方正仿宋_GBK" w:cs="Times New Roman"/>
          <w:color w:val="000000" w:themeColor="text1"/>
          <w:kern w:val="2"/>
          <w:sz w:val="32"/>
          <w:szCs w:val="32"/>
          <w14:textFill>
            <w14:solidFill>
              <w14:schemeClr w14:val="tx1"/>
            </w14:solidFill>
          </w14:textFill>
        </w:rPr>
        <w:t>101</w:t>
      </w:r>
      <w:r>
        <w:rPr>
          <w:rFonts w:hint="eastAsia" w:ascii="Times New Roman" w:hAnsi="Times New Roman" w:eastAsia="方正仿宋_GBK" w:cs="Times New Roman"/>
          <w:color w:val="000000" w:themeColor="text1"/>
          <w:kern w:val="2"/>
          <w:sz w:val="32"/>
          <w:szCs w:val="32"/>
          <w14:textFill>
            <w14:solidFill>
              <w14:schemeClr w14:val="tx1"/>
            </w14:solidFill>
          </w14:textFill>
        </w:rPr>
        <w:t>个，计划投资</w:t>
      </w:r>
      <w:r>
        <w:rPr>
          <w:rFonts w:ascii="Times New Roman" w:hAnsi="Times New Roman" w:eastAsia="方正仿宋_GBK" w:cs="Times New Roman"/>
          <w:color w:val="000000" w:themeColor="text1"/>
          <w:kern w:val="2"/>
          <w:sz w:val="32"/>
          <w:szCs w:val="32"/>
          <w14:textFill>
            <w14:solidFill>
              <w14:schemeClr w14:val="tx1"/>
            </w14:solidFill>
          </w14:textFill>
        </w:rPr>
        <w:t>66</w:t>
      </w:r>
      <w:r>
        <w:rPr>
          <w:rFonts w:hint="eastAsia" w:ascii="Times New Roman"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5</w:t>
      </w:r>
      <w:r>
        <w:rPr>
          <w:rFonts w:hint="eastAsia" w:ascii="Times New Roman" w:hAnsi="Times New Roman" w:eastAsia="方正仿宋_GBK" w:cs="Times New Roman"/>
          <w:color w:val="000000" w:themeColor="text1"/>
          <w:kern w:val="2"/>
          <w:sz w:val="32"/>
          <w:szCs w:val="32"/>
          <w14:textFill>
            <w14:solidFill>
              <w14:schemeClr w14:val="tx1"/>
            </w14:solidFill>
          </w14:textFill>
        </w:rPr>
        <w:t>亿元，占比</w:t>
      </w:r>
      <w:r>
        <w:rPr>
          <w:rFonts w:ascii="Times New Roman" w:hAnsi="Times New Roman" w:eastAsia="方正仿宋_GBK" w:cs="Times New Roman"/>
          <w:color w:val="000000" w:themeColor="text1"/>
          <w:kern w:val="2"/>
          <w:sz w:val="32"/>
          <w:szCs w:val="32"/>
          <w14:textFill>
            <w14:solidFill>
              <w14:schemeClr w14:val="tx1"/>
            </w14:solidFill>
          </w14:textFill>
        </w:rPr>
        <w:t>27</w:t>
      </w:r>
      <w:r>
        <w:rPr>
          <w:rFonts w:hint="eastAsia" w:ascii="Times New Roman"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3</w:t>
      </w:r>
      <w:r>
        <w:rPr>
          <w:rFonts w:hint="eastAsia" w:ascii="Times New Roman" w:hAnsi="Times New Roman" w:eastAsia="方正仿宋_GBK" w:cs="Times New Roman"/>
          <w:color w:val="000000" w:themeColor="text1"/>
          <w:kern w:val="2"/>
          <w:sz w:val="32"/>
          <w:szCs w:val="32"/>
          <w14:textFill>
            <w14:solidFill>
              <w14:schemeClr w14:val="tx1"/>
            </w14:solidFill>
          </w14:textFill>
        </w:rPr>
        <w:t>%；基础设施项目</w:t>
      </w:r>
      <w:r>
        <w:rPr>
          <w:rFonts w:ascii="Times New Roman" w:hAnsi="Times New Roman" w:eastAsia="方正仿宋_GBK" w:cs="Times New Roman"/>
          <w:color w:val="000000" w:themeColor="text1"/>
          <w:kern w:val="2"/>
          <w:sz w:val="32"/>
          <w:szCs w:val="32"/>
          <w14:textFill>
            <w14:solidFill>
              <w14:schemeClr w14:val="tx1"/>
            </w14:solidFill>
          </w14:textFill>
        </w:rPr>
        <w:t>163</w:t>
      </w:r>
      <w:r>
        <w:rPr>
          <w:rFonts w:hint="eastAsia" w:ascii="Times New Roman" w:hAnsi="Times New Roman" w:eastAsia="方正仿宋_GBK" w:cs="Times New Roman"/>
          <w:color w:val="000000" w:themeColor="text1"/>
          <w:kern w:val="2"/>
          <w:sz w:val="32"/>
          <w:szCs w:val="32"/>
          <w14:textFill>
            <w14:solidFill>
              <w14:schemeClr w14:val="tx1"/>
            </w14:solidFill>
          </w14:textFill>
        </w:rPr>
        <w:t>个，计划投资</w:t>
      </w:r>
      <w:r>
        <w:rPr>
          <w:rFonts w:ascii="Times New Roman" w:hAnsi="Times New Roman" w:eastAsia="方正仿宋_GBK" w:cs="Times New Roman"/>
          <w:color w:val="000000" w:themeColor="text1"/>
          <w:kern w:val="2"/>
          <w:sz w:val="32"/>
          <w:szCs w:val="32"/>
          <w14:textFill>
            <w14:solidFill>
              <w14:schemeClr w14:val="tx1"/>
            </w14:solidFill>
          </w14:textFill>
        </w:rPr>
        <w:t>55</w:t>
      </w:r>
      <w:r>
        <w:rPr>
          <w:rFonts w:hint="eastAsia" w:ascii="Times New Roman"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7</w:t>
      </w:r>
      <w:r>
        <w:rPr>
          <w:rFonts w:hint="eastAsia" w:ascii="Times New Roman" w:hAnsi="Times New Roman" w:eastAsia="方正仿宋_GBK" w:cs="Times New Roman"/>
          <w:color w:val="000000" w:themeColor="text1"/>
          <w:kern w:val="2"/>
          <w:sz w:val="32"/>
          <w:szCs w:val="32"/>
          <w14:textFill>
            <w14:solidFill>
              <w14:schemeClr w14:val="tx1"/>
            </w14:solidFill>
          </w14:textFill>
        </w:rPr>
        <w:t>亿元，占比</w:t>
      </w:r>
      <w:r>
        <w:rPr>
          <w:rFonts w:ascii="Times New Roman" w:hAnsi="Times New Roman" w:eastAsia="方正仿宋_GBK" w:cs="Times New Roman"/>
          <w:color w:val="000000" w:themeColor="text1"/>
          <w:kern w:val="2"/>
          <w:sz w:val="32"/>
          <w:szCs w:val="32"/>
          <w14:textFill>
            <w14:solidFill>
              <w14:schemeClr w14:val="tx1"/>
            </w14:solidFill>
          </w14:textFill>
        </w:rPr>
        <w:t>22</w:t>
      </w:r>
      <w:r>
        <w:rPr>
          <w:rFonts w:hint="eastAsia" w:ascii="Times New Roman"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9</w:t>
      </w:r>
      <w:r>
        <w:rPr>
          <w:rFonts w:hint="eastAsia" w:ascii="Times New Roman" w:hAnsi="Times New Roman" w:eastAsia="方正仿宋_GBK" w:cs="Times New Roman"/>
          <w:color w:val="000000" w:themeColor="text1"/>
          <w:kern w:val="2"/>
          <w:sz w:val="32"/>
          <w:szCs w:val="32"/>
          <w14:textFill>
            <w14:solidFill>
              <w14:schemeClr w14:val="tx1"/>
            </w14:solidFill>
          </w14:textFill>
        </w:rPr>
        <w:t>%；社会事业项目</w:t>
      </w:r>
      <w:r>
        <w:rPr>
          <w:rFonts w:ascii="Times New Roman" w:hAnsi="Times New Roman" w:eastAsia="方正仿宋_GBK" w:cs="Times New Roman"/>
          <w:color w:val="000000" w:themeColor="text1"/>
          <w:kern w:val="2"/>
          <w:sz w:val="32"/>
          <w:szCs w:val="32"/>
          <w14:textFill>
            <w14:solidFill>
              <w14:schemeClr w14:val="tx1"/>
            </w14:solidFill>
          </w14:textFill>
        </w:rPr>
        <w:t>69</w:t>
      </w:r>
      <w:r>
        <w:rPr>
          <w:rFonts w:hint="eastAsia" w:ascii="Times New Roman" w:hAnsi="Times New Roman" w:eastAsia="方正仿宋_GBK" w:cs="Times New Roman"/>
          <w:color w:val="000000" w:themeColor="text1"/>
          <w:kern w:val="2"/>
          <w:sz w:val="32"/>
          <w:szCs w:val="32"/>
          <w14:textFill>
            <w14:solidFill>
              <w14:schemeClr w14:val="tx1"/>
            </w14:solidFill>
          </w14:textFill>
        </w:rPr>
        <w:t>个，计划投资</w:t>
      </w:r>
      <w:r>
        <w:rPr>
          <w:rFonts w:ascii="Times New Roman" w:hAnsi="Times New Roman" w:eastAsia="方正仿宋_GBK" w:cs="Times New Roman"/>
          <w:color w:val="000000" w:themeColor="text1"/>
          <w:kern w:val="2"/>
          <w:sz w:val="32"/>
          <w:szCs w:val="32"/>
          <w14:textFill>
            <w14:solidFill>
              <w14:schemeClr w14:val="tx1"/>
            </w14:solidFill>
          </w14:textFill>
        </w:rPr>
        <w:t>54</w:t>
      </w:r>
      <w:r>
        <w:rPr>
          <w:rFonts w:hint="eastAsia" w:ascii="Times New Roman"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9</w:t>
      </w:r>
      <w:r>
        <w:rPr>
          <w:rFonts w:hint="eastAsia" w:ascii="Times New Roman" w:hAnsi="Times New Roman" w:eastAsia="方正仿宋_GBK" w:cs="Times New Roman"/>
          <w:color w:val="000000" w:themeColor="text1"/>
          <w:kern w:val="2"/>
          <w:sz w:val="32"/>
          <w:szCs w:val="32"/>
          <w14:textFill>
            <w14:solidFill>
              <w14:schemeClr w14:val="tx1"/>
            </w14:solidFill>
          </w14:textFill>
        </w:rPr>
        <w:t>亿元，占比</w:t>
      </w:r>
      <w:r>
        <w:rPr>
          <w:rFonts w:ascii="Times New Roman" w:hAnsi="Times New Roman" w:eastAsia="方正仿宋_GBK" w:cs="Times New Roman"/>
          <w:color w:val="000000" w:themeColor="text1"/>
          <w:kern w:val="2"/>
          <w:sz w:val="32"/>
          <w:szCs w:val="32"/>
          <w14:textFill>
            <w14:solidFill>
              <w14:schemeClr w14:val="tx1"/>
            </w14:solidFill>
          </w14:textFill>
        </w:rPr>
        <w:t>22</w:t>
      </w:r>
      <w:r>
        <w:rPr>
          <w:rFonts w:hint="eastAsia" w:ascii="Times New Roman"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6</w:t>
      </w:r>
      <w:r>
        <w:rPr>
          <w:rFonts w:hint="eastAsia" w:ascii="Times New Roman" w:hAnsi="Times New Roman" w:eastAsia="方正仿宋_GBK" w:cs="Times New Roman"/>
          <w:color w:val="000000" w:themeColor="text1"/>
          <w:kern w:val="2"/>
          <w:sz w:val="32"/>
          <w:szCs w:val="32"/>
          <w14:textFill>
            <w14:solidFill>
              <w14:schemeClr w14:val="tx1"/>
            </w14:solidFill>
          </w14:textFill>
        </w:rPr>
        <w:t>%；土地开发项目</w:t>
      </w:r>
      <w:r>
        <w:rPr>
          <w:rFonts w:ascii="Times New Roman" w:hAnsi="Times New Roman" w:eastAsia="方正仿宋_GBK" w:cs="Times New Roman"/>
          <w:color w:val="000000" w:themeColor="text1"/>
          <w:kern w:val="2"/>
          <w:sz w:val="32"/>
          <w:szCs w:val="32"/>
          <w14:textFill>
            <w14:solidFill>
              <w14:schemeClr w14:val="tx1"/>
            </w14:solidFill>
          </w14:textFill>
        </w:rPr>
        <w:t>27</w:t>
      </w:r>
      <w:r>
        <w:rPr>
          <w:rFonts w:hint="eastAsia" w:ascii="Times New Roman" w:hAnsi="Times New Roman" w:eastAsia="方正仿宋_GBK" w:cs="Times New Roman"/>
          <w:color w:val="000000" w:themeColor="text1"/>
          <w:kern w:val="2"/>
          <w:sz w:val="32"/>
          <w:szCs w:val="32"/>
          <w14:textFill>
            <w14:solidFill>
              <w14:schemeClr w14:val="tx1"/>
            </w14:solidFill>
          </w14:textFill>
        </w:rPr>
        <w:t>个，计划投资</w:t>
      </w:r>
      <w:r>
        <w:rPr>
          <w:rFonts w:ascii="Times New Roman" w:hAnsi="Times New Roman" w:eastAsia="方正仿宋_GBK" w:cs="Times New Roman"/>
          <w:color w:val="000000" w:themeColor="text1"/>
          <w:kern w:val="2"/>
          <w:sz w:val="32"/>
          <w:szCs w:val="32"/>
          <w14:textFill>
            <w14:solidFill>
              <w14:schemeClr w14:val="tx1"/>
            </w14:solidFill>
          </w14:textFill>
        </w:rPr>
        <w:t>66</w:t>
      </w:r>
      <w:r>
        <w:rPr>
          <w:rFonts w:hint="eastAsia" w:ascii="Times New Roman"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1</w:t>
      </w:r>
      <w:r>
        <w:rPr>
          <w:rFonts w:hint="eastAsia" w:ascii="Times New Roman" w:hAnsi="Times New Roman" w:eastAsia="方正仿宋_GBK" w:cs="Times New Roman"/>
          <w:color w:val="000000" w:themeColor="text1"/>
          <w:kern w:val="2"/>
          <w:sz w:val="32"/>
          <w:szCs w:val="32"/>
          <w14:textFill>
            <w14:solidFill>
              <w14:schemeClr w14:val="tx1"/>
            </w14:solidFill>
          </w14:textFill>
        </w:rPr>
        <w:t>亿元，占比</w:t>
      </w:r>
      <w:r>
        <w:rPr>
          <w:rFonts w:ascii="Times New Roman" w:hAnsi="Times New Roman" w:eastAsia="方正仿宋_GBK" w:cs="Times New Roman"/>
          <w:color w:val="000000" w:themeColor="text1"/>
          <w:kern w:val="2"/>
          <w:sz w:val="32"/>
          <w:szCs w:val="32"/>
          <w14:textFill>
            <w14:solidFill>
              <w14:schemeClr w14:val="tx1"/>
            </w14:solidFill>
          </w14:textFill>
        </w:rPr>
        <w:t>27</w:t>
      </w:r>
      <w:r>
        <w:rPr>
          <w:rFonts w:hint="eastAsia" w:ascii="Times New Roman"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2</w:t>
      </w:r>
      <w:r>
        <w:rPr>
          <w:rFonts w:hint="eastAsia" w:ascii="Times New Roman" w:hAnsi="Times New Roman" w:eastAsia="方正仿宋_GBK" w:cs="Times New Roman"/>
          <w:color w:val="000000" w:themeColor="text1"/>
          <w:kern w:val="2"/>
          <w:sz w:val="32"/>
          <w:szCs w:val="32"/>
          <w14:textFill>
            <w14:solidFill>
              <w14:schemeClr w14:val="tx1"/>
            </w14:solidFill>
          </w14:textFill>
        </w:rPr>
        <w:t>%。同时，启动前期项目</w:t>
      </w:r>
      <w:r>
        <w:rPr>
          <w:rFonts w:ascii="Times New Roman" w:hAnsi="Times New Roman" w:eastAsia="方正仿宋_GBK" w:cs="Times New Roman"/>
          <w:color w:val="000000" w:themeColor="text1"/>
          <w:kern w:val="2"/>
          <w:sz w:val="32"/>
          <w:szCs w:val="32"/>
          <w14:textFill>
            <w14:solidFill>
              <w14:schemeClr w14:val="tx1"/>
            </w14:solidFill>
          </w14:textFill>
        </w:rPr>
        <w:t>143</w:t>
      </w:r>
      <w:r>
        <w:rPr>
          <w:rFonts w:hint="eastAsia" w:ascii="Times New Roman" w:hAnsi="Times New Roman" w:eastAsia="方正仿宋_GBK" w:cs="Times New Roman"/>
          <w:color w:val="000000" w:themeColor="text1"/>
          <w:kern w:val="2"/>
          <w:sz w:val="32"/>
          <w:szCs w:val="32"/>
          <w14:textFill>
            <w14:solidFill>
              <w14:schemeClr w14:val="tx1"/>
            </w14:solidFill>
          </w14:textFill>
        </w:rPr>
        <w:t>个，总投资</w:t>
      </w:r>
      <w:r>
        <w:rPr>
          <w:rFonts w:ascii="Times New Roman" w:hAnsi="Times New Roman" w:eastAsia="方正仿宋_GBK" w:cs="Times New Roman"/>
          <w:color w:val="000000" w:themeColor="text1"/>
          <w:kern w:val="2"/>
          <w:sz w:val="32"/>
          <w:szCs w:val="32"/>
          <w14:textFill>
            <w14:solidFill>
              <w14:schemeClr w14:val="tx1"/>
            </w14:solidFill>
          </w14:textFill>
        </w:rPr>
        <w:t>639</w:t>
      </w:r>
      <w:r>
        <w:rPr>
          <w:rFonts w:hint="eastAsia" w:ascii="Times New Roman" w:hAnsi="Times New Roman" w:eastAsia="方正仿宋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5</w:t>
      </w:r>
      <w:r>
        <w:rPr>
          <w:rFonts w:hint="eastAsia" w:ascii="Times New Roman" w:hAnsi="Times New Roman" w:eastAsia="方正仿宋_GBK" w:cs="Times New Roman"/>
          <w:color w:val="000000" w:themeColor="text1"/>
          <w:kern w:val="2"/>
          <w:sz w:val="32"/>
          <w:szCs w:val="32"/>
          <w14:textFill>
            <w14:solidFill>
              <w14:schemeClr w14:val="tx1"/>
            </w14:solidFill>
          </w14:textFill>
        </w:rPr>
        <w:t>亿元。年度工作中，将深入落实</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hint="eastAsia" w:ascii="Times New Roman" w:hAnsi="Times New Roman" w:eastAsia="方正仿宋_GBK" w:cs="Times New Roman"/>
          <w:color w:val="000000" w:themeColor="text1"/>
          <w:kern w:val="2"/>
          <w:sz w:val="32"/>
          <w:szCs w:val="32"/>
          <w14:textFill>
            <w14:solidFill>
              <w14:schemeClr w14:val="tx1"/>
            </w14:solidFill>
          </w14:textFill>
        </w:rPr>
        <w:t>五个一</w:t>
      </w:r>
      <w:r>
        <w:rPr>
          <w:rFonts w:hint="eastAsia" w:ascii="方正仿宋_GBK" w:hAnsi="Times New Roman" w:eastAsia="方正仿宋_GBK" w:cs="Times New Roman"/>
          <w:color w:val="000000" w:themeColor="text1"/>
          <w:kern w:val="2"/>
          <w:sz w:val="32"/>
          <w:szCs w:val="32"/>
          <w14:textFill>
            <w14:solidFill>
              <w14:schemeClr w14:val="tx1"/>
            </w14:solidFill>
          </w14:textFill>
        </w:rPr>
        <w:t>”</w:t>
      </w:r>
      <w:r>
        <w:rPr>
          <w:rFonts w:hint="eastAsia" w:ascii="Times New Roman" w:hAnsi="Times New Roman" w:eastAsia="方正仿宋_GBK" w:cs="Times New Roman"/>
          <w:color w:val="000000" w:themeColor="text1"/>
          <w:kern w:val="2"/>
          <w:sz w:val="32"/>
          <w:szCs w:val="32"/>
          <w14:textFill>
            <w14:solidFill>
              <w14:schemeClr w14:val="tx1"/>
            </w14:solidFill>
          </w14:textFill>
        </w:rPr>
        <w:t>工作机制，加强项目调度，提速重点项目建设，加快推动前期项目开工，加大项目谋划储备，积极扩大投资增量，不断做大投资规模，确保完成全年固定资产投资同比增长</w:t>
      </w:r>
      <w:r>
        <w:rPr>
          <w:rFonts w:ascii="Times New Roman" w:hAnsi="Times New Roman" w:eastAsia="方正仿宋_GBK" w:cs="Times New Roman"/>
          <w:color w:val="000000" w:themeColor="text1"/>
          <w:kern w:val="2"/>
          <w:sz w:val="32"/>
          <w:szCs w:val="32"/>
          <w14:textFill>
            <w14:solidFill>
              <w14:schemeClr w14:val="tx1"/>
            </w14:solidFill>
          </w14:textFill>
        </w:rPr>
        <w:t>5</w:t>
      </w:r>
      <w:r>
        <w:rPr>
          <w:rFonts w:hint="eastAsia" w:ascii="Times New Roman" w:hAnsi="Times New Roman" w:eastAsia="方正仿宋_GBK" w:cs="Times New Roman"/>
          <w:color w:val="000000" w:themeColor="text1"/>
          <w:kern w:val="2"/>
          <w:sz w:val="32"/>
          <w:szCs w:val="32"/>
          <w14:textFill>
            <w14:solidFill>
              <w14:schemeClr w14:val="tx1"/>
            </w14:solidFill>
          </w14:textFill>
        </w:rPr>
        <w:t>%目标。</w:t>
      </w:r>
    </w:p>
    <w:p>
      <w:pPr>
        <w:widowControl w:val="0"/>
        <w:spacing w:after="0" w:line="594" w:lineRule="exact"/>
        <w:ind w:firstLine="640" w:firstLineChars="200"/>
        <w:jc w:val="both"/>
        <w:rPr>
          <w:rFonts w:ascii="Times New Roman" w:hAnsi="Times New Roman" w:eastAsia="方正黑体_GBK" w:cs="Times New Roman"/>
          <w:color w:val="000000" w:themeColor="text1"/>
          <w:kern w:val="2"/>
          <w:sz w:val="32"/>
          <w:szCs w:val="32"/>
          <w14:textFill>
            <w14:solidFill>
              <w14:schemeClr w14:val="tx1"/>
            </w14:solidFill>
          </w14:textFill>
        </w:rPr>
      </w:pPr>
      <w:r>
        <w:rPr>
          <w:rFonts w:ascii="Times New Roman" w:hAnsi="Times New Roman" w:eastAsia="方正黑体_GBK" w:cs="Times New Roman"/>
          <w:color w:val="000000" w:themeColor="text1"/>
          <w:kern w:val="2"/>
          <w:sz w:val="32"/>
          <w:szCs w:val="32"/>
          <w14:textFill>
            <w14:solidFill>
              <w14:schemeClr w14:val="tx1"/>
            </w14:solidFill>
          </w14:textFill>
        </w:rPr>
        <w:t>三、2024年重点工作</w:t>
      </w:r>
    </w:p>
    <w:p>
      <w:pPr>
        <w:widowControl w:val="0"/>
        <w:adjustRightInd w:val="0"/>
        <w:snapToGrid w:val="0"/>
        <w:spacing w:after="0" w:line="594" w:lineRule="exact"/>
        <w:ind w:firstLine="640" w:firstLineChars="200"/>
        <w:jc w:val="both"/>
        <w:rPr>
          <w:rFonts w:ascii="Times New Roman" w:hAnsi="Times New Roman" w:eastAsia="方正仿宋_GBK" w:cs="Times New Roman"/>
          <w:color w:val="000000" w:themeColor="text1"/>
          <w:kern w:val="2"/>
          <w:sz w:val="32"/>
          <w:szCs w:val="32"/>
          <w14:textFill>
            <w14:solidFill>
              <w14:schemeClr w14:val="tx1"/>
            </w14:solidFill>
          </w14:textFill>
        </w:rPr>
      </w:pPr>
      <w:r>
        <w:rPr>
          <w:rFonts w:ascii="Times New Roman" w:hAnsi="Times New Roman" w:eastAsia="方正仿宋_GBK" w:cs="Times New Roman"/>
          <w:color w:val="000000" w:themeColor="text1"/>
          <w:kern w:val="2"/>
          <w:sz w:val="32"/>
          <w:szCs w:val="32"/>
          <w14:textFill>
            <w14:solidFill>
              <w14:schemeClr w14:val="tx1"/>
            </w14:solidFill>
          </w14:textFill>
        </w:rPr>
        <w:t>2024年，要坚持以习近平新时代中国特色社会主义思想为指导，全面贯彻党的二十大、二十届二中全会和中央经济工作会议精神，</w:t>
      </w:r>
      <w:r>
        <w:rPr>
          <w:rFonts w:hint="eastAsia" w:ascii="Times New Roman" w:hAnsi="Times New Roman" w:eastAsia="方正仿宋_GBK" w:cs="Times New Roman"/>
          <w:color w:val="000000" w:themeColor="text1"/>
          <w:kern w:val="2"/>
          <w:sz w:val="32"/>
          <w:szCs w:val="32"/>
          <w14:textFill>
            <w14:solidFill>
              <w14:schemeClr w14:val="tx1"/>
            </w14:solidFill>
          </w14:textFill>
        </w:rPr>
        <w:t>深入学习贯彻习近平总书记视察重庆重要讲话重要指示精神，认真落实市委六届二次、三次、四次、五次全会决策部署和市委经济工作会议精神，深化落实区委十三届七次全会和区委经济工作会议精神，</w:t>
      </w:r>
      <w:r>
        <w:rPr>
          <w:rFonts w:ascii="Times New Roman" w:hAnsi="Times New Roman" w:eastAsia="方正仿宋_GBK" w:cs="Times New Roman"/>
          <w:color w:val="000000" w:themeColor="text1"/>
          <w:kern w:val="2"/>
          <w:sz w:val="32"/>
          <w:szCs w:val="32"/>
          <w14:textFill>
            <w14:solidFill>
              <w14:schemeClr w14:val="tx1"/>
            </w14:solidFill>
          </w14:textFill>
        </w:rPr>
        <w:t>坚持稳中求进工作总基调，</w:t>
      </w:r>
      <w:r>
        <w:rPr>
          <w:rFonts w:ascii="Times New Roman" w:hAnsi="Times New Roman" w:eastAsia="方正仿宋_GBK" w:cs="Times New Roman"/>
          <w:color w:val="000000" w:themeColor="text1"/>
          <w:sz w:val="32"/>
          <w:szCs w:val="32"/>
          <w14:textFill>
            <w14:solidFill>
              <w14:schemeClr w14:val="tx1"/>
            </w14:solidFill>
          </w14:textFill>
        </w:rPr>
        <w:t>完整、准确、全面贯彻新发展理念，积极服务和融入新发展格局，着力推动高质量发展</w:t>
      </w:r>
      <w:r>
        <w:rPr>
          <w:rFonts w:ascii="Times New Roman" w:hAnsi="Times New Roman" w:eastAsia="方正仿宋_GBK" w:cs="Times New Roman"/>
          <w:bCs/>
          <w:color w:val="000000" w:themeColor="text1"/>
          <w:sz w:val="32"/>
          <w:szCs w:val="32"/>
          <w14:textFill>
            <w14:solidFill>
              <w14:schemeClr w14:val="tx1"/>
            </w14:solidFill>
          </w14:textFill>
        </w:rPr>
        <w:t>，</w:t>
      </w:r>
      <w:r>
        <w:rPr>
          <w:rFonts w:hint="eastAsia" w:ascii="Times New Roman" w:hAnsi="Times New Roman" w:eastAsia="方正仿宋_GBK" w:cs="Times New Roman"/>
          <w:bCs/>
          <w:color w:val="000000" w:themeColor="text1"/>
          <w:sz w:val="32"/>
          <w:szCs w:val="32"/>
          <w14:textFill>
            <w14:solidFill>
              <w14:schemeClr w14:val="tx1"/>
            </w14:solidFill>
          </w14:textFill>
        </w:rPr>
        <w:t>全力推进中国式现代化，</w:t>
      </w:r>
      <w:r>
        <w:rPr>
          <w:rFonts w:ascii="Times New Roman" w:hAnsi="Times New Roman" w:eastAsia="方正仿宋_GBK" w:cs="Times New Roman"/>
          <w:bCs/>
          <w:color w:val="000000" w:themeColor="text1"/>
          <w:sz w:val="32"/>
          <w:szCs w:val="32"/>
          <w14:textFill>
            <w14:solidFill>
              <w14:schemeClr w14:val="tx1"/>
            </w14:solidFill>
          </w14:textFill>
        </w:rPr>
        <w:t>全面深化改革开放，统筹扩大内需和深化供给侧结构性改革，统筹新型城镇化和乡村全面振兴，统筹高质量发展和高水平安全，</w:t>
      </w:r>
      <w:r>
        <w:rPr>
          <w:rFonts w:ascii="Times New Roman" w:hAnsi="Times New Roman" w:eastAsia="方正仿宋_GBK" w:cs="Times New Roman"/>
          <w:color w:val="000000" w:themeColor="text1"/>
          <w:kern w:val="2"/>
          <w:sz w:val="32"/>
          <w:szCs w:val="32"/>
          <w14:textFill>
            <w14:solidFill>
              <w14:schemeClr w14:val="tx1"/>
            </w14:solidFill>
          </w14:textFill>
        </w:rPr>
        <w:t>坚持稳进增效、除险固安、改革突破、惠民强企工作导向</w:t>
      </w:r>
      <w:r>
        <w:rPr>
          <w:rFonts w:ascii="Times New Roman" w:hAnsi="Times New Roman" w:eastAsia="方正仿宋_GBK" w:cs="Times New Roman"/>
          <w:bCs/>
          <w:color w:val="000000" w:themeColor="text1"/>
          <w:sz w:val="32"/>
          <w:szCs w:val="32"/>
          <w14:textFill>
            <w14:solidFill>
              <w14:schemeClr w14:val="tx1"/>
            </w14:solidFill>
          </w14:textFill>
        </w:rPr>
        <w:t>，全力实施</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拼经济促发展、新型工业化、现代服务业、公园城市、互联互通、社会民生福祉、风险防范化解</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七大提升行动，</w:t>
      </w:r>
      <w:r>
        <w:rPr>
          <w:rFonts w:hint="eastAsia" w:ascii="Times New Roman" w:hAnsi="Times New Roman" w:eastAsia="方正仿宋_GBK" w:cs="Times New Roman"/>
          <w:bCs/>
          <w:color w:val="000000" w:themeColor="text1"/>
          <w:sz w:val="32"/>
          <w:szCs w:val="32"/>
          <w14:textFill>
            <w14:solidFill>
              <w14:schemeClr w14:val="tx1"/>
            </w14:solidFill>
          </w14:textFill>
        </w:rPr>
        <w:t>奋力开启第三次创业新征程，谱写</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hint="eastAsia" w:ascii="Times New Roman" w:hAnsi="Times New Roman" w:eastAsia="方正仿宋_GBK" w:cs="Times New Roman"/>
          <w:bCs/>
          <w:color w:val="000000" w:themeColor="text1"/>
          <w:sz w:val="32"/>
          <w:szCs w:val="32"/>
          <w14:textFill>
            <w14:solidFill>
              <w14:schemeClr w14:val="tx1"/>
            </w14:solidFill>
          </w14:textFill>
        </w:rPr>
        <w:t>公园大渡口、多彩艺术湾</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hint="eastAsia" w:ascii="Times New Roman" w:hAnsi="Times New Roman" w:eastAsia="方正仿宋_GBK" w:cs="Times New Roman"/>
          <w:bCs/>
          <w:color w:val="000000" w:themeColor="text1"/>
          <w:sz w:val="32"/>
          <w:szCs w:val="32"/>
          <w14:textFill>
            <w14:solidFill>
              <w14:schemeClr w14:val="tx1"/>
            </w14:solidFill>
          </w14:textFill>
        </w:rPr>
        <w:t>建设新篇章</w:t>
      </w:r>
      <w:r>
        <w:rPr>
          <w:rFonts w:ascii="Times New Roman" w:hAnsi="Times New Roman" w:eastAsia="方正仿宋_GBK" w:cs="Times New Roman"/>
          <w:color w:val="000000" w:themeColor="text1"/>
          <w:kern w:val="2"/>
          <w:sz w:val="32"/>
          <w:szCs w:val="32"/>
          <w14:textFill>
            <w14:solidFill>
              <w14:schemeClr w14:val="tx1"/>
            </w14:solidFill>
          </w14:textFill>
        </w:rPr>
        <w:t xml:space="preserve">。 </w:t>
      </w:r>
    </w:p>
    <w:p>
      <w:pPr>
        <w:widowControl w:val="0"/>
        <w:spacing w:after="0" w:line="594" w:lineRule="exact"/>
        <w:ind w:firstLine="640" w:firstLineChars="200"/>
        <w:jc w:val="both"/>
        <w:rPr>
          <w:rFonts w:ascii="Times New Roman" w:hAnsi="Times New Roman" w:eastAsia="方正楷体_GBK" w:cs="Times New Roman"/>
          <w:bCs/>
          <w:color w:val="000000" w:themeColor="text1"/>
          <w:sz w:val="32"/>
          <w:szCs w:val="32"/>
          <w14:textFill>
            <w14:solidFill>
              <w14:schemeClr w14:val="tx1"/>
            </w14:solidFill>
          </w14:textFill>
        </w:rPr>
      </w:pPr>
      <w:r>
        <w:rPr>
          <w:rFonts w:ascii="Times New Roman" w:hAnsi="Times New Roman" w:eastAsia="方正楷体_GBK" w:cs="Times New Roman"/>
          <w:bCs/>
          <w:color w:val="000000" w:themeColor="text1"/>
          <w:sz w:val="32"/>
          <w:szCs w:val="32"/>
          <w14:textFill>
            <w14:solidFill>
              <w14:schemeClr w14:val="tx1"/>
            </w14:solidFill>
          </w14:textFill>
        </w:rPr>
        <w:t>（一）突出重大战略引领，推动发展能级新提升</w:t>
      </w:r>
    </w:p>
    <w:p>
      <w:pPr>
        <w:widowControl w:val="0"/>
        <w:spacing w:after="0" w:line="594" w:lineRule="exact"/>
        <w:ind w:firstLine="643" w:firstLineChars="200"/>
        <w:jc w:val="both"/>
        <w:rPr>
          <w:rFonts w:ascii="Times New Roman" w:hAnsi="Times New Roman" w:eastAsia="方正仿宋_GBK" w:cs="Times New Roman"/>
          <w:bCs/>
          <w:color w:val="000000" w:themeColor="text1"/>
          <w:sz w:val="32"/>
          <w:szCs w:val="32"/>
          <w14:textFill>
            <w14:solidFill>
              <w14:schemeClr w14:val="tx1"/>
            </w14:solidFill>
          </w14:textFill>
        </w:rPr>
      </w:pPr>
      <w:r>
        <w:rPr>
          <w:rFonts w:ascii="Times New Roman" w:hAnsi="Times New Roman" w:eastAsia="方正楷体_GBK" w:cs="Times New Roman"/>
          <w:b/>
          <w:color w:val="000000" w:themeColor="text1"/>
          <w:sz w:val="32"/>
          <w:szCs w:val="32"/>
          <w14:textFill>
            <w14:solidFill>
              <w14:schemeClr w14:val="tx1"/>
            </w14:solidFill>
          </w14:textFill>
        </w:rPr>
        <w:t xml:space="preserve">1. </w:t>
      </w:r>
      <w:r>
        <w:rPr>
          <w:rFonts w:ascii="Times New Roman" w:hAnsi="Times New Roman" w:eastAsia="方正仿宋_GBK" w:cs="Times New Roman"/>
          <w:b/>
          <w:color w:val="000000" w:themeColor="text1"/>
          <w:sz w:val="32"/>
          <w:szCs w:val="32"/>
          <w14:textFill>
            <w14:solidFill>
              <w14:schemeClr w14:val="tx1"/>
            </w14:solidFill>
          </w14:textFill>
        </w:rPr>
        <w:t>以成渝地区双城经济圈建设引领区域协调发展。</w:t>
      </w:r>
      <w:r>
        <w:rPr>
          <w:rFonts w:ascii="Times New Roman" w:hAnsi="Times New Roman" w:eastAsia="方正仿宋_GBK" w:cs="Times New Roman"/>
          <w:bCs/>
          <w:color w:val="000000" w:themeColor="text1"/>
          <w:sz w:val="32"/>
          <w:szCs w:val="32"/>
          <w14:textFill>
            <w14:solidFill>
              <w14:schemeClr w14:val="tx1"/>
            </w14:solidFill>
          </w14:textFill>
        </w:rPr>
        <w:t>深化落实成渝地区双城经济圈建设行动方案，迭代升级</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四张清单</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谋划实施一批合作事项、共建项目。持续拓展同四川成都友好市（区）县的政府合作、企业联动、部门协作，加快形成一体化工作体系。聚焦双核引领联动、构建现代化产业体系、科技创新等领域强化合作联动，实现优势互补、互促共赢。支持建桥园区与四川绵阳安州工业园、渠县工业园区共建双城产业合作示范园区及产业信息平台，促进企业配套协作。强化与电子科技大学、重庆理工大学、重庆</w:t>
      </w:r>
      <w:r>
        <w:rPr>
          <w:rFonts w:hint="eastAsia" w:ascii="Times New Roman" w:hAnsi="Times New Roman" w:eastAsia="方正仿宋_GBK" w:cs="Times New Roman"/>
          <w:bCs/>
          <w:color w:val="000000" w:themeColor="text1"/>
          <w:sz w:val="32"/>
          <w:szCs w:val="32"/>
          <w14:textFill>
            <w14:solidFill>
              <w14:schemeClr w14:val="tx1"/>
            </w14:solidFill>
          </w14:textFill>
        </w:rPr>
        <w:t>科技</w:t>
      </w:r>
      <w:r>
        <w:rPr>
          <w:rFonts w:ascii="Times New Roman" w:hAnsi="Times New Roman" w:eastAsia="方正仿宋_GBK" w:cs="Times New Roman"/>
          <w:bCs/>
          <w:color w:val="000000" w:themeColor="text1"/>
          <w:sz w:val="32"/>
          <w:szCs w:val="32"/>
          <w14:textFill>
            <w14:solidFill>
              <w14:schemeClr w14:val="tx1"/>
            </w14:solidFill>
          </w14:textFill>
        </w:rPr>
        <w:t>大学等高校及科研院所校地合作，共享两地科创资源。推动公共服务便利互惠，围绕教育、文化、体育、医疗卫生等领域探索合作新路径。落实</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一区两群</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区县对口协同发展机制，深化拓展与忠县磨子乡协同发展事项，不断扩大产业协同、城乡互动、科技协作、市场互通等多领域合作新成效。</w:t>
      </w:r>
    </w:p>
    <w:p>
      <w:pPr>
        <w:widowControl w:val="0"/>
        <w:spacing w:after="0" w:line="594" w:lineRule="exact"/>
        <w:ind w:firstLine="643" w:firstLineChars="200"/>
        <w:jc w:val="both"/>
        <w:rPr>
          <w:rFonts w:ascii="Times New Roman" w:hAnsi="Times New Roman" w:eastAsia="方正仿宋_GBK" w:cs="Times New Roman"/>
          <w:bCs/>
          <w:color w:val="000000" w:themeColor="text1"/>
          <w:sz w:val="32"/>
          <w:szCs w:val="32"/>
          <w14:textFill>
            <w14:solidFill>
              <w14:schemeClr w14:val="tx1"/>
            </w14:solidFill>
          </w14:textFill>
        </w:rPr>
      </w:pPr>
      <w:r>
        <w:rPr>
          <w:rFonts w:ascii="Times New Roman" w:hAnsi="Times New Roman" w:eastAsia="方正楷体_GBK" w:cs="Times New Roman"/>
          <w:b/>
          <w:color w:val="000000" w:themeColor="text1"/>
          <w:sz w:val="32"/>
          <w:szCs w:val="32"/>
          <w14:textFill>
            <w14:solidFill>
              <w14:schemeClr w14:val="tx1"/>
            </w14:solidFill>
          </w14:textFill>
        </w:rPr>
        <w:t xml:space="preserve">2. </w:t>
      </w:r>
      <w:r>
        <w:rPr>
          <w:rFonts w:ascii="Times New Roman" w:hAnsi="Times New Roman" w:eastAsia="方正仿宋_GBK" w:cs="Times New Roman"/>
          <w:b/>
          <w:color w:val="000000" w:themeColor="text1"/>
          <w:sz w:val="32"/>
          <w:szCs w:val="32"/>
          <w14:textFill>
            <w14:solidFill>
              <w14:schemeClr w14:val="tx1"/>
            </w14:solidFill>
          </w14:textFill>
        </w:rPr>
        <w:t>以西部陆海新通道建设引领对外开放合作。</w:t>
      </w:r>
      <w:r>
        <w:rPr>
          <w:rFonts w:ascii="Times New Roman" w:hAnsi="Times New Roman" w:eastAsia="方正仿宋_GBK" w:cs="Times New Roman"/>
          <w:bCs/>
          <w:color w:val="000000" w:themeColor="text1"/>
          <w:sz w:val="32"/>
          <w:szCs w:val="32"/>
          <w14:textFill>
            <w14:solidFill>
              <w14:schemeClr w14:val="tx1"/>
            </w14:solidFill>
          </w14:textFill>
        </w:rPr>
        <w:t>探索发挥通道纽带功能，加强与东盟国家产业互补，吸引东盟国家知名企业来渝来区投资发展，开展国际产能和装备制造合作。积极推动与RCEP区域跨区域协同，依托建桥园区设立陆海新通道国际合作先行区，发挥陆海新通道</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通道+枢纽+产业+物流</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集群化优势，构建</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大渡口—北部湾—东盟</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跨境产业链供应链，推进跨境跨区产业合作园区建设。力促重庆跨境数字资产登记服务中心建成运营，充分发挥自贸试验区联动创新区市级平台的联动作用，</w:t>
      </w:r>
      <w:r>
        <w:rPr>
          <w:rFonts w:hint="eastAsia" w:ascii="Times New Roman" w:hAnsi="Times New Roman" w:eastAsia="方正仿宋_GBK" w:cs="Times New Roman"/>
          <w:bCs/>
          <w:color w:val="000000" w:themeColor="text1"/>
          <w:sz w:val="32"/>
          <w:szCs w:val="32"/>
          <w14:textFill>
            <w14:solidFill>
              <w14:schemeClr w14:val="tx1"/>
            </w14:solidFill>
          </w14:textFill>
        </w:rPr>
        <w:t>推动</w:t>
      </w:r>
      <w:r>
        <w:rPr>
          <w:rFonts w:ascii="Times New Roman" w:hAnsi="Times New Roman" w:eastAsia="方正仿宋_GBK" w:cs="Times New Roman"/>
          <w:bCs/>
          <w:color w:val="000000" w:themeColor="text1"/>
          <w:sz w:val="32"/>
          <w:szCs w:val="32"/>
          <w14:textFill>
            <w14:solidFill>
              <w14:schemeClr w14:val="tx1"/>
            </w14:solidFill>
          </w14:textFill>
        </w:rPr>
        <w:t>外贸优势企业扩大境外贸易规模，引导培育二手车、重庆小面等出口增量。优化完善贸易投资自由化便利化，做好外资企业服务工作。全年实现外贸进出口总额33亿元</w:t>
      </w:r>
      <w:r>
        <w:rPr>
          <w:rFonts w:hint="eastAsia" w:ascii="Times New Roman"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实际使用外资完成市级下达任务。</w:t>
      </w:r>
    </w:p>
    <w:p>
      <w:pPr>
        <w:widowControl w:val="0"/>
        <w:spacing w:after="0" w:line="594" w:lineRule="exact"/>
        <w:ind w:firstLine="643" w:firstLineChars="200"/>
        <w:jc w:val="both"/>
        <w:rPr>
          <w:rFonts w:ascii="Times New Roman" w:hAnsi="Times New Roman" w:eastAsia="方正仿宋_GBK" w:cs="Times New Roman"/>
          <w:bCs/>
          <w:color w:val="000000" w:themeColor="text1"/>
          <w:sz w:val="32"/>
          <w:szCs w:val="32"/>
          <w14:textFill>
            <w14:solidFill>
              <w14:schemeClr w14:val="tx1"/>
            </w14:solidFill>
          </w14:textFill>
        </w:rPr>
      </w:pPr>
      <w:r>
        <w:rPr>
          <w:rFonts w:ascii="Times New Roman" w:hAnsi="Times New Roman" w:eastAsia="方正楷体_GBK" w:cs="Times New Roman"/>
          <w:b/>
          <w:color w:val="000000" w:themeColor="text1"/>
          <w:sz w:val="32"/>
          <w:szCs w:val="32"/>
          <w14:textFill>
            <w14:solidFill>
              <w14:schemeClr w14:val="tx1"/>
            </w14:solidFill>
          </w14:textFill>
        </w:rPr>
        <w:t>3</w:t>
      </w:r>
      <w:r>
        <w:rPr>
          <w:rFonts w:ascii="Times New Roman" w:hAnsi="Times New Roman" w:eastAsia="方正仿宋_GBK" w:cs="Times New Roman"/>
          <w:b/>
          <w:color w:val="000000" w:themeColor="text1"/>
          <w:sz w:val="32"/>
          <w:szCs w:val="32"/>
          <w14:textFill>
            <w14:solidFill>
              <w14:schemeClr w14:val="tx1"/>
            </w14:solidFill>
          </w14:textFill>
        </w:rPr>
        <w:t>. 以数字化变革引领全面深化改革。</w:t>
      </w:r>
      <w:r>
        <w:rPr>
          <w:rFonts w:ascii="Times New Roman" w:hAnsi="Times New Roman" w:eastAsia="方正仿宋_GBK" w:cs="Times New Roman"/>
          <w:bCs/>
          <w:color w:val="000000" w:themeColor="text1"/>
          <w:sz w:val="32"/>
          <w:szCs w:val="32"/>
          <w14:textFill>
            <w14:solidFill>
              <w14:schemeClr w14:val="tx1"/>
            </w14:solidFill>
          </w14:textFill>
        </w:rPr>
        <w:t>全面融入全市</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1361</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总体框架布局，推动区级城市运行和治理中心</w:t>
      </w:r>
      <w:r>
        <w:rPr>
          <w:rFonts w:hint="eastAsia" w:ascii="Times New Roman"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镇街治理中心实战实效，促进线上智治平台与线下</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141</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体系深度融合。围绕数字重庆</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六大系统</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，推动核心业务梳理、数据归集、</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一件事</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谋划等核心绩效攻坚突破，</w:t>
      </w:r>
      <w:r>
        <w:rPr>
          <w:rFonts w:hint="eastAsia" w:ascii="Times New Roman" w:hAnsi="Times New Roman" w:eastAsia="方正仿宋_GBK" w:cs="Times New Roman"/>
          <w:bCs/>
          <w:color w:val="000000" w:themeColor="text1"/>
          <w:sz w:val="32"/>
          <w:szCs w:val="32"/>
          <w14:textFill>
            <w14:solidFill>
              <w14:schemeClr w14:val="tx1"/>
            </w14:solidFill>
          </w14:textFill>
        </w:rPr>
        <w:t>实现</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油气存储安全监管</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社区</w:t>
      </w:r>
      <w:r>
        <w:rPr>
          <w:rFonts w:hint="eastAsia" w:ascii="Times New Roman"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前哨</w:t>
      </w:r>
      <w:r>
        <w:rPr>
          <w:rFonts w:hint="eastAsia" w:ascii="Times New Roman"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应用</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等场景开发上线，推动更多典型应用</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一地创新、全市推广</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。围绕企业全生命周期监测数据和城市运行数据归集，持续推进区级数据仓建设。依托</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hint="eastAsia" w:ascii="Times New Roman" w:hAnsi="Times New Roman" w:eastAsia="方正仿宋_GBK" w:cs="Times New Roman"/>
          <w:bCs/>
          <w:color w:val="000000" w:themeColor="text1"/>
          <w:sz w:val="32"/>
          <w:szCs w:val="32"/>
          <w14:textFill>
            <w14:solidFill>
              <w14:schemeClr w14:val="tx1"/>
            </w14:solidFill>
          </w14:textFill>
        </w:rPr>
        <w:t>渝</w:t>
      </w:r>
      <w:r>
        <w:rPr>
          <w:rFonts w:ascii="Times New Roman" w:hAnsi="Times New Roman" w:eastAsia="方正仿宋_GBK" w:cs="Times New Roman"/>
          <w:bCs/>
          <w:color w:val="000000" w:themeColor="text1"/>
          <w:sz w:val="32"/>
          <w:szCs w:val="32"/>
          <w14:textFill>
            <w14:solidFill>
              <w14:schemeClr w14:val="tx1"/>
            </w14:solidFill>
          </w14:textFill>
        </w:rPr>
        <w:t>快政</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提高行政办公效率，加快区域视联网建设，完善</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一网两线</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政务网络布局。依托</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渝快办</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 xml:space="preserve">拓展高频服务事项，以数字赋能利企便民。   </w:t>
      </w:r>
    </w:p>
    <w:p>
      <w:pPr>
        <w:widowControl w:val="0"/>
        <w:spacing w:after="0" w:line="594" w:lineRule="exact"/>
        <w:ind w:firstLine="643" w:firstLineChars="200"/>
        <w:jc w:val="both"/>
        <w:rPr>
          <w:rFonts w:hint="eastAsia" w:ascii="Times New Roman" w:hAnsi="Times New Roman" w:eastAsia="方正仿宋_GBK" w:cs="Times New Roman"/>
          <w:bCs/>
          <w:color w:val="000000" w:themeColor="text1"/>
          <w:sz w:val="32"/>
          <w:szCs w:val="32"/>
          <w:lang w:eastAsia="zh-CN"/>
          <w14:textFill>
            <w14:solidFill>
              <w14:schemeClr w14:val="tx1"/>
            </w14:solidFill>
          </w14:textFill>
        </w:rPr>
      </w:pPr>
      <w:r>
        <w:rPr>
          <w:rFonts w:ascii="Times New Roman" w:hAnsi="Times New Roman" w:eastAsia="方正仿宋_GBK" w:cs="Times New Roman"/>
          <w:b/>
          <w:color w:val="000000" w:themeColor="text1"/>
          <w:sz w:val="32"/>
          <w:szCs w:val="32"/>
          <w14:textFill>
            <w14:solidFill>
              <w14:schemeClr w14:val="tx1"/>
            </w14:solidFill>
          </w14:textFill>
        </w:rPr>
        <w:t>4. 以</w:t>
      </w:r>
      <w:r>
        <w:rPr>
          <w:rFonts w:hint="eastAsia" w:ascii="方正仿宋_GBK" w:hAnsi="Times New Roman" w:eastAsia="方正仿宋_GBK" w:cs="Times New Roman"/>
          <w:b/>
          <w:color w:val="000000" w:themeColor="text1"/>
          <w:sz w:val="32"/>
          <w:szCs w:val="32"/>
          <w14:textFill>
            <w14:solidFill>
              <w14:schemeClr w14:val="tx1"/>
            </w14:solidFill>
          </w14:textFill>
        </w:rPr>
        <w:t>“</w:t>
      </w:r>
      <w:r>
        <w:rPr>
          <w:rFonts w:ascii="Times New Roman" w:hAnsi="Times New Roman" w:eastAsia="方正仿宋_GBK" w:cs="Times New Roman"/>
          <w:b/>
          <w:color w:val="000000" w:themeColor="text1"/>
          <w:sz w:val="32"/>
          <w:szCs w:val="32"/>
          <w14:textFill>
            <w14:solidFill>
              <w14:schemeClr w14:val="tx1"/>
            </w14:solidFill>
          </w14:textFill>
        </w:rPr>
        <w:t>三攻坚一盘活</w:t>
      </w:r>
      <w:r>
        <w:rPr>
          <w:rFonts w:hint="eastAsia" w:ascii="方正仿宋_GBK" w:hAnsi="Times New Roman" w:eastAsia="方正仿宋_GBK" w:cs="Times New Roman"/>
          <w:b/>
          <w:color w:val="000000" w:themeColor="text1"/>
          <w:sz w:val="32"/>
          <w:szCs w:val="32"/>
          <w14:textFill>
            <w14:solidFill>
              <w14:schemeClr w14:val="tx1"/>
            </w14:solidFill>
          </w14:textFill>
        </w:rPr>
        <w:t>”</w:t>
      </w:r>
      <w:r>
        <w:rPr>
          <w:rFonts w:ascii="Times New Roman" w:hAnsi="Times New Roman" w:eastAsia="方正仿宋_GBK" w:cs="Times New Roman"/>
          <w:b/>
          <w:color w:val="000000" w:themeColor="text1"/>
          <w:sz w:val="32"/>
          <w:szCs w:val="32"/>
          <w14:textFill>
            <w14:solidFill>
              <w14:schemeClr w14:val="tx1"/>
            </w14:solidFill>
          </w14:textFill>
        </w:rPr>
        <w:t>改革突破提升国资国企效益。</w:t>
      </w:r>
      <w:r>
        <w:rPr>
          <w:rFonts w:ascii="Times New Roman" w:hAnsi="Times New Roman" w:eastAsia="方正仿宋_GBK" w:cs="Times New Roman"/>
          <w:bCs/>
          <w:color w:val="000000" w:themeColor="text1"/>
          <w:sz w:val="32"/>
          <w:szCs w:val="32"/>
          <w14:textFill>
            <w14:solidFill>
              <w14:schemeClr w14:val="tx1"/>
            </w14:solidFill>
          </w14:textFill>
        </w:rPr>
        <w:t>打赢国企改革攻坚战，深化国企</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瘦身健体</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，强化国企队伍建设，提升统一监管质效，推进国企做大做强，国企资产总额突破700亿元，营业收入达到20亿元，实现利税5亿元。打赢园区改革攻坚战，进一步健全管理体系、优化产业布局、提升招商质效，推进</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亩均论英雄</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改革，强化土地集约节约利用，园区规上工业企业营业收入达到350亿元，规上制造业企业亩均税收增长4%以上。打赢政企分离改革攻坚战，分类推进党政机关、事业单位和镇街所属企业全面</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脱钩</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，实现区级经营性国有资产100%集中统一监管。</w:t>
      </w:r>
      <w:r>
        <w:rPr>
          <w:rFonts w:hint="eastAsia" w:ascii="Times New Roman" w:hAnsi="Times New Roman" w:eastAsia="方正仿宋_GBK" w:cs="Times New Roman"/>
          <w:bCs/>
          <w:color w:val="000000" w:themeColor="text1"/>
          <w:sz w:val="32"/>
          <w:szCs w:val="32"/>
          <w14:textFill>
            <w14:solidFill>
              <w14:schemeClr w14:val="tx1"/>
            </w14:solidFill>
          </w14:textFill>
        </w:rPr>
        <w:t>纵深推进国有资产盘活改革，</w:t>
      </w:r>
      <w:r>
        <w:rPr>
          <w:rFonts w:ascii="Times New Roman" w:hAnsi="Times New Roman" w:eastAsia="方正仿宋_GBK" w:cs="Times New Roman"/>
          <w:bCs/>
          <w:color w:val="000000" w:themeColor="text1"/>
          <w:sz w:val="32"/>
          <w:szCs w:val="32"/>
          <w14:textFill>
            <w14:solidFill>
              <w14:schemeClr w14:val="tx1"/>
            </w14:solidFill>
          </w14:textFill>
        </w:rPr>
        <w:t>深化清产核资，推进资产确权，实现区级党政机关办公用房统一管理、经营性资产统一归并划转</w:t>
      </w:r>
      <w:r>
        <w:rPr>
          <w:rFonts w:hint="eastAsia" w:ascii="Times New Roman" w:hAnsi="Times New Roman" w:eastAsia="方正仿宋_GBK" w:cs="Times New Roman"/>
          <w:bCs/>
          <w:color w:val="000000" w:themeColor="text1"/>
          <w:sz w:val="32"/>
          <w:szCs w:val="32"/>
          <w:lang w:eastAsia="zh-CN"/>
          <w14:textFill>
            <w14:solidFill>
              <w14:schemeClr w14:val="tx1"/>
            </w14:solidFill>
          </w14:textFill>
        </w:rPr>
        <w:t>。</w:t>
      </w:r>
    </w:p>
    <w:p>
      <w:pPr>
        <w:widowControl w:val="0"/>
        <w:spacing w:after="0" w:line="594" w:lineRule="exact"/>
        <w:ind w:firstLine="640" w:firstLineChars="200"/>
        <w:jc w:val="both"/>
        <w:rPr>
          <w:rFonts w:ascii="Times New Roman" w:hAnsi="Times New Roman" w:eastAsia="方正楷体_GBK" w:cs="Times New Roman"/>
          <w:color w:val="000000" w:themeColor="text1"/>
          <w:sz w:val="32"/>
          <w:szCs w:val="32"/>
          <w14:textFill>
            <w14:solidFill>
              <w14:schemeClr w14:val="tx1"/>
            </w14:solidFill>
          </w14:textFill>
        </w:rPr>
      </w:pPr>
      <w:r>
        <w:rPr>
          <w:rFonts w:ascii="Times New Roman" w:hAnsi="Times New Roman" w:eastAsia="方正楷体_GBK" w:cs="Times New Roman"/>
          <w:color w:val="000000" w:themeColor="text1"/>
          <w:sz w:val="32"/>
          <w:szCs w:val="32"/>
          <w14:textFill>
            <w14:solidFill>
              <w14:schemeClr w14:val="tx1"/>
            </w14:solidFill>
          </w14:textFill>
        </w:rPr>
        <w:t>（二）坚持科技创新赋能，锻造产业竞争新优势</w:t>
      </w:r>
    </w:p>
    <w:p>
      <w:pPr>
        <w:widowControl w:val="0"/>
        <w:spacing w:after="0" w:line="594" w:lineRule="exact"/>
        <w:ind w:firstLine="643" w:firstLineChars="200"/>
        <w:jc w:val="both"/>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5. 增强科技创新能力。</w:t>
      </w:r>
      <w:r>
        <w:rPr>
          <w:rFonts w:ascii="Times New Roman" w:hAnsi="Times New Roman" w:eastAsia="方正仿宋_GBK" w:cs="Times New Roman"/>
          <w:color w:val="000000" w:themeColor="text1"/>
          <w:sz w:val="32"/>
          <w:szCs w:val="32"/>
          <w14:textFill>
            <w14:solidFill>
              <w14:schemeClr w14:val="tx1"/>
            </w14:solidFill>
          </w14:textFill>
        </w:rPr>
        <w:t>以科技创新引领现代化产业体系建设，发展新质生产力。落实</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双倍增</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行动计划，</w:t>
      </w:r>
      <w:r>
        <w:rPr>
          <w:rFonts w:hint="eastAsia" w:ascii="Times New Roman" w:hAnsi="Times New Roman" w:eastAsia="方正仿宋_GBK" w:cs="Times New Roman"/>
          <w:color w:val="000000" w:themeColor="text1"/>
          <w:sz w:val="32"/>
          <w:szCs w:val="32"/>
          <w14:textFill>
            <w14:solidFill>
              <w14:schemeClr w14:val="tx1"/>
            </w14:solidFill>
          </w14:textFill>
        </w:rPr>
        <w:t>新增</w:t>
      </w:r>
      <w:r>
        <w:rPr>
          <w:rFonts w:ascii="Times New Roman" w:hAnsi="Times New Roman" w:eastAsia="方正仿宋_GBK" w:cs="Times New Roman"/>
          <w:color w:val="000000" w:themeColor="text1"/>
          <w:sz w:val="32"/>
          <w:szCs w:val="32"/>
          <w14:textFill>
            <w14:solidFill>
              <w14:schemeClr w14:val="tx1"/>
            </w14:solidFill>
          </w14:textFill>
        </w:rPr>
        <w:t>科技型企业100家、高新技术企业20家。推动创新平台集聚，</w:t>
      </w:r>
      <w:r>
        <w:rPr>
          <w:rFonts w:ascii="Times New Roman" w:hAnsi="Times New Roman" w:eastAsia="方正仿宋_GBK" w:cs="Times New Roman"/>
          <w:color w:val="000000" w:themeColor="text1"/>
          <w:kern w:val="2"/>
          <w:sz w:val="32"/>
          <w:szCs w:val="32"/>
          <w14:textFill>
            <w14:solidFill>
              <w14:schemeClr w14:val="tx1"/>
            </w14:solidFill>
          </w14:textFill>
        </w:rPr>
        <w:t>建好用好产业创新联合体、重点实验室、技术创新战略联盟，</w:t>
      </w:r>
      <w:r>
        <w:rPr>
          <w:rFonts w:ascii="Times New Roman" w:hAnsi="Times New Roman" w:eastAsia="方正仿宋_GBK" w:cs="Times New Roman"/>
          <w:color w:val="000000" w:themeColor="text1"/>
          <w:sz w:val="32"/>
          <w:szCs w:val="32"/>
          <w14:textFill>
            <w14:solidFill>
              <w14:schemeClr w14:val="tx1"/>
            </w14:solidFill>
          </w14:textFill>
        </w:rPr>
        <w:t>推动中元汇吉国家级企业技术中心、市医疗器械体外诊断产业公共服务中心等平台建设。巩固提升创新生态，加快</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创新</w:t>
      </w:r>
      <w:r>
        <w:rPr>
          <w:rFonts w:hint="eastAsia" w:ascii="Times New Roman" w:hAnsi="Times New Roman" w:eastAsia="方正仿宋_GBK" w:cs="Times New Roman"/>
          <w:color w:val="000000" w:themeColor="text1"/>
          <w:sz w:val="32"/>
          <w:szCs w:val="32"/>
          <w14:textFill>
            <w14:solidFill>
              <w14:schemeClr w14:val="tx1"/>
            </w14:solidFill>
          </w14:textFill>
        </w:rPr>
        <w:t>十五</w:t>
      </w:r>
      <w:r>
        <w:rPr>
          <w:rFonts w:ascii="Times New Roman" w:hAnsi="Times New Roman" w:eastAsia="方正仿宋_GBK" w:cs="Times New Roman"/>
          <w:color w:val="000000" w:themeColor="text1"/>
          <w:sz w:val="32"/>
          <w:szCs w:val="32"/>
          <w14:textFill>
            <w14:solidFill>
              <w14:schemeClr w14:val="tx1"/>
            </w14:solidFill>
          </w14:textFill>
        </w:rPr>
        <w:t>条</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政策落地，完善科技金融服务，推动知识价值信用贷扩面放量，用好用活创业种子基金，全区研发投入增长10%、研发投入强度达到3.7%，保持全市前列。加快科技成果转化，企业技术合同认定登记金额达到20亿元，万人发明专利拥有量达到27</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5件，位居全市前列。加大引才引智力度，完善</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1+5+N</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人才政策体系，落实卓越工程师</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三大专项</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，办好</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公园大渡口等您来</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系列引才活动</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新增国家级、市级博士后科研工作站各1个。</w:t>
      </w:r>
    </w:p>
    <w:p>
      <w:pPr>
        <w:widowControl w:val="0"/>
        <w:spacing w:after="0" w:line="594" w:lineRule="exact"/>
        <w:ind w:firstLine="643" w:firstLineChars="200"/>
        <w:jc w:val="both"/>
        <w:rPr>
          <w:rFonts w:ascii="Times New Roman" w:hAnsi="Times New Roman" w:eastAsia="方正楷体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6. 做大做强优势制造业。</w:t>
      </w:r>
      <w:r>
        <w:rPr>
          <w:rFonts w:ascii="Times New Roman" w:hAnsi="Times New Roman" w:eastAsia="方正仿宋_GBK" w:cs="Times New Roman"/>
          <w:color w:val="000000" w:themeColor="text1"/>
          <w:sz w:val="32"/>
          <w:szCs w:val="32"/>
          <w14:textFill>
            <w14:solidFill>
              <w14:schemeClr w14:val="tx1"/>
            </w14:solidFill>
          </w14:textFill>
        </w:rPr>
        <w:t>大数据智能化产业方面，建成海康威视三期、萤石生产基地项目，</w:t>
      </w:r>
      <w:r>
        <w:rPr>
          <w:rFonts w:hint="eastAsia" w:ascii="Times New Roman" w:hAnsi="Times New Roman" w:eastAsia="方正仿宋_GBK" w:cs="Times New Roman"/>
          <w:color w:val="000000" w:themeColor="text1"/>
          <w:sz w:val="32"/>
          <w:szCs w:val="32"/>
          <w14:textFill>
            <w14:solidFill>
              <w14:schemeClr w14:val="tx1"/>
            </w14:solidFill>
          </w14:textFill>
        </w:rPr>
        <w:t>服务</w:t>
      </w:r>
      <w:r>
        <w:rPr>
          <w:rFonts w:ascii="Times New Roman" w:hAnsi="Times New Roman" w:eastAsia="方正仿宋_GBK" w:cs="Times New Roman"/>
          <w:color w:val="000000" w:themeColor="text1"/>
          <w:sz w:val="32"/>
          <w:szCs w:val="32"/>
          <w14:textFill>
            <w14:solidFill>
              <w14:schemeClr w14:val="tx1"/>
            </w14:solidFill>
          </w14:textFill>
        </w:rPr>
        <w:t>软信企业发展壮大，全产业营收增长10%。大健康生物医药产业方面，建成中元汇吉生物科技园，</w:t>
      </w:r>
      <w:r>
        <w:rPr>
          <w:rFonts w:hint="eastAsia" w:ascii="Times New Roman" w:hAnsi="Times New Roman" w:eastAsia="方正仿宋_GBK" w:cs="Times New Roman"/>
          <w:color w:val="000000" w:themeColor="text1"/>
          <w:sz w:val="32"/>
          <w:szCs w:val="32"/>
          <w14:textFill>
            <w14:solidFill>
              <w14:schemeClr w14:val="tx1"/>
            </w14:solidFill>
          </w14:textFill>
        </w:rPr>
        <w:t>推动</w:t>
      </w:r>
      <w:r>
        <w:rPr>
          <w:rFonts w:ascii="Times New Roman" w:hAnsi="Times New Roman" w:eastAsia="方正仿宋_GBK" w:cs="Times New Roman"/>
          <w:color w:val="000000" w:themeColor="text1"/>
          <w:sz w:val="32"/>
          <w:szCs w:val="32"/>
          <w14:textFill>
            <w14:solidFill>
              <w14:schemeClr w14:val="tx1"/>
            </w14:solidFill>
          </w14:textFill>
        </w:rPr>
        <w:t>创新型区域检验中心建设，组建全市体外诊断供应链公共服务平台和流通行业联盟，全产业营收增长25%。生态环保产业方面，依托三峰环境、德润环境等企业拓展延伸垃圾焚烧发电产业链，布局储能、协同供热、环卫一体化等产业新赛道，加快中南高科智能制造科技园等项目建设，全产业营收增长25%。新材料产业方面，</w:t>
      </w:r>
      <w:r>
        <w:rPr>
          <w:rFonts w:hint="eastAsia" w:ascii="Times New Roman" w:hAnsi="Times New Roman" w:eastAsia="方正仿宋_GBK" w:cs="Times New Roman"/>
          <w:color w:val="000000" w:themeColor="text1"/>
          <w:sz w:val="32"/>
          <w:szCs w:val="32"/>
          <w14:textFill>
            <w14:solidFill>
              <w14:schemeClr w14:val="tx1"/>
            </w14:solidFill>
          </w14:textFill>
        </w:rPr>
        <w:t>推动</w:t>
      </w:r>
      <w:r>
        <w:rPr>
          <w:rFonts w:ascii="Times New Roman" w:hAnsi="Times New Roman" w:eastAsia="方正仿宋_GBK" w:cs="Times New Roman"/>
          <w:color w:val="000000" w:themeColor="text1"/>
          <w:sz w:val="32"/>
          <w:szCs w:val="32"/>
          <w14:textFill>
            <w14:solidFill>
              <w14:schemeClr w14:val="tx1"/>
            </w14:solidFill>
          </w14:textFill>
        </w:rPr>
        <w:t>国际复材打造玻纤复合材料下游应用产业园，建成节能门窗生产线等项目，全产业营收增长12%。重庆小面产业方面，加快重庆小面</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八个一</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新发展战略落地，</w:t>
      </w:r>
      <w:r>
        <w:rPr>
          <w:rFonts w:hint="eastAsia" w:ascii="Times New Roman" w:hAnsi="Times New Roman" w:eastAsia="方正仿宋_GBK" w:cs="Times New Roman"/>
          <w:color w:val="000000" w:themeColor="text1"/>
          <w:sz w:val="32"/>
          <w:szCs w:val="32"/>
          <w14:textFill>
            <w14:solidFill>
              <w14:schemeClr w14:val="tx1"/>
            </w14:solidFill>
          </w14:textFill>
        </w:rPr>
        <w:t>完工</w:t>
      </w:r>
      <w:r>
        <w:rPr>
          <w:rFonts w:ascii="Times New Roman" w:hAnsi="Times New Roman" w:eastAsia="方正仿宋_GBK" w:cs="Times New Roman"/>
          <w:color w:val="000000" w:themeColor="text1"/>
          <w:sz w:val="32"/>
          <w:szCs w:val="32"/>
          <w14:textFill>
            <w14:solidFill>
              <w14:schemeClr w14:val="tx1"/>
            </w14:solidFill>
          </w14:textFill>
        </w:rPr>
        <w:t>重庆小面产业园生产中心二期</w:t>
      </w:r>
      <w:r>
        <w:rPr>
          <w:rFonts w:hint="eastAsia" w:ascii="Times New Roman" w:hAnsi="Times New Roman" w:eastAsia="方正仿宋_GBK" w:cs="Times New Roman"/>
          <w:color w:val="000000" w:themeColor="text1"/>
          <w:sz w:val="32"/>
          <w:szCs w:val="32"/>
          <w14:textFill>
            <w14:solidFill>
              <w14:schemeClr w14:val="tx1"/>
            </w14:solidFill>
          </w14:textFill>
        </w:rPr>
        <w:t>项目</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提速</w:t>
      </w:r>
      <w:r>
        <w:rPr>
          <w:rFonts w:ascii="Times New Roman" w:hAnsi="Times New Roman" w:eastAsia="方正仿宋_GBK" w:cs="Times New Roman"/>
          <w:color w:val="000000" w:themeColor="text1"/>
          <w:sz w:val="32"/>
          <w:szCs w:val="32"/>
          <w14:textFill>
            <w14:solidFill>
              <w14:schemeClr w14:val="tx1"/>
            </w14:solidFill>
          </w14:textFill>
        </w:rPr>
        <w:t>重庆市麦制品产业集群公共服务平台建设，推动供应链体系构建、品牌连锁推广、产业基金组建等工作，助力产业爆发式增长</w:t>
      </w:r>
      <w:r>
        <w:rPr>
          <w:rFonts w:ascii="Times New Roman" w:hAnsi="Times New Roman" w:eastAsia="方正仿宋_GBK" w:cs="Times New Roman"/>
          <w:color w:val="000000" w:themeColor="text1"/>
          <w:sz w:val="32"/>
          <w:szCs w:val="32"/>
          <w:lang w:bidi="ar"/>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推动传统产业转型升级，</w:t>
      </w:r>
      <w:r>
        <w:rPr>
          <w:rFonts w:hint="eastAsia" w:ascii="Times New Roman" w:hAnsi="Times New Roman" w:eastAsia="方正仿宋_GBK" w:cs="Times New Roman"/>
          <w:color w:val="000000" w:themeColor="text1"/>
          <w:sz w:val="32"/>
          <w:szCs w:val="32"/>
          <w14:textFill>
            <w14:solidFill>
              <w14:schemeClr w14:val="tx1"/>
            </w14:solidFill>
          </w14:textFill>
        </w:rPr>
        <w:t>深入实施制造业重大技术改造升级和大规模设备更新工程，</w:t>
      </w:r>
      <w:r>
        <w:rPr>
          <w:rFonts w:ascii="Times New Roman" w:hAnsi="Times New Roman" w:eastAsia="方正仿宋_GBK" w:cs="Times New Roman"/>
          <w:color w:val="000000" w:themeColor="text1"/>
          <w:sz w:val="32"/>
          <w:szCs w:val="32"/>
          <w14:textFill>
            <w14:solidFill>
              <w14:schemeClr w14:val="tx1"/>
            </w14:solidFill>
          </w14:textFill>
        </w:rPr>
        <w:t>完成企业技改项目20个，力促虬龙总部主体完工，确保春风动力一期投产，整合全区汽摩配企业资源，加快向高端化、智能化、绿色化方向转型发展。加快推动重钢与宝武集团融合发展，拓展企业在区布局。出台《建筑业高质量发展若干措施（试行）》，竣工中冶</w:t>
      </w:r>
      <w:r>
        <w:rPr>
          <w:rFonts w:hint="eastAsia" w:ascii="Times New Roman" w:hAnsi="Times New Roman" w:eastAsia="方正仿宋_GBK" w:cs="Times New Roman"/>
          <w:color w:val="000000" w:themeColor="text1"/>
          <w:sz w:val="32"/>
          <w:szCs w:val="32"/>
          <w14:textFill>
            <w14:solidFill>
              <w14:schemeClr w14:val="tx1"/>
            </w14:solidFill>
          </w14:textFill>
        </w:rPr>
        <w:t>建工</w:t>
      </w:r>
      <w:r>
        <w:rPr>
          <w:rFonts w:ascii="Times New Roman" w:hAnsi="Times New Roman" w:eastAsia="方正仿宋_GBK" w:cs="Times New Roman"/>
          <w:color w:val="000000" w:themeColor="text1"/>
          <w:sz w:val="32"/>
          <w:szCs w:val="32"/>
          <w14:textFill>
            <w14:solidFill>
              <w14:schemeClr w14:val="tx1"/>
            </w14:solidFill>
          </w14:textFill>
        </w:rPr>
        <w:t>绿色建筑材料</w:t>
      </w:r>
      <w:r>
        <w:rPr>
          <w:rFonts w:hint="eastAsia" w:ascii="Times New Roman" w:hAnsi="Times New Roman" w:eastAsia="方正仿宋_GBK" w:cs="Times New Roman"/>
          <w:color w:val="000000" w:themeColor="text1"/>
          <w:sz w:val="32"/>
          <w:szCs w:val="32"/>
          <w14:textFill>
            <w14:solidFill>
              <w14:schemeClr w14:val="tx1"/>
            </w14:solidFill>
          </w14:textFill>
        </w:rPr>
        <w:t>中试及转换基地</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重庆建工</w:t>
      </w:r>
      <w:r>
        <w:rPr>
          <w:rFonts w:ascii="Times New Roman" w:hAnsi="Times New Roman" w:eastAsia="方正仿宋_GBK" w:cs="Times New Roman"/>
          <w:color w:val="000000" w:themeColor="text1"/>
          <w:sz w:val="32"/>
          <w:szCs w:val="32"/>
          <w14:textFill>
            <w14:solidFill>
              <w14:schemeClr w14:val="tx1"/>
            </w14:solidFill>
          </w14:textFill>
        </w:rPr>
        <w:t>新型绿色环保建材智能生产示范基地等项目，</w:t>
      </w:r>
      <w:r>
        <w:rPr>
          <w:rFonts w:ascii="Times New Roman" w:hAnsi="Times New Roman" w:eastAsia="方正仿宋_GBK" w:cs="Times New Roman"/>
          <w:bCs/>
          <w:color w:val="000000" w:themeColor="text1"/>
          <w:sz w:val="32"/>
          <w:szCs w:val="32"/>
          <w:shd w:val="clear" w:color="auto" w:fill="FFFFFF"/>
          <w14:textFill>
            <w14:solidFill>
              <w14:schemeClr w14:val="tx1"/>
            </w14:solidFill>
          </w14:textFill>
        </w:rPr>
        <w:t>全年建筑业产值增长</w:t>
      </w:r>
      <w:r>
        <w:rPr>
          <w:rFonts w:ascii="Times New Roman" w:hAnsi="Times New Roman" w:eastAsia="方正楷体_GBK" w:cs="Times New Roman"/>
          <w:bCs/>
          <w:color w:val="000000" w:themeColor="text1"/>
          <w:sz w:val="32"/>
          <w:szCs w:val="32"/>
          <w:shd w:val="clear" w:color="auto" w:fill="FFFFFF"/>
          <w14:textFill>
            <w14:solidFill>
              <w14:schemeClr w14:val="tx1"/>
            </w14:solidFill>
          </w14:textFill>
        </w:rPr>
        <w:t>14%</w:t>
      </w:r>
      <w:r>
        <w:rPr>
          <w:rFonts w:hint="eastAsia" w:ascii="Times New Roman" w:hAnsi="Times New Roman" w:eastAsia="方正仿宋_GBK" w:cs="Times New Roman"/>
          <w:color w:val="000000" w:themeColor="text1"/>
          <w:sz w:val="32"/>
          <w:szCs w:val="32"/>
          <w14:textFill>
            <w14:solidFill>
              <w14:schemeClr w14:val="tx1"/>
            </w14:solidFill>
          </w14:textFill>
        </w:rPr>
        <w:t>以上</w:t>
      </w:r>
      <w:r>
        <w:rPr>
          <w:rFonts w:ascii="Times New Roman" w:hAnsi="Times New Roman" w:eastAsia="方正楷体_GBK" w:cs="Times New Roman"/>
          <w:color w:val="000000" w:themeColor="text1"/>
          <w:sz w:val="32"/>
          <w:szCs w:val="32"/>
          <w14:textFill>
            <w14:solidFill>
              <w14:schemeClr w14:val="tx1"/>
            </w14:solidFill>
          </w14:textFill>
        </w:rPr>
        <w:t>。</w:t>
      </w:r>
    </w:p>
    <w:p>
      <w:pPr>
        <w:pStyle w:val="24"/>
        <w:widowControl w:val="0"/>
        <w:spacing w:after="0" w:line="594" w:lineRule="exact"/>
        <w:ind w:left="0" w:firstLine="643" w:firstLineChars="200"/>
        <w:jc w:val="both"/>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7. 狠抓服务业增量补短。</w:t>
      </w:r>
      <w:r>
        <w:rPr>
          <w:rFonts w:ascii="Times New Roman" w:hAnsi="Times New Roman" w:eastAsia="方正仿宋_GBK" w:cs="Times New Roman"/>
          <w:color w:val="000000" w:themeColor="text1"/>
          <w:sz w:val="32"/>
          <w:szCs w:val="32"/>
          <w14:textFill>
            <w14:solidFill>
              <w14:schemeClr w14:val="tx1"/>
            </w14:solidFill>
          </w14:textFill>
        </w:rPr>
        <w:t>实施服务业三年倍增计划，推动商贸服务提质升级，加快龙湖剑峤天街、天安数码城三期等项目建设，推动万象汇B馆开业运营，完工投用盘龙汇综合交易配送中心，培育建设西城大道新能源汽摩集聚消费区，全年新增纳统商贸单位100家以上。推动文旅服务加快发展，</w:t>
      </w:r>
      <w:r>
        <w:rPr>
          <w:rFonts w:hint="eastAsia" w:ascii="Times New Roman" w:hAnsi="Times New Roman" w:eastAsia="方正仿宋_GBK" w:cs="Times New Roman"/>
          <w:color w:val="000000" w:themeColor="text1"/>
          <w:sz w:val="32"/>
          <w:szCs w:val="32"/>
          <w14:textFill>
            <w14:solidFill>
              <w14:schemeClr w14:val="tx1"/>
            </w14:solidFill>
          </w14:textFill>
        </w:rPr>
        <w:t>启动</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新港码头—大渡村—义渡古镇</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连片开发，</w:t>
      </w:r>
      <w:r>
        <w:rPr>
          <w:rFonts w:ascii="Times New Roman" w:hAnsi="Times New Roman" w:eastAsia="方正仿宋_GBK" w:cs="Times New Roman"/>
          <w:color w:val="000000" w:themeColor="text1"/>
          <w:sz w:val="32"/>
          <w:szCs w:val="32"/>
          <w14:textFill>
            <w14:solidFill>
              <w14:schemeClr w14:val="tx1"/>
            </w14:solidFill>
          </w14:textFill>
        </w:rPr>
        <w:t>加快大渡口缆车等项目建设，依托义渡古镇片区、南海温泉片区文旅载体，打造爆款过夜游产品。提速建设高标准酒店，积极引育会展企业。依托影视产业基地招引30家上下游企业入驻，新增文旅企业35家，文化产业增加值增长8 %以上。推动现代金融业扩容提质，支持金融机构提升规模，支持股权投资类机构提升业绩，争取阿里资产西部公司等优质企业和金融机构落户</w:t>
      </w:r>
      <w:r>
        <w:rPr>
          <w:rFonts w:hint="eastAsia"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推动现代物流特色发展，加快万吨商旅融合总部基地建设，推动</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万吨通</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hint="eastAsia" w:ascii="方正仿宋_GBK" w:hAnsi="方正仿宋_GBK" w:eastAsia="方正仿宋_GBK" w:cs="Times New Roman"/>
          <w:color w:val="000000" w:themeColor="text1"/>
          <w:sz w:val="32"/>
          <w:szCs w:val="32"/>
          <w14:textFill>
            <w14:solidFill>
              <w14:schemeClr w14:val="tx1"/>
            </w14:solidFill>
          </w14:textFill>
        </w:rPr>
        <w:t>平台</w:t>
      </w:r>
      <w:r>
        <w:rPr>
          <w:rFonts w:ascii="Times New Roman" w:hAnsi="Times New Roman" w:eastAsia="方正仿宋_GBK" w:cs="Times New Roman"/>
          <w:color w:val="000000" w:themeColor="text1"/>
          <w:sz w:val="32"/>
          <w:szCs w:val="32"/>
          <w14:textFill>
            <w14:solidFill>
              <w14:schemeClr w14:val="tx1"/>
            </w14:solidFill>
          </w14:textFill>
        </w:rPr>
        <w:t>落地运营，争创国家骨干冷链物流基地；</w:t>
      </w:r>
      <w:r>
        <w:rPr>
          <w:rFonts w:hint="eastAsia" w:ascii="Times New Roman" w:hAnsi="Times New Roman" w:eastAsia="方正仿宋_GBK" w:cs="Times New Roman"/>
          <w:color w:val="000000" w:themeColor="text1"/>
          <w:sz w:val="32"/>
          <w:szCs w:val="32"/>
          <w14:textFill>
            <w14:solidFill>
              <w14:schemeClr w14:val="tx1"/>
            </w14:solidFill>
          </w14:textFill>
        </w:rPr>
        <w:t>推动</w:t>
      </w:r>
      <w:r>
        <w:rPr>
          <w:rFonts w:ascii="Times New Roman" w:hAnsi="Times New Roman" w:eastAsia="方正仿宋_GBK" w:cs="Times New Roman"/>
          <w:color w:val="000000" w:themeColor="text1"/>
          <w:sz w:val="32"/>
          <w:szCs w:val="32"/>
          <w14:textFill>
            <w14:solidFill>
              <w14:schemeClr w14:val="tx1"/>
            </w14:solidFill>
          </w14:textFill>
        </w:rPr>
        <w:t>龙文钢材市场转型升级，实现数字化交易平台试运营。推动专业服务多点开花，引导天安数码城、华伦元石国际打造生物医药商贸专业园区，培育发展研发设计、检验检测、科技服务等专业服务业。全年服务业增加值增长6%以上，新增规上服务业企业40家。</w:t>
      </w:r>
    </w:p>
    <w:p>
      <w:pPr>
        <w:pStyle w:val="24"/>
        <w:widowControl w:val="0"/>
        <w:spacing w:after="0" w:line="594" w:lineRule="exact"/>
        <w:ind w:left="0" w:firstLine="643" w:firstLineChars="200"/>
        <w:jc w:val="both"/>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color w:val="000000" w:themeColor="text1"/>
          <w:sz w:val="32"/>
          <w:szCs w:val="32"/>
          <w14:textFill>
            <w14:solidFill>
              <w14:schemeClr w14:val="tx1"/>
            </w14:solidFill>
          </w14:textFill>
        </w:rPr>
        <w:t>8. 抢占数字经济新赛道。</w:t>
      </w:r>
      <w:r>
        <w:rPr>
          <w:rFonts w:ascii="Times New Roman" w:hAnsi="Times New Roman" w:eastAsia="方正仿宋_GBK" w:cs="Times New Roman"/>
          <w:color w:val="000000" w:themeColor="text1"/>
          <w:sz w:val="32"/>
          <w:szCs w:val="32"/>
          <w14:textFill>
            <w14:solidFill>
              <w14:schemeClr w14:val="tx1"/>
            </w14:solidFill>
          </w14:textFill>
        </w:rPr>
        <w:t>加快数智转型，引导企业争创数字化转型试点示范、双化协同示范，</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积极</w:t>
      </w:r>
      <w:r>
        <w:rPr>
          <w:rFonts w:ascii="Times New Roman" w:hAnsi="Times New Roman" w:eastAsia="方正仿宋_GBK" w:cs="Times New Roman"/>
          <w:color w:val="000000" w:themeColor="text1"/>
          <w:sz w:val="32"/>
          <w:szCs w:val="32"/>
          <w14:textFill>
            <w14:solidFill>
              <w14:schemeClr w14:val="tx1"/>
            </w14:solidFill>
          </w14:textFill>
        </w:rPr>
        <w:t>新建智能工厂、数字化车间。深入实施</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满天星</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行动，盘活楼宇10万平方米以上，加快推动华韶智算中心、东华软件西南总部基地等项目建设，做大做强软件产业园，积极培育</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启明星</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北斗星</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企业，全年新引育软件企业50家，实现</w:t>
      </w:r>
      <w:r>
        <w:rPr>
          <w:rFonts w:hint="eastAsia" w:ascii="Times New Roman" w:hAnsi="Times New Roman" w:eastAsia="方正仿宋_GBK" w:cs="Times New Roman"/>
          <w:color w:val="000000" w:themeColor="text1"/>
          <w:sz w:val="32"/>
          <w:szCs w:val="32"/>
          <w14:textFill>
            <w14:solidFill>
              <w14:schemeClr w14:val="tx1"/>
            </w14:solidFill>
          </w14:textFill>
        </w:rPr>
        <w:t>软件产业</w:t>
      </w:r>
      <w:r>
        <w:rPr>
          <w:rFonts w:ascii="Times New Roman" w:hAnsi="Times New Roman" w:eastAsia="方正仿宋_GBK" w:cs="Times New Roman"/>
          <w:color w:val="000000" w:themeColor="text1"/>
          <w:sz w:val="32"/>
          <w:szCs w:val="32"/>
          <w14:textFill>
            <w14:solidFill>
              <w14:schemeClr w14:val="tx1"/>
            </w14:solidFill>
          </w14:textFill>
        </w:rPr>
        <w:t>营收增长30%。实施专精特新</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小巨人</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企业倍增计划，新增</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专精特新</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企业12家</w:t>
      </w:r>
      <w:r>
        <w:rPr>
          <w:rFonts w:hint="eastAsia" w:ascii="Times New Roman" w:hAnsi="Times New Roman" w:eastAsia="方正仿宋_GBK" w:cs="Times New Roman"/>
          <w:color w:val="000000" w:themeColor="text1"/>
          <w:sz w:val="32"/>
          <w:szCs w:val="32"/>
          <w14:textFill>
            <w14:solidFill>
              <w14:schemeClr w14:val="tx1"/>
            </w14:solidFill>
          </w14:textFill>
        </w:rPr>
        <w:t>以上</w:t>
      </w: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小巨人</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企业1家。推进重庆市现代产业链服务平台做深做实，力争完成授信5亿元以上，新增1家以上合作银行。</w:t>
      </w:r>
    </w:p>
    <w:p>
      <w:pPr>
        <w:widowControl w:val="0"/>
        <w:spacing w:after="0" w:line="594" w:lineRule="exact"/>
        <w:jc w:val="center"/>
        <w:rPr>
          <w:rFonts w:ascii="Times New Roman" w:hAnsi="Times New Roman" w:eastAsia="方正黑体_GBK" w:cs="Times New Roman"/>
          <w:color w:val="000000" w:themeColor="text1"/>
          <w:sz w:val="28"/>
          <w:szCs w:val="28"/>
          <w14:textFill>
            <w14:solidFill>
              <w14:schemeClr w14:val="tx1"/>
            </w14:solidFill>
          </w14:textFill>
        </w:rPr>
      </w:pPr>
      <w:r>
        <w:rPr>
          <w:rFonts w:ascii="Times New Roman" w:hAnsi="Times New Roman" w:eastAsia="方正黑体_GBK" w:cs="Times New Roman"/>
          <w:color w:val="000000" w:themeColor="text1"/>
          <w:sz w:val="28"/>
          <w:szCs w:val="28"/>
          <w14:textFill>
            <w14:solidFill>
              <w14:schemeClr w14:val="tx1"/>
            </w14:solidFill>
          </w14:textFill>
        </w:rPr>
        <w:t>专栏</w:t>
      </w:r>
      <w:r>
        <w:rPr>
          <w:rFonts w:hint="eastAsia" w:ascii="Times New Roman" w:hAnsi="Times New Roman" w:eastAsia="方正黑体_GBK" w:cs="Times New Roman"/>
          <w:color w:val="000000" w:themeColor="text1"/>
          <w:sz w:val="28"/>
          <w:szCs w:val="28"/>
          <w:lang w:val="en-US" w:eastAsia="zh-CN"/>
          <w14:textFill>
            <w14:solidFill>
              <w14:schemeClr w14:val="tx1"/>
            </w14:solidFill>
          </w14:textFill>
        </w:rPr>
        <w:t>2</w:t>
      </w:r>
      <w:r>
        <w:rPr>
          <w:rFonts w:ascii="Times New Roman" w:hAnsi="Times New Roman" w:eastAsia="方正黑体_GBK" w:cs="Times New Roman"/>
          <w:color w:val="000000" w:themeColor="text1"/>
          <w:sz w:val="28"/>
          <w:szCs w:val="28"/>
          <w14:textFill>
            <w14:solidFill>
              <w14:schemeClr w14:val="tx1"/>
            </w14:solidFill>
          </w14:textFill>
        </w:rPr>
        <w:t>：2024年产业建设重点项目</w:t>
      </w:r>
    </w:p>
    <w:tbl>
      <w:tblPr>
        <w:tblStyle w:val="13"/>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118" w:type="dxa"/>
            <w:vAlign w:val="center"/>
          </w:tcPr>
          <w:p>
            <w:pPr>
              <w:widowControl w:val="0"/>
              <w:tabs>
                <w:tab w:val="left" w:pos="1534"/>
              </w:tabs>
              <w:spacing w:after="0" w:line="260" w:lineRule="exact"/>
              <w:jc w:val="both"/>
              <w:rPr>
                <w:rFonts w:ascii="Times New Roman" w:hAnsi="Times New Roman" w:eastAsia="方正仿宋_GBK" w:cs="Times New Roman"/>
                <w:bCs/>
                <w:color w:val="000000" w:themeColor="text1"/>
                <w:sz w:val="21"/>
                <w:szCs w:val="21"/>
                <w14:textFill>
                  <w14:solidFill>
                    <w14:schemeClr w14:val="tx1"/>
                  </w14:solidFill>
                </w14:textFill>
              </w:rPr>
            </w:pPr>
            <w:r>
              <w:rPr>
                <w:rFonts w:ascii="Times New Roman" w:hAnsi="Times New Roman" w:eastAsia="方正黑体_GBK" w:cs="Times New Roman"/>
                <w:bCs/>
                <w:color w:val="000000" w:themeColor="text1"/>
                <w:sz w:val="21"/>
                <w:szCs w:val="21"/>
                <w14:textFill>
                  <w14:solidFill>
                    <w14:schemeClr w14:val="tx1"/>
                  </w14:solidFill>
                </w14:textFill>
              </w:rPr>
              <w:t>新兴产业项目：</w:t>
            </w:r>
            <w:r>
              <w:rPr>
                <w:rFonts w:ascii="Times New Roman" w:hAnsi="Times New Roman" w:eastAsia="方正仿宋_GBK" w:cs="Times New Roman"/>
                <w:bCs/>
                <w:color w:val="000000" w:themeColor="text1"/>
                <w:sz w:val="21"/>
                <w:szCs w:val="21"/>
                <w14:textFill>
                  <w14:solidFill>
                    <w14:schemeClr w14:val="tx1"/>
                  </w14:solidFill>
                </w14:textFill>
              </w:rPr>
              <w:t>海康威视科技园三期、萤石生产基地、华韶智算中心一期项目、宝武西南总部、东华软件西南总部基地、中元汇吉生物科技园、N10</w:t>
            </w:r>
            <w:r>
              <w:rPr>
                <w:rFonts w:hint="eastAsia" w:ascii="Times New Roman" w:hAnsi="Times New Roman" w:eastAsia="方正仿宋_GBK" w:cs="Times New Roman"/>
                <w:bCs/>
                <w:color w:val="000000" w:themeColor="text1"/>
                <w:sz w:val="21"/>
                <w:szCs w:val="21"/>
                <w14:textFill>
                  <w14:solidFill>
                    <w14:schemeClr w14:val="tx1"/>
                  </w14:solidFill>
                </w14:textFill>
              </w:rPr>
              <w:t>-</w:t>
            </w:r>
            <w:r>
              <w:rPr>
                <w:rFonts w:ascii="Times New Roman" w:hAnsi="Times New Roman" w:eastAsia="方正仿宋_GBK" w:cs="Times New Roman"/>
                <w:bCs/>
                <w:color w:val="000000" w:themeColor="text1"/>
                <w:sz w:val="21"/>
                <w:szCs w:val="21"/>
                <w14:textFill>
                  <w14:solidFill>
                    <w14:schemeClr w14:val="tx1"/>
                  </w14:solidFill>
                </w14:textFill>
              </w:rPr>
              <w:t>2</w:t>
            </w:r>
            <w:r>
              <w:rPr>
                <w:rFonts w:hint="eastAsia" w:ascii="Times New Roman" w:hAnsi="Times New Roman" w:eastAsia="方正仿宋_GBK" w:cs="Times New Roman"/>
                <w:bCs/>
                <w:color w:val="000000" w:themeColor="text1"/>
                <w:sz w:val="21"/>
                <w:szCs w:val="21"/>
                <w14:textFill>
                  <w14:solidFill>
                    <w14:schemeClr w14:val="tx1"/>
                  </w14:solidFill>
                </w14:textFill>
              </w:rPr>
              <w:t>-</w:t>
            </w:r>
            <w:r>
              <w:rPr>
                <w:rFonts w:ascii="Times New Roman" w:hAnsi="Times New Roman" w:eastAsia="方正仿宋_GBK" w:cs="Times New Roman"/>
                <w:bCs/>
                <w:color w:val="000000" w:themeColor="text1"/>
                <w:sz w:val="21"/>
                <w:szCs w:val="21"/>
                <w14:textFill>
                  <w14:solidFill>
                    <w14:schemeClr w14:val="tx1"/>
                  </w14:solidFill>
                </w14:textFill>
              </w:rPr>
              <w:t>1</w:t>
            </w:r>
            <w:r>
              <w:rPr>
                <w:rFonts w:hint="eastAsia" w:ascii="Times New Roman" w:hAnsi="Times New Roman" w:eastAsia="方正仿宋_GBK" w:cs="Times New Roman"/>
                <w:bCs/>
                <w:color w:val="000000" w:themeColor="text1"/>
                <w:sz w:val="21"/>
                <w:szCs w:val="21"/>
                <w14:textFill>
                  <w14:solidFill>
                    <w14:schemeClr w14:val="tx1"/>
                  </w14:solidFill>
                </w14:textFill>
              </w:rPr>
              <w:t>地块生物医药产业园三期项目</w:t>
            </w:r>
            <w:r>
              <w:rPr>
                <w:rFonts w:ascii="Times New Roman" w:hAnsi="Times New Roman" w:eastAsia="方正仿宋_GBK" w:cs="Times New Roman"/>
                <w:bCs/>
                <w:color w:val="000000" w:themeColor="text1"/>
                <w:sz w:val="21"/>
                <w:szCs w:val="21"/>
                <w14:textFill>
                  <w14:solidFill>
                    <w14:schemeClr w14:val="tx1"/>
                  </w14:solidFill>
                </w14:textFill>
              </w:rPr>
              <w:t>、虬龙科技研发总部项目、中南高科智能制造科技园项目、聚氨酯节能门窗生产线项目、新能源汽车减速器及自动变速器用高精度齿轮产能提升项目、</w:t>
            </w:r>
            <w:r>
              <w:rPr>
                <w:rStyle w:val="36"/>
                <w:rFonts w:hint="default" w:ascii="Times New Roman" w:hAnsi="Times New Roman" w:eastAsia="方正仿宋_GBK" w:cs="Times New Roman"/>
                <w:color w:val="000000" w:themeColor="text1"/>
                <w:sz w:val="21"/>
                <w:szCs w:val="21"/>
                <w:lang w:bidi="ar"/>
                <w14:textFill>
                  <w14:solidFill>
                    <w14:schemeClr w14:val="tx1"/>
                  </w14:solidFill>
                </w14:textFill>
              </w:rPr>
              <w:t>重庆市麦制品产业集群公共服务平台、</w:t>
            </w:r>
            <w:r>
              <w:rPr>
                <w:rFonts w:ascii="Times New Roman" w:hAnsi="Times New Roman" w:eastAsia="方正仿宋_GBK" w:cs="Times New Roman"/>
                <w:bCs/>
                <w:color w:val="000000" w:themeColor="text1"/>
                <w:sz w:val="21"/>
                <w:szCs w:val="21"/>
                <w14:textFill>
                  <w14:solidFill>
                    <w14:schemeClr w14:val="tx1"/>
                  </w14:solidFill>
                </w14:textFill>
              </w:rPr>
              <w:t>井谷元重庆小面调味料车间建设、红九九扩能搬迁项目、快消品研发生产基地标准厂房项目、钰鑫快消品研发中心及生产项目、</w:t>
            </w:r>
            <w:r>
              <w:rPr>
                <w:rStyle w:val="36"/>
                <w:rFonts w:hint="default" w:ascii="Times New Roman" w:hAnsi="Times New Roman" w:eastAsia="方正仿宋_GBK" w:cs="Times New Roman"/>
                <w:color w:val="000000" w:themeColor="text1"/>
                <w:sz w:val="21"/>
                <w:szCs w:val="21"/>
                <w:lang w:bidi="ar"/>
                <w14:textFill>
                  <w14:solidFill>
                    <w14:schemeClr w14:val="tx1"/>
                  </w14:solidFill>
                </w14:textFill>
              </w:rPr>
              <w:t>春风动力摩托车制造基地、</w:t>
            </w:r>
            <w:r>
              <w:rPr>
                <w:rFonts w:ascii="Times New Roman" w:hAnsi="Times New Roman" w:eastAsia="方正仿宋_GBK" w:cs="Times New Roman"/>
                <w:bCs/>
                <w:color w:val="000000" w:themeColor="text1"/>
                <w:sz w:val="21"/>
                <w:szCs w:val="21"/>
                <w14:textFill>
                  <w14:solidFill>
                    <w14:schemeClr w14:val="tx1"/>
                  </w14:solidFill>
                </w14:textFill>
              </w:rPr>
              <w:t>兴达汽车线束总成生产基地技术改造项目二期、</w:t>
            </w:r>
            <w:r>
              <w:rPr>
                <w:rFonts w:hint="eastAsia" w:ascii="Times New Roman" w:hAnsi="Times New Roman" w:eastAsia="方正仿宋_GBK" w:cs="Times New Roman"/>
                <w:bCs/>
                <w:color w:val="000000" w:themeColor="text1"/>
                <w:sz w:val="21"/>
                <w:szCs w:val="21"/>
                <w14:textFill>
                  <w14:solidFill>
                    <w14:schemeClr w14:val="tx1"/>
                  </w14:solidFill>
                </w14:textFill>
              </w:rPr>
              <w:t>重庆建工</w:t>
            </w:r>
            <w:r>
              <w:rPr>
                <w:rFonts w:ascii="Times New Roman" w:hAnsi="Times New Roman" w:eastAsia="方正仿宋_GBK" w:cs="Times New Roman"/>
                <w:bCs/>
                <w:color w:val="000000" w:themeColor="text1"/>
                <w:sz w:val="21"/>
                <w:szCs w:val="21"/>
                <w14:textFill>
                  <w14:solidFill>
                    <w14:schemeClr w14:val="tx1"/>
                  </w14:solidFill>
                </w14:textFill>
              </w:rPr>
              <w:t>新型绿色环保建材智能生产示范基地、</w:t>
            </w:r>
            <w:r>
              <w:rPr>
                <w:rFonts w:hint="eastAsia" w:ascii="Times New Roman" w:hAnsi="Times New Roman" w:eastAsia="方正仿宋_GBK" w:cs="Times New Roman"/>
                <w:bCs/>
                <w:color w:val="000000" w:themeColor="text1"/>
                <w:sz w:val="21"/>
                <w:szCs w:val="21"/>
                <w14:textFill>
                  <w14:solidFill>
                    <w14:schemeClr w14:val="tx1"/>
                  </w14:solidFill>
                </w14:textFill>
              </w:rPr>
              <w:t>中冶建工绿色建筑材料中试及转换基地</w:t>
            </w:r>
          </w:p>
          <w:p>
            <w:pPr>
              <w:widowControl w:val="0"/>
              <w:spacing w:after="0" w:line="260" w:lineRule="exact"/>
              <w:jc w:val="both"/>
              <w:rPr>
                <w:rFonts w:ascii="Times New Roman" w:hAnsi="Times New Roman" w:eastAsia="方正仿宋_GBK" w:cs="Times New Roman"/>
                <w:color w:val="000000" w:themeColor="text1"/>
                <w:sz w:val="21"/>
                <w:szCs w:val="21"/>
                <w14:textFill>
                  <w14:solidFill>
                    <w14:schemeClr w14:val="tx1"/>
                  </w14:solidFill>
                </w14:textFill>
              </w:rPr>
            </w:pPr>
            <w:r>
              <w:rPr>
                <w:rFonts w:ascii="Times New Roman" w:hAnsi="Times New Roman" w:eastAsia="方正黑体_GBK" w:cs="Times New Roman"/>
                <w:bCs/>
                <w:color w:val="000000" w:themeColor="text1"/>
                <w:sz w:val="21"/>
                <w:szCs w:val="21"/>
                <w14:textFill>
                  <w14:solidFill>
                    <w14:schemeClr w14:val="tx1"/>
                  </w14:solidFill>
                </w14:textFill>
              </w:rPr>
              <w:t>现代服务业项目：</w:t>
            </w:r>
            <w:r>
              <w:rPr>
                <w:rFonts w:hint="eastAsia" w:ascii="Times New Roman" w:hAnsi="Times New Roman" w:eastAsia="方正仿宋_GBK" w:cs="Times New Roman"/>
                <w:bCs/>
                <w:color w:val="000000" w:themeColor="text1"/>
                <w:sz w:val="21"/>
                <w:szCs w:val="21"/>
                <w14:textFill>
                  <w14:solidFill>
                    <w14:schemeClr w14:val="tx1"/>
                  </w14:solidFill>
                </w14:textFill>
              </w:rPr>
              <w:t>茄子溪长江音悦港</w:t>
            </w:r>
            <w:r>
              <w:rPr>
                <w:rFonts w:ascii="Times New Roman" w:hAnsi="Times New Roman" w:eastAsia="方正仿宋_GBK" w:cs="Times New Roman"/>
                <w:bCs/>
                <w:color w:val="000000" w:themeColor="text1"/>
                <w:sz w:val="21"/>
                <w:szCs w:val="21"/>
                <w14:textFill>
                  <w14:solidFill>
                    <w14:schemeClr w14:val="tx1"/>
                  </w14:solidFill>
                </w14:textFill>
              </w:rPr>
              <w:t>、</w:t>
            </w:r>
            <w:r>
              <w:rPr>
                <w:rStyle w:val="29"/>
                <w:rFonts w:hint="default" w:ascii="Times New Roman" w:hAnsi="Times New Roman" w:eastAsia="方正仿宋_GBK" w:cs="Times New Roman"/>
                <w:color w:val="000000" w:themeColor="text1"/>
                <w:sz w:val="21"/>
                <w:szCs w:val="21"/>
                <w:lang w:bidi="ar"/>
                <w14:textFill>
                  <w14:solidFill>
                    <w14:schemeClr w14:val="tx1"/>
                  </w14:solidFill>
                </w14:textFill>
              </w:rPr>
              <w:t>天安产业三期</w:t>
            </w:r>
            <w:r>
              <w:rPr>
                <w:rStyle w:val="30"/>
                <w:rFonts w:eastAsia="方正仿宋_GBK"/>
                <w:color w:val="000000" w:themeColor="text1"/>
                <w:sz w:val="21"/>
                <w:szCs w:val="21"/>
                <w:lang w:bidi="ar"/>
                <w14:textFill>
                  <w14:solidFill>
                    <w14:schemeClr w14:val="tx1"/>
                  </w14:solidFill>
                </w14:textFill>
              </w:rPr>
              <w:t>B</w:t>
            </w:r>
            <w:r>
              <w:rPr>
                <w:rStyle w:val="29"/>
                <w:rFonts w:hint="default" w:ascii="Times New Roman" w:hAnsi="Times New Roman" w:eastAsia="方正仿宋_GBK" w:cs="Times New Roman"/>
                <w:color w:val="000000" w:themeColor="text1"/>
                <w:sz w:val="21"/>
                <w:szCs w:val="21"/>
                <w:lang w:bidi="ar"/>
                <w14:textFill>
                  <w14:solidFill>
                    <w14:schemeClr w14:val="tx1"/>
                  </w14:solidFill>
                </w14:textFill>
              </w:rPr>
              <w:t>组团、</w:t>
            </w:r>
            <w:r>
              <w:rPr>
                <w:rFonts w:ascii="Times New Roman" w:hAnsi="Times New Roman" w:eastAsia="方正仿宋_GBK" w:cs="Times New Roman"/>
                <w:bCs/>
                <w:color w:val="000000" w:themeColor="text1"/>
                <w:sz w:val="21"/>
                <w:szCs w:val="21"/>
                <w14:textFill>
                  <w14:solidFill>
                    <w14:schemeClr w14:val="tx1"/>
                  </w14:solidFill>
                </w14:textFill>
              </w:rPr>
              <w:t>重庆万吨商旅融合总部基地、</w:t>
            </w:r>
            <w:r>
              <w:rPr>
                <w:rFonts w:hint="eastAsia" w:ascii="Times New Roman" w:hAnsi="Times New Roman" w:eastAsia="方正仿宋_GBK" w:cs="Times New Roman"/>
                <w:bCs/>
                <w:color w:val="000000" w:themeColor="text1"/>
                <w:sz w:val="21"/>
                <w:szCs w:val="21"/>
                <w14:textFill>
                  <w14:solidFill>
                    <w14:schemeClr w14:val="tx1"/>
                  </w14:solidFill>
                </w14:textFill>
              </w:rPr>
              <w:t>潜能喜来登酒店</w:t>
            </w:r>
            <w:r>
              <w:rPr>
                <w:rFonts w:ascii="Times New Roman" w:hAnsi="Times New Roman" w:eastAsia="方正仿宋_GBK" w:cs="Times New Roman"/>
                <w:bCs/>
                <w:color w:val="000000" w:themeColor="text1"/>
                <w:sz w:val="21"/>
                <w:szCs w:val="21"/>
                <w14:textFill>
                  <w14:solidFill>
                    <w14:schemeClr w14:val="tx1"/>
                  </w14:solidFill>
                </w14:textFill>
              </w:rPr>
              <w:t>、</w:t>
            </w:r>
            <w:r>
              <w:rPr>
                <w:rStyle w:val="29"/>
                <w:rFonts w:hint="default" w:ascii="Times New Roman" w:hAnsi="Times New Roman" w:eastAsia="方正仿宋_GBK" w:cs="Times New Roman"/>
                <w:color w:val="000000" w:themeColor="text1"/>
                <w:sz w:val="21"/>
                <w:szCs w:val="21"/>
                <w:lang w:bidi="ar"/>
                <w14:textFill>
                  <w14:solidFill>
                    <w14:schemeClr w14:val="tx1"/>
                  </w14:solidFill>
                </w14:textFill>
              </w:rPr>
              <w:t>万象汇</w:t>
            </w:r>
            <w:r>
              <w:rPr>
                <w:rStyle w:val="30"/>
                <w:rFonts w:eastAsia="方正仿宋_GBK"/>
                <w:color w:val="000000" w:themeColor="text1"/>
                <w:sz w:val="21"/>
                <w:szCs w:val="21"/>
                <w:lang w:bidi="ar"/>
                <w14:textFill>
                  <w14:solidFill>
                    <w14:schemeClr w14:val="tx1"/>
                  </w14:solidFill>
                </w14:textFill>
              </w:rPr>
              <w:t>B</w:t>
            </w:r>
            <w:r>
              <w:rPr>
                <w:rStyle w:val="29"/>
                <w:rFonts w:hint="default" w:ascii="Times New Roman" w:hAnsi="Times New Roman" w:eastAsia="方正仿宋_GBK" w:cs="Times New Roman"/>
                <w:color w:val="000000" w:themeColor="text1"/>
                <w:sz w:val="21"/>
                <w:szCs w:val="21"/>
                <w:lang w:bidi="ar"/>
                <w14:textFill>
                  <w14:solidFill>
                    <w14:schemeClr w14:val="tx1"/>
                  </w14:solidFill>
                </w14:textFill>
              </w:rPr>
              <w:t>馆提质升级项目、</w:t>
            </w:r>
            <w:r>
              <w:rPr>
                <w:rFonts w:ascii="Times New Roman" w:hAnsi="Times New Roman" w:eastAsia="方正仿宋_GBK" w:cs="Times New Roman"/>
                <w:bCs/>
                <w:color w:val="000000" w:themeColor="text1"/>
                <w:sz w:val="21"/>
                <w:szCs w:val="21"/>
                <w14:textFill>
                  <w14:solidFill>
                    <w14:schemeClr w14:val="tx1"/>
                  </w14:solidFill>
                </w14:textFill>
              </w:rPr>
              <w:t>义渡古镇提档升级、</w:t>
            </w:r>
            <w:r>
              <w:rPr>
                <w:rStyle w:val="36"/>
                <w:rFonts w:hint="default" w:ascii="Times New Roman" w:hAnsi="Times New Roman" w:eastAsia="方正仿宋_GBK" w:cs="Times New Roman"/>
                <w:color w:val="000000" w:themeColor="text1"/>
                <w:sz w:val="21"/>
                <w:szCs w:val="21"/>
                <w:lang w:bidi="ar"/>
                <w14:textFill>
                  <w14:solidFill>
                    <w14:schemeClr w14:val="tx1"/>
                  </w14:solidFill>
                </w14:textFill>
              </w:rPr>
              <w:t>大渡口缆车项目、</w:t>
            </w:r>
            <w:r>
              <w:rPr>
                <w:rStyle w:val="29"/>
                <w:rFonts w:hint="default" w:ascii="Times New Roman" w:hAnsi="Times New Roman" w:eastAsia="方正仿宋_GBK" w:cs="Times New Roman"/>
                <w:color w:val="000000" w:themeColor="text1"/>
                <w:sz w:val="21"/>
                <w:szCs w:val="21"/>
                <w:lang w:bidi="ar"/>
                <w14:textFill>
                  <w14:solidFill>
                    <w14:schemeClr w14:val="tx1"/>
                  </w14:solidFill>
                </w14:textFill>
              </w:rPr>
              <w:t>盘龙汇综合交易配送中心、</w:t>
            </w:r>
            <w:r>
              <w:rPr>
                <w:rFonts w:ascii="Times New Roman" w:hAnsi="Times New Roman" w:eastAsia="方正仿宋_GBK" w:cs="Times New Roman"/>
                <w:bCs/>
                <w:color w:val="000000" w:themeColor="text1"/>
                <w:sz w:val="21"/>
                <w:szCs w:val="21"/>
                <w14:textFill>
                  <w14:solidFill>
                    <w14:schemeClr w14:val="tx1"/>
                  </w14:solidFill>
                </w14:textFill>
              </w:rPr>
              <w:t>四号仓库影视基地二期工程、萝亚婚庆基地、渔秋浩改造提升项目、</w:t>
            </w:r>
            <w:r>
              <w:rPr>
                <w:rStyle w:val="36"/>
                <w:rFonts w:hint="default" w:ascii="Times New Roman" w:hAnsi="Times New Roman" w:eastAsia="方正仿宋_GBK" w:cs="Times New Roman"/>
                <w:color w:val="000000" w:themeColor="text1"/>
                <w:sz w:val="21"/>
                <w:szCs w:val="21"/>
                <w:lang w:bidi="ar"/>
                <w14:textFill>
                  <w14:solidFill>
                    <w14:schemeClr w14:val="tx1"/>
                  </w14:solidFill>
                </w14:textFill>
              </w:rPr>
              <w:t>天堂堡轨道</w:t>
            </w:r>
            <w:r>
              <w:rPr>
                <w:rStyle w:val="38"/>
                <w:rFonts w:eastAsia="方正仿宋_GBK"/>
                <w:color w:val="000000" w:themeColor="text1"/>
                <w:sz w:val="21"/>
                <w:szCs w:val="21"/>
                <w:lang w:bidi="ar"/>
                <w14:textFill>
                  <w14:solidFill>
                    <w14:schemeClr w14:val="tx1"/>
                  </w14:solidFill>
                </w14:textFill>
              </w:rPr>
              <w:t>TOD</w:t>
            </w:r>
            <w:r>
              <w:rPr>
                <w:rStyle w:val="36"/>
                <w:rFonts w:hint="default" w:ascii="Times New Roman" w:hAnsi="Times New Roman" w:eastAsia="方正仿宋_GBK" w:cs="Times New Roman"/>
                <w:color w:val="000000" w:themeColor="text1"/>
                <w:sz w:val="21"/>
                <w:szCs w:val="21"/>
                <w:lang w:bidi="ar"/>
                <w14:textFill>
                  <w14:solidFill>
                    <w14:schemeClr w14:val="tx1"/>
                  </w14:solidFill>
                </w14:textFill>
              </w:rPr>
              <w:t>项目</w:t>
            </w:r>
          </w:p>
        </w:tc>
      </w:tr>
    </w:tbl>
    <w:p>
      <w:pPr>
        <w:widowControl w:val="0"/>
        <w:spacing w:after="0" w:line="594" w:lineRule="exact"/>
        <w:ind w:firstLine="640" w:firstLineChars="200"/>
        <w:jc w:val="both"/>
        <w:rPr>
          <w:rFonts w:ascii="Times New Roman" w:hAnsi="Times New Roman" w:eastAsia="方正楷体_GBK" w:cs="Times New Roman"/>
          <w:bCs/>
          <w:color w:val="000000" w:themeColor="text1"/>
          <w:sz w:val="32"/>
          <w:szCs w:val="32"/>
          <w14:textFill>
            <w14:solidFill>
              <w14:schemeClr w14:val="tx1"/>
            </w14:solidFill>
          </w14:textFill>
        </w:rPr>
      </w:pPr>
      <w:r>
        <w:rPr>
          <w:rFonts w:ascii="Times New Roman" w:hAnsi="Times New Roman" w:eastAsia="方正楷体_GBK" w:cs="Times New Roman"/>
          <w:bCs/>
          <w:color w:val="000000" w:themeColor="text1"/>
          <w:sz w:val="32"/>
          <w:szCs w:val="32"/>
          <w14:textFill>
            <w14:solidFill>
              <w14:schemeClr w14:val="tx1"/>
            </w14:solidFill>
          </w14:textFill>
        </w:rPr>
        <w:t>（三）充分激发需求潜力，释放经济增长新动能</w:t>
      </w:r>
    </w:p>
    <w:p>
      <w:pPr>
        <w:widowControl w:val="0"/>
        <w:spacing w:after="0" w:line="594" w:lineRule="exact"/>
        <w:ind w:firstLine="643" w:firstLineChars="200"/>
        <w:jc w:val="both"/>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9. 拓展有效投资空间。</w:t>
      </w:r>
      <w:r>
        <w:rPr>
          <w:rFonts w:ascii="Times New Roman" w:hAnsi="Times New Roman" w:eastAsia="方正仿宋_GBK" w:cs="Times New Roman"/>
          <w:color w:val="000000" w:themeColor="text1"/>
          <w:sz w:val="32"/>
          <w:szCs w:val="32"/>
          <w14:textFill>
            <w14:solidFill>
              <w14:schemeClr w14:val="tx1"/>
            </w14:solidFill>
          </w14:textFill>
        </w:rPr>
        <w:t>全力抓项目促投资，完善项目管理机制，加快推动在建、新开工、前期</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三张清单</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重点项目建设。精准对接国家政策投向，包装策划</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平急两用</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城中村改造、保障性租赁住房等项目，发挥中央预算内投资、专项债券撬动作用，拓宽多元化资金来源。激发民间投资活力，加强投融资模式论证创新，加大重点领域项目推介力度，吸引社会资本参与重点领域开发建设，全年民间投资（不含房地产投资）</w:t>
      </w:r>
      <w:r>
        <w:rPr>
          <w:rFonts w:hint="eastAsia" w:ascii="Times New Roman" w:hAnsi="Times New Roman" w:eastAsia="方正仿宋_GBK" w:cs="Times New Roman"/>
          <w:color w:val="000000" w:themeColor="text1"/>
          <w:sz w:val="32"/>
          <w:szCs w:val="32"/>
          <w14:textFill>
            <w14:solidFill>
              <w14:schemeClr w14:val="tx1"/>
            </w14:solidFill>
          </w14:textFill>
        </w:rPr>
        <w:t>占固投比重达</w:t>
      </w:r>
      <w:r>
        <w:rPr>
          <w:rFonts w:ascii="Times New Roman" w:hAnsi="Times New Roman" w:eastAsia="方正仿宋_GBK" w:cs="Times New Roman"/>
          <w:color w:val="000000" w:themeColor="text1"/>
          <w:sz w:val="32"/>
          <w:szCs w:val="32"/>
          <w14:textFill>
            <w14:solidFill>
              <w14:schemeClr w14:val="tx1"/>
            </w14:solidFill>
          </w14:textFill>
        </w:rPr>
        <w:t>15%。推动房地产投资止滑企稳，从房地产市场供需两端综合发力，加大土地出让力度，加快推进保交楼和</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两久</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项目建设，支持刚性和改善性住房需求。提高招商引资质效，聚焦大产业构建、大企业引领、大项目支撑，推进行业头部企业招商，</w:t>
      </w:r>
      <w:r>
        <w:rPr>
          <w:rFonts w:ascii="Times New Roman" w:hAnsi="Times New Roman" w:eastAsia="方正仿宋_GBK" w:cs="Times New Roman"/>
          <w:snapToGrid w:val="0"/>
          <w:color w:val="000000" w:themeColor="text1"/>
          <w:sz w:val="32"/>
          <w:szCs w:val="32"/>
          <w14:textFill>
            <w14:solidFill>
              <w14:schemeClr w14:val="tx1"/>
            </w14:solidFill>
          </w14:textFill>
        </w:rPr>
        <w:t>抓好</w:t>
      </w:r>
      <w:r>
        <w:rPr>
          <w:rFonts w:ascii="Times New Roman" w:hAnsi="Times New Roman" w:eastAsia="方正仿宋_GBK" w:cs="Times New Roman"/>
          <w:color w:val="000000" w:themeColor="text1"/>
          <w:sz w:val="32"/>
          <w:szCs w:val="32"/>
          <w14:textFill>
            <w14:solidFill>
              <w14:schemeClr w14:val="tx1"/>
            </w14:solidFill>
          </w14:textFill>
        </w:rPr>
        <w:t>产业链招商、专业招商、以商招商，高水平承接产业转移，强化项目落地全程服务，努力在建链补链强链上实现新突破，全年实现签约合同额300亿元、资金到位150亿元。</w:t>
      </w:r>
    </w:p>
    <w:p>
      <w:pPr>
        <w:widowControl w:val="0"/>
        <w:numPr>
          <w:ilvl w:val="0"/>
          <w:numId w:val="1"/>
        </w:numPr>
        <w:spacing w:after="0" w:line="594" w:lineRule="exact"/>
        <w:ind w:firstLine="643" w:firstLineChars="200"/>
        <w:jc w:val="both"/>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加快消费回暖升级。</w:t>
      </w:r>
      <w:r>
        <w:rPr>
          <w:rFonts w:ascii="Times New Roman" w:hAnsi="Times New Roman" w:eastAsia="方正仿宋_GBK" w:cs="Times New Roman"/>
          <w:color w:val="000000" w:themeColor="text1"/>
          <w:sz w:val="32"/>
          <w:szCs w:val="32"/>
          <w14:textFill>
            <w14:solidFill>
              <w14:schemeClr w14:val="tx1"/>
            </w14:solidFill>
          </w14:textFill>
        </w:rPr>
        <w:t>全力打造国际消费中心城市核心区，持续浓厚市场消费氛围，举办第四届中国</w:t>
      </w:r>
      <w:r>
        <w:rPr>
          <w:rFonts w:hint="eastAsia" w:ascii="方正小标宋_GBK" w:hAnsi="方正小标宋_GBK" w:eastAsia="方正小标宋_GBK" w:cs="方正小标宋_GBK"/>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重庆小面文化节等提振消费活动。培育夜市经济和特色街区，改造升级义渡商贸城、公园时光里夜市，依托重钢大学生宿舍等老旧房屋打造都市青年街区，打造双山泛巴国城片区、九宫庙步行街餐饮消费集聚带。培育</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公园商圈、多彩生活</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消费促进品牌，推动大渡口公园、爱情公园、心湖公园等培育打造</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公园+</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商业新场景，建设</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生态购物商圈</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。完成重庆小面电商产业园扩建工程，实施重庆小面</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百城万店</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品牌连锁化经营新模式。强化消费政策供给，</w:t>
      </w:r>
      <w:r>
        <w:rPr>
          <w:rFonts w:hint="eastAsia" w:ascii="方正仿宋_GBK" w:hAnsi="方正仿宋_GBK" w:eastAsia="方正仿宋_GBK" w:cs="Times New Roman"/>
          <w:color w:val="000000" w:themeColor="text1"/>
          <w:sz w:val="32"/>
          <w:szCs w:val="32"/>
          <w14:textFill>
            <w14:solidFill>
              <w14:schemeClr w14:val="tx1"/>
            </w14:solidFill>
          </w14:textFill>
        </w:rPr>
        <w:t>推动消费品以旧换新，</w:t>
      </w:r>
      <w:r>
        <w:rPr>
          <w:rFonts w:ascii="Times New Roman" w:hAnsi="Times New Roman" w:eastAsia="方正仿宋_GBK" w:cs="Times New Roman"/>
          <w:color w:val="000000" w:themeColor="text1"/>
          <w:sz w:val="32"/>
          <w:szCs w:val="32"/>
          <w14:textFill>
            <w14:solidFill>
              <w14:schemeClr w14:val="tx1"/>
            </w14:solidFill>
          </w14:textFill>
        </w:rPr>
        <w:t>扩大新能源汽车、养老服务、教育医疗、文化体育服务等消费，发展</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银发经济</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，有序发展直播带货等新消费业态，确保全年社会消费品零售总额增长8%。</w:t>
      </w:r>
    </w:p>
    <w:p>
      <w:pPr>
        <w:widowControl w:val="0"/>
        <w:spacing w:after="0" w:line="594" w:lineRule="exact"/>
        <w:ind w:firstLine="643" w:firstLineChars="200"/>
        <w:jc w:val="both"/>
        <w:rPr>
          <w:rFonts w:ascii="Times New Roman" w:hAnsi="Times New Roman" w:eastAsia="方正仿宋_GBK" w:cs="Times New Roman"/>
          <w:bCs/>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11. 培育优质市场主体。</w:t>
      </w:r>
      <w:r>
        <w:rPr>
          <w:rFonts w:ascii="Times New Roman" w:hAnsi="Times New Roman" w:eastAsia="方正仿宋_GBK" w:cs="Times New Roman"/>
          <w:color w:val="000000" w:themeColor="text1"/>
          <w:sz w:val="32"/>
          <w:szCs w:val="32"/>
          <w14:textFill>
            <w14:solidFill>
              <w14:schemeClr w14:val="tx1"/>
            </w14:solidFill>
          </w14:textFill>
        </w:rPr>
        <w:t>迭代升级</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两机制一方案</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工作体系，建好用好经济运行调度平台，健全部门、镇街、企业联动协同、数据分享等工作机制，形成全力拼经济促发展的工作合力。落细落实惠企助企政策，强化要素保障，推动企业降本增效，加快构建</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政府基金+社会资本+银行贷款+上市融资</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中小企业融资矩阵体系。完善领导干部和部门联系服务企业机制，开展好</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一对一</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午餐对接会，加强重点企业、重点项目专班服务。加快企业公共服务平台建设，优化</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重庆高新医疗器械研究院</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易企飞</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等既有平台功能布局，丰富服务内容。</w:t>
      </w:r>
      <w:r>
        <w:rPr>
          <w:rFonts w:ascii="Times New Roman" w:hAnsi="Times New Roman" w:eastAsia="方正仿宋_GBK" w:cs="Times New Roman"/>
          <w:bCs/>
          <w:color w:val="000000" w:themeColor="text1"/>
          <w:sz w:val="32"/>
          <w:szCs w:val="32"/>
          <w14:textFill>
            <w14:solidFill>
              <w14:schemeClr w14:val="tx1"/>
            </w14:solidFill>
          </w14:textFill>
        </w:rPr>
        <w:t>持续优化营商环境，落实</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信用重庆</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升级版建设，完善信用警示、惩戒、修复机制，创新</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信易+</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应用场景，宣传</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信易贷</w:t>
      </w:r>
      <w:r>
        <w:rPr>
          <w:rFonts w:hint="eastAsia" w:ascii="方正小标宋_GBK" w:hAnsi="方正小标宋_GBK" w:eastAsia="方正小标宋_GBK" w:cs="方正小标宋_GBK"/>
          <w:color w:val="000000" w:themeColor="text1"/>
          <w:kern w:val="2"/>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渝惠融</w:t>
      </w:r>
      <w:r>
        <w:rPr>
          <w:rFonts w:hint="eastAsia" w:ascii="方正仿宋_GBK" w:hAnsi="Times New Roman" w:eastAsia="方正仿宋_GBK" w:cs="Times New Roman"/>
          <w:bCs/>
          <w:color w:val="000000" w:themeColor="text1"/>
          <w:sz w:val="32"/>
          <w:szCs w:val="32"/>
          <w14:textFill>
            <w14:solidFill>
              <w14:schemeClr w14:val="tx1"/>
            </w14:solidFill>
          </w14:textFill>
        </w:rPr>
        <w:t>”</w:t>
      </w:r>
      <w:r>
        <w:rPr>
          <w:rFonts w:ascii="Times New Roman" w:hAnsi="Times New Roman" w:eastAsia="方正仿宋_GBK" w:cs="Times New Roman"/>
          <w:bCs/>
          <w:color w:val="000000" w:themeColor="text1"/>
          <w:sz w:val="32"/>
          <w:szCs w:val="32"/>
          <w14:textFill>
            <w14:solidFill>
              <w14:schemeClr w14:val="tx1"/>
            </w14:solidFill>
          </w14:textFill>
        </w:rPr>
        <w:t>平台，推动信用示范城市建设。</w:t>
      </w:r>
      <w:r>
        <w:rPr>
          <w:rFonts w:ascii="Times New Roman" w:hAnsi="Times New Roman" w:eastAsia="方正仿宋_GBK" w:cs="Times New Roman"/>
          <w:color w:val="000000" w:themeColor="text1"/>
          <w:sz w:val="32"/>
          <w:szCs w:val="32"/>
          <w14:textFill>
            <w14:solidFill>
              <w14:schemeClr w14:val="tx1"/>
            </w14:solidFill>
          </w14:textFill>
        </w:rPr>
        <w:t>力争</w:t>
      </w:r>
      <w:r>
        <w:rPr>
          <w:rFonts w:ascii="Times New Roman" w:hAnsi="Times New Roman" w:eastAsia="方正仿宋_GBK" w:cs="Times New Roman"/>
          <w:bCs/>
          <w:color w:val="000000" w:themeColor="text1"/>
          <w:sz w:val="32"/>
          <w:szCs w:val="32"/>
          <w14:textFill>
            <w14:solidFill>
              <w14:schemeClr w14:val="tx1"/>
            </w14:solidFill>
          </w14:textFill>
        </w:rPr>
        <w:t>全年</w:t>
      </w:r>
      <w:r>
        <w:rPr>
          <w:rFonts w:ascii="Times New Roman" w:hAnsi="Times New Roman" w:eastAsia="方正仿宋_GBK" w:cs="Times New Roman"/>
          <w:color w:val="000000" w:themeColor="text1"/>
          <w:sz w:val="32"/>
          <w:szCs w:val="32"/>
          <w14:textFill>
            <w14:solidFill>
              <w14:schemeClr w14:val="tx1"/>
            </w14:solidFill>
          </w14:textFill>
        </w:rPr>
        <w:t>新登记纳税主体0.3万户，升规上限市场主体150户；</w:t>
      </w:r>
      <w:r>
        <w:rPr>
          <w:rFonts w:ascii="Times New Roman" w:hAnsi="Times New Roman" w:eastAsia="方正仿宋_GBK" w:cs="Times New Roman"/>
          <w:bCs/>
          <w:color w:val="000000" w:themeColor="text1"/>
          <w:sz w:val="32"/>
          <w:szCs w:val="32"/>
          <w14:textFill>
            <w14:solidFill>
              <w14:schemeClr w14:val="tx1"/>
            </w14:solidFill>
          </w14:textFill>
        </w:rPr>
        <w:t>民营经济市场主体增速达16%、民营企业增速达12%。</w:t>
      </w:r>
    </w:p>
    <w:p>
      <w:pPr>
        <w:pStyle w:val="2"/>
        <w:spacing w:line="594" w:lineRule="exact"/>
        <w:ind w:firstLine="640" w:firstLineChars="200"/>
        <w:rPr>
          <w:rFonts w:eastAsia="方正楷体_GBK"/>
          <w:bCs/>
          <w:color w:val="000000" w:themeColor="text1"/>
          <w:kern w:val="2"/>
          <w:szCs w:val="32"/>
          <w14:textFill>
            <w14:solidFill>
              <w14:schemeClr w14:val="tx1"/>
            </w14:solidFill>
          </w14:textFill>
        </w:rPr>
      </w:pPr>
      <w:r>
        <w:rPr>
          <w:rFonts w:eastAsia="方正楷体_GBK"/>
          <w:bCs/>
          <w:color w:val="000000" w:themeColor="text1"/>
          <w:kern w:val="2"/>
          <w:szCs w:val="32"/>
          <w14:textFill>
            <w14:solidFill>
              <w14:schemeClr w14:val="tx1"/>
            </w14:solidFill>
          </w14:textFill>
        </w:rPr>
        <w:t>（四）加强城市品牌建设，塑造城乡融合新面貌</w:t>
      </w:r>
    </w:p>
    <w:p>
      <w:pPr>
        <w:widowControl w:val="0"/>
        <w:spacing w:after="0" w:line="594" w:lineRule="exact"/>
        <w:ind w:firstLine="643" w:firstLineChars="200"/>
        <w:jc w:val="both"/>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b/>
          <w:bCs/>
          <w:color w:val="000000" w:themeColor="text1"/>
          <w:kern w:val="2"/>
          <w:sz w:val="32"/>
          <w:szCs w:val="32"/>
          <w14:textFill>
            <w14:solidFill>
              <w14:schemeClr w14:val="tx1"/>
            </w14:solidFill>
          </w14:textFill>
        </w:rPr>
        <w:t>12</w:t>
      </w:r>
      <w:r>
        <w:rPr>
          <w:rFonts w:ascii="Times New Roman" w:hAnsi="Times New Roman" w:eastAsia="方正仿宋_GBK" w:cs="Times New Roman"/>
          <w:b/>
          <w:bCs/>
          <w:color w:val="000000" w:themeColor="text1"/>
          <w:sz w:val="32"/>
          <w:szCs w:val="32"/>
          <w14:textFill>
            <w14:solidFill>
              <w14:schemeClr w14:val="tx1"/>
            </w14:solidFill>
          </w14:textFill>
        </w:rPr>
        <w:t>. 做靓高品质艺术湾。</w:t>
      </w:r>
      <w:r>
        <w:rPr>
          <w:rFonts w:ascii="Times New Roman" w:hAnsi="Times New Roman" w:eastAsia="方正仿宋_GBK" w:cs="Times New Roman"/>
          <w:color w:val="000000" w:themeColor="text1"/>
          <w:sz w:val="32"/>
          <w:szCs w:val="40"/>
          <w14:textFill>
            <w14:solidFill>
              <w14:schemeClr w14:val="tx1"/>
            </w14:solidFill>
          </w14:textFill>
        </w:rPr>
        <w:t>开工建设重庆柴院，</w:t>
      </w:r>
      <w:r>
        <w:rPr>
          <w:rFonts w:hint="eastAsia" w:ascii="Times New Roman" w:hAnsi="Times New Roman" w:eastAsia="方正仿宋_GBK" w:cs="Times New Roman"/>
          <w:color w:val="000000" w:themeColor="text1"/>
          <w:sz w:val="32"/>
          <w:szCs w:val="40"/>
          <w14:textFill>
            <w14:solidFill>
              <w14:schemeClr w14:val="tx1"/>
            </w14:solidFill>
          </w14:textFill>
        </w:rPr>
        <w:t>以一流水平高标准建设俄罗斯特色小镇，</w:t>
      </w:r>
      <w:r>
        <w:rPr>
          <w:rFonts w:ascii="Times New Roman" w:hAnsi="Times New Roman" w:eastAsia="方正仿宋_GBK" w:cs="Times New Roman"/>
          <w:color w:val="000000" w:themeColor="text1"/>
          <w:kern w:val="2"/>
          <w:sz w:val="32"/>
          <w:szCs w:val="32"/>
          <w14:textFill>
            <w14:solidFill>
              <w14:schemeClr w14:val="tx1"/>
            </w14:solidFill>
          </w14:textFill>
        </w:rPr>
        <w:t>提速长江音悦港、宝武西南总部等功能性项目建设，</w:t>
      </w:r>
      <w:r>
        <w:rPr>
          <w:rFonts w:ascii="Times New Roman" w:hAnsi="Times New Roman" w:eastAsia="方正仿宋_GBK" w:cs="Times New Roman"/>
          <w:color w:val="000000" w:themeColor="text1"/>
          <w:sz w:val="32"/>
          <w:szCs w:val="40"/>
          <w14:textFill>
            <w14:solidFill>
              <w14:schemeClr w14:val="tx1"/>
            </w14:solidFill>
          </w14:textFill>
        </w:rPr>
        <w:t>加快重庆（国际）小球赛事中心前期工作。</w:t>
      </w:r>
      <w:r>
        <w:rPr>
          <w:rFonts w:ascii="Times New Roman" w:hAnsi="Times New Roman" w:eastAsia="方正仿宋_GBK" w:cs="Times New Roman"/>
          <w:color w:val="000000" w:themeColor="text1"/>
          <w:kern w:val="2"/>
          <w:sz w:val="32"/>
          <w:szCs w:val="32"/>
          <w14:textFill>
            <w14:solidFill>
              <w14:schemeClr w14:val="tx1"/>
            </w14:solidFill>
          </w14:textFill>
        </w:rPr>
        <w:t>持续</w:t>
      </w:r>
      <w:r>
        <w:rPr>
          <w:rFonts w:ascii="Times New Roman" w:hAnsi="Times New Roman" w:eastAsia="方正仿宋_GBK" w:cs="Times New Roman"/>
          <w:color w:val="000000" w:themeColor="text1"/>
          <w:sz w:val="32"/>
          <w:szCs w:val="32"/>
          <w14:textFill>
            <w14:solidFill>
              <w14:schemeClr w14:val="tx1"/>
            </w14:solidFill>
          </w14:textFill>
        </w:rPr>
        <w:t>完善片区功能设施，实现嘉南线连接道、</w:t>
      </w:r>
      <w:r>
        <w:rPr>
          <w:rFonts w:hint="eastAsia" w:ascii="Times New Roman" w:hAnsi="Times New Roman" w:eastAsia="方正仿宋_GBK" w:cs="Times New Roman"/>
          <w:color w:val="000000" w:themeColor="text1"/>
          <w:sz w:val="32"/>
          <w:szCs w:val="32"/>
          <w14:textFill>
            <w14:solidFill>
              <w14:schemeClr w14:val="tx1"/>
            </w14:solidFill>
          </w14:textFill>
        </w:rPr>
        <w:t>重钢</w:t>
      </w:r>
      <w:r>
        <w:rPr>
          <w:rFonts w:ascii="Times New Roman" w:hAnsi="Times New Roman" w:eastAsia="方正仿宋_GBK" w:cs="Times New Roman"/>
          <w:color w:val="000000" w:themeColor="text1"/>
          <w:sz w:val="32"/>
          <w:szCs w:val="32"/>
          <w14:textFill>
            <w14:solidFill>
              <w14:schemeClr w14:val="tx1"/>
            </w14:solidFill>
          </w14:textFill>
        </w:rPr>
        <w:t>南北干道、音乐大道中段全线贯通，加快推进大滨路</w:t>
      </w:r>
      <w:r>
        <w:rPr>
          <w:rFonts w:hint="eastAsia" w:ascii="Times New Roman" w:hAnsi="Times New Roman" w:eastAsia="方正仿宋_GBK" w:cs="Times New Roman"/>
          <w:color w:val="000000" w:themeColor="text1"/>
          <w:sz w:val="32"/>
          <w:szCs w:val="32"/>
          <w14:textFill>
            <w14:solidFill>
              <w14:schemeClr w14:val="tx1"/>
            </w14:solidFill>
          </w14:textFill>
        </w:rPr>
        <w:t>与</w:t>
      </w:r>
      <w:r>
        <w:rPr>
          <w:rFonts w:ascii="Times New Roman" w:hAnsi="Times New Roman" w:eastAsia="方正仿宋_GBK" w:cs="Times New Roman"/>
          <w:color w:val="000000" w:themeColor="text1"/>
          <w:sz w:val="32"/>
          <w:szCs w:val="32"/>
          <w14:textFill>
            <w14:solidFill>
              <w14:schemeClr w14:val="tx1"/>
            </w14:solidFill>
          </w14:textFill>
        </w:rPr>
        <w:t>九滨路连接道、大滨路</w:t>
      </w:r>
      <w:r>
        <w:rPr>
          <w:rFonts w:hint="eastAsia" w:ascii="Times New Roman" w:hAnsi="Times New Roman" w:eastAsia="方正仿宋_GBK" w:cs="Times New Roman"/>
          <w:color w:val="000000" w:themeColor="text1"/>
          <w:sz w:val="32"/>
          <w:szCs w:val="32"/>
          <w14:textFill>
            <w14:solidFill>
              <w14:schemeClr w14:val="tx1"/>
            </w14:solidFill>
          </w14:textFill>
        </w:rPr>
        <w:t>重钢段</w:t>
      </w:r>
      <w:r>
        <w:rPr>
          <w:rFonts w:ascii="Times New Roman" w:hAnsi="Times New Roman" w:eastAsia="方正仿宋_GBK" w:cs="Times New Roman"/>
          <w:color w:val="000000" w:themeColor="text1"/>
          <w:sz w:val="32"/>
          <w:szCs w:val="32"/>
          <w14:textFill>
            <w14:solidFill>
              <w14:schemeClr w14:val="tx1"/>
            </w14:solidFill>
          </w14:textFill>
        </w:rPr>
        <w:t>二期、老成渝铁路改造大渡口段等项目建设。加快构建文化艺术交流空间，推动义渡古镇运营管理招商、重整开街，策划举办品牌音乐节等活动，</w:t>
      </w:r>
      <w:r>
        <w:rPr>
          <w:rFonts w:ascii="Times New Roman" w:hAnsi="Times New Roman" w:eastAsia="方正仿宋_GBK" w:cs="Times New Roman"/>
          <w:color w:val="000000" w:themeColor="text1"/>
          <w:kern w:val="2"/>
          <w:sz w:val="32"/>
          <w:szCs w:val="40"/>
          <w14:textFill>
            <w14:solidFill>
              <w14:schemeClr w14:val="tx1"/>
            </w14:solidFill>
          </w14:textFill>
        </w:rPr>
        <w:t>吸引体育运营、音乐文创、演艺经纪、影视娱乐等相关产业集聚</w:t>
      </w:r>
      <w:r>
        <w:rPr>
          <w:rFonts w:ascii="Times New Roman" w:hAnsi="Times New Roman" w:eastAsia="方正仿宋_GBK" w:cs="Times New Roman"/>
          <w:color w:val="000000" w:themeColor="text1"/>
          <w:sz w:val="32"/>
          <w:szCs w:val="32"/>
          <w14:textFill>
            <w14:solidFill>
              <w14:schemeClr w14:val="tx1"/>
            </w14:solidFill>
          </w14:textFill>
        </w:rPr>
        <w:t>。</w:t>
      </w:r>
    </w:p>
    <w:p>
      <w:pPr>
        <w:pStyle w:val="2"/>
        <w:spacing w:line="594" w:lineRule="exact"/>
        <w:ind w:firstLine="643" w:firstLineChars="200"/>
        <w:rPr>
          <w:rFonts w:eastAsia="方正仿宋_GBK"/>
          <w:color w:val="000000" w:themeColor="text1"/>
          <w:szCs w:val="32"/>
          <w14:textFill>
            <w14:solidFill>
              <w14:schemeClr w14:val="tx1"/>
            </w14:solidFill>
          </w14:textFill>
        </w:rPr>
      </w:pPr>
      <w:r>
        <w:rPr>
          <w:rFonts w:eastAsia="方正仿宋_GBK"/>
          <w:b/>
          <w:bCs/>
          <w:color w:val="000000" w:themeColor="text1"/>
          <w:kern w:val="2"/>
          <w:szCs w:val="32"/>
          <w14:textFill>
            <w14:solidFill>
              <w14:schemeClr w14:val="tx1"/>
            </w14:solidFill>
          </w14:textFill>
        </w:rPr>
        <w:t>13. 打造新范式公园城。</w:t>
      </w:r>
      <w:r>
        <w:rPr>
          <w:rFonts w:eastAsia="方正仿宋_GBK"/>
          <w:color w:val="000000" w:themeColor="text1"/>
          <w:szCs w:val="32"/>
          <w14:textFill>
            <w14:solidFill>
              <w14:schemeClr w14:val="tx1"/>
            </w14:solidFill>
          </w14:textFill>
        </w:rPr>
        <w:t>与市城管局共建城市绿地更新与共享、口袋公园建设示范区，打造现代化公园城市。制定公园建设分年度项目清单，重点实施口袋公园建设、城市绿荫工程、山城步道建设、坡坎崖绿化美化、绿道品质提升，启动</w:t>
      </w:r>
      <w:r>
        <w:rPr>
          <w:rFonts w:hint="eastAsia" w:eastAsia="方正仿宋_GBK"/>
          <w:color w:val="000000" w:themeColor="text1"/>
          <w:szCs w:val="32"/>
          <w14:textFill>
            <w14:solidFill>
              <w14:schemeClr w14:val="tx1"/>
            </w14:solidFill>
          </w14:textFill>
        </w:rPr>
        <w:t>伏牛大道坡坎崖游乐公园</w:t>
      </w:r>
      <w:r>
        <w:rPr>
          <w:rFonts w:eastAsia="方正仿宋_GBK"/>
          <w:color w:val="000000" w:themeColor="text1"/>
          <w:szCs w:val="32"/>
          <w14:textFill>
            <w14:solidFill>
              <w14:schemeClr w14:val="tx1"/>
            </w14:solidFill>
          </w14:textFill>
        </w:rPr>
        <w:t>、滨江户外体育公园、白居寺公园品质提升、双山体育公园等项目建设，全年新增城市慢行绿道8.4公里、绿地面积40万平方米，人均公园绿地面积保持中心城区前列。深化国家生态园林城市创建，开展园林式细胞单位评比、系列最美评选活动。编制实施《大渡口区城市公园市场化建设方案》，加快盘活思源公园、美德公园等闲置经营性资产。</w:t>
      </w:r>
    </w:p>
    <w:p>
      <w:pPr>
        <w:pStyle w:val="2"/>
        <w:spacing w:line="594" w:lineRule="exact"/>
        <w:ind w:firstLine="643" w:firstLineChars="200"/>
        <w:rPr>
          <w:rFonts w:eastAsia="方正仿宋_GBK"/>
          <w:color w:val="000000" w:themeColor="text1"/>
          <w:kern w:val="2"/>
          <w:szCs w:val="32"/>
          <w14:textFill>
            <w14:solidFill>
              <w14:schemeClr w14:val="tx1"/>
            </w14:solidFill>
          </w14:textFill>
        </w:rPr>
      </w:pPr>
      <w:r>
        <w:rPr>
          <w:rFonts w:eastAsia="方正仿宋_GBK"/>
          <w:b/>
          <w:bCs/>
          <w:color w:val="000000" w:themeColor="text1"/>
          <w:szCs w:val="32"/>
          <w14:textFill>
            <w14:solidFill>
              <w14:schemeClr w14:val="tx1"/>
            </w14:solidFill>
          </w14:textFill>
        </w:rPr>
        <w:t>14. 提升城市功能品质。</w:t>
      </w:r>
      <w:r>
        <w:rPr>
          <w:rFonts w:eastAsia="方正仿宋_GBK"/>
          <w:color w:val="000000" w:themeColor="text1"/>
          <w:szCs w:val="32"/>
          <w14:textFill>
            <w14:solidFill>
              <w14:schemeClr w14:val="tx1"/>
            </w14:solidFill>
          </w14:textFill>
        </w:rPr>
        <w:t>全年完成农村征地</w:t>
      </w:r>
      <w:r>
        <w:rPr>
          <w:rFonts w:eastAsia="方正仿宋_GBK"/>
          <w:color w:val="000000" w:themeColor="text1"/>
          <w:kern w:val="2"/>
          <w:szCs w:val="32"/>
          <w14:textFill>
            <w14:solidFill>
              <w14:schemeClr w14:val="tx1"/>
            </w14:solidFill>
          </w14:textFill>
        </w:rPr>
        <w:t>1000亩、国有土地上房屋征收5万平方米，确保完成土地出让500亩。精准实施城市有机更新，加快革马社区、翠柏小区等9个老旧小区和五一互助</w:t>
      </w:r>
      <w:r>
        <w:rPr>
          <w:rFonts w:hint="eastAsia" w:eastAsia="方正仿宋_GBK"/>
          <w:color w:val="000000" w:themeColor="text1"/>
          <w:kern w:val="2"/>
          <w:szCs w:val="32"/>
          <w14:textFill>
            <w14:solidFill>
              <w14:schemeClr w14:val="tx1"/>
            </w14:solidFill>
          </w14:textFill>
        </w:rPr>
        <w:t>、民新民乐片区</w:t>
      </w:r>
      <w:r>
        <w:rPr>
          <w:rFonts w:hint="eastAsia" w:ascii="方正仿宋_GBK" w:eastAsia="方正仿宋_GBK"/>
          <w:color w:val="000000" w:themeColor="text1"/>
          <w:kern w:val="2"/>
          <w:szCs w:val="32"/>
          <w14:textFill>
            <w14:solidFill>
              <w14:schemeClr w14:val="tx1"/>
            </w14:solidFill>
          </w14:textFill>
        </w:rPr>
        <w:t>“</w:t>
      </w:r>
      <w:r>
        <w:rPr>
          <w:rFonts w:eastAsia="方正仿宋_GBK"/>
          <w:color w:val="000000" w:themeColor="text1"/>
          <w:kern w:val="2"/>
          <w:szCs w:val="32"/>
          <w14:textFill>
            <w14:solidFill>
              <w14:schemeClr w14:val="tx1"/>
            </w14:solidFill>
          </w14:textFill>
        </w:rPr>
        <w:t>城中村</w:t>
      </w:r>
      <w:r>
        <w:rPr>
          <w:rFonts w:hint="eastAsia" w:ascii="方正仿宋_GBK" w:eastAsia="方正仿宋_GBK"/>
          <w:color w:val="000000" w:themeColor="text1"/>
          <w:kern w:val="2"/>
          <w:szCs w:val="32"/>
          <w14:textFill>
            <w14:solidFill>
              <w14:schemeClr w14:val="tx1"/>
            </w14:solidFill>
          </w14:textFill>
        </w:rPr>
        <w:t>”</w:t>
      </w:r>
      <w:r>
        <w:rPr>
          <w:rFonts w:eastAsia="方正仿宋_GBK"/>
          <w:color w:val="000000" w:themeColor="text1"/>
          <w:kern w:val="2"/>
          <w:szCs w:val="32"/>
          <w14:textFill>
            <w14:solidFill>
              <w14:schemeClr w14:val="tx1"/>
            </w14:solidFill>
          </w14:textFill>
        </w:rPr>
        <w:t>改造。推动</w:t>
      </w:r>
      <w:r>
        <w:rPr>
          <w:rFonts w:eastAsia="方正仿宋_GBK"/>
          <w:color w:val="000000" w:themeColor="text1"/>
          <w:szCs w:val="32"/>
          <w14:textFill>
            <w14:solidFill>
              <w14:schemeClr w14:val="tx1"/>
            </w14:solidFill>
          </w14:textFill>
        </w:rPr>
        <w:t>快速路三纵线双山隧道至金家湾立交段改造、新袁茄路南段、陶家隧道等项目提速建设，建成区路网密度达6.95公里/平方公里</w:t>
      </w:r>
      <w:r>
        <w:rPr>
          <w:rFonts w:hint="eastAsia" w:eastAsia="方正仿宋_GBK"/>
          <w:color w:val="000000" w:themeColor="text1"/>
          <w:szCs w:val="32"/>
          <w14:textFill>
            <w14:solidFill>
              <w14:schemeClr w14:val="tx1"/>
            </w14:solidFill>
          </w14:textFill>
        </w:rPr>
        <w:t>。启动</w:t>
      </w:r>
      <w:r>
        <w:rPr>
          <w:rFonts w:eastAsia="方正仿宋_GBK"/>
          <w:color w:val="000000" w:themeColor="text1"/>
          <w:kern w:val="2"/>
          <w:szCs w:val="32"/>
          <w14:textFill>
            <w14:solidFill>
              <w14:schemeClr w14:val="tx1"/>
            </w14:solidFill>
          </w14:textFill>
        </w:rPr>
        <w:t>九宫庙、茄子溪等片区雨污水管网整治工程</w:t>
      </w:r>
      <w:r>
        <w:rPr>
          <w:rFonts w:eastAsia="方正仿宋_GBK"/>
          <w:color w:val="000000" w:themeColor="text1"/>
          <w:szCs w:val="32"/>
          <w14:textFill>
            <w14:solidFill>
              <w14:schemeClr w14:val="tx1"/>
            </w14:solidFill>
          </w14:textFill>
        </w:rPr>
        <w:t>，</w:t>
      </w:r>
      <w:r>
        <w:rPr>
          <w:rFonts w:eastAsia="方正仿宋_GBK"/>
          <w:color w:val="000000" w:themeColor="text1"/>
          <w:kern w:val="2"/>
          <w:szCs w:val="32"/>
          <w14:textFill>
            <w14:solidFill>
              <w14:schemeClr w14:val="tx1"/>
            </w14:solidFill>
          </w14:textFill>
        </w:rPr>
        <w:t>完成</w:t>
      </w:r>
      <w:r>
        <w:rPr>
          <w:rFonts w:eastAsia="方正仿宋_GBK"/>
          <w:color w:val="000000" w:themeColor="text1"/>
          <w:szCs w:val="40"/>
          <w14:textFill>
            <w14:solidFill>
              <w14:schemeClr w14:val="tx1"/>
            </w14:solidFill>
          </w14:textFill>
        </w:rPr>
        <w:t>黄桷堡枢纽站场、</w:t>
      </w:r>
      <w:r>
        <w:rPr>
          <w:rFonts w:eastAsia="方正仿宋_GBK"/>
          <w:color w:val="000000" w:themeColor="text1"/>
          <w:kern w:val="2"/>
          <w:szCs w:val="32"/>
          <w14:textFill>
            <w14:solidFill>
              <w14:schemeClr w14:val="tx1"/>
            </w14:solidFill>
          </w14:textFill>
        </w:rPr>
        <w:t>陈庹路枢纽站场二期建设。开展占道停车、缺株少绿、设施补缺等8个重点专项整治行动，提升重要窗口城市形象。推动智慧城市建设，加快建设城市综合管理服务平台，城区LED节能路灯覆盖率达到100%。</w:t>
      </w:r>
      <w:r>
        <w:rPr>
          <w:rFonts w:eastAsia="方正仿宋_GBK"/>
          <w:color w:val="000000" w:themeColor="text1"/>
          <w:szCs w:val="32"/>
          <w14:textFill>
            <w14:solidFill>
              <w14:schemeClr w14:val="tx1"/>
            </w14:solidFill>
          </w14:textFill>
        </w:rPr>
        <w:t>发挥青年在城市更新、消费新场景打造中的创造力和活力，推进青年发展型城市建设。</w:t>
      </w:r>
    </w:p>
    <w:p>
      <w:pPr>
        <w:pStyle w:val="5"/>
        <w:widowControl w:val="0"/>
        <w:spacing w:after="0" w:line="594" w:lineRule="exact"/>
        <w:ind w:firstLine="643" w:firstLineChars="200"/>
        <w:jc w:val="both"/>
        <w:rPr>
          <w:rFonts w:ascii="Times New Roman" w:hAnsi="Times New Roman" w:eastAsia="方正仿宋_GBK" w:cs="Times New Roman"/>
          <w:color w:val="000000" w:themeColor="text1"/>
          <w:kern w:val="2"/>
          <w:sz w:val="32"/>
          <w:szCs w:val="32"/>
          <w14:textFill>
            <w14:solidFill>
              <w14:schemeClr w14:val="tx1"/>
            </w14:solidFill>
          </w14:textFill>
        </w:rPr>
      </w:pPr>
      <w:r>
        <w:rPr>
          <w:rFonts w:ascii="Times New Roman" w:hAnsi="Times New Roman" w:eastAsia="方正仿宋_GBK" w:cs="Times New Roman"/>
          <w:b/>
          <w:bCs/>
          <w:color w:val="000000" w:themeColor="text1"/>
          <w:sz w:val="32"/>
          <w:szCs w:val="32"/>
          <w14:textFill>
            <w14:solidFill>
              <w14:schemeClr w14:val="tx1"/>
            </w14:solidFill>
          </w14:textFill>
        </w:rPr>
        <w:t>15</w:t>
      </w:r>
      <w:r>
        <w:rPr>
          <w:rFonts w:ascii="Times New Roman" w:hAnsi="Times New Roman" w:eastAsia="方正仿宋_GBK" w:cs="Times New Roman"/>
          <w:b/>
          <w:bCs/>
          <w:color w:val="000000" w:themeColor="text1"/>
          <w:kern w:val="2"/>
          <w:sz w:val="32"/>
          <w:szCs w:val="32"/>
          <w14:textFill>
            <w14:solidFill>
              <w14:schemeClr w14:val="tx1"/>
            </w14:solidFill>
          </w14:textFill>
        </w:rPr>
        <w:t>. 建设都市型和美乡村</w:t>
      </w:r>
      <w:r>
        <w:rPr>
          <w:rFonts w:ascii="Times New Roman" w:hAnsi="Times New Roman" w:eastAsia="方正楷体_GBK" w:cs="Times New Roman"/>
          <w:color w:val="000000" w:themeColor="text1"/>
          <w:kern w:val="2"/>
          <w:sz w:val="32"/>
          <w:szCs w:val="32"/>
          <w14:textFill>
            <w14:solidFill>
              <w14:schemeClr w14:val="tx1"/>
            </w14:solidFill>
          </w14:textFill>
        </w:rPr>
        <w:t>。</w:t>
      </w:r>
      <w:r>
        <w:rPr>
          <w:rFonts w:ascii="Times New Roman" w:hAnsi="Times New Roman" w:eastAsia="方正仿宋_GBK" w:cs="Times New Roman"/>
          <w:color w:val="000000" w:themeColor="text1"/>
          <w:kern w:val="2"/>
          <w:sz w:val="32"/>
          <w:szCs w:val="32"/>
          <w14:textFill>
            <w14:solidFill>
              <w14:schemeClr w14:val="tx1"/>
            </w14:solidFill>
          </w14:textFill>
        </w:rPr>
        <w:t>统筹推进农村基础设施提档升级、农村人居环境整治和田园景观建设，推进西小路等农村公路改造，推进丰收坝水厂三期扩建。</w:t>
      </w:r>
      <w:r>
        <w:rPr>
          <w:rFonts w:hint="default" w:ascii="Times New Roman" w:hAnsi="Times New Roman" w:eastAsia="方正仿宋_GBK" w:cs="Times New Roman"/>
          <w:color w:val="000000" w:themeColor="text1"/>
          <w:kern w:val="2"/>
          <w:sz w:val="32"/>
          <w:szCs w:val="32"/>
          <w14:textFill>
            <w14:solidFill>
              <w14:schemeClr w14:val="tx1"/>
            </w14:solidFill>
          </w14:textFill>
        </w:rPr>
        <w:t>完成粮食生产任务，</w:t>
      </w:r>
      <w:r>
        <w:rPr>
          <w:rFonts w:hint="eastAsia" w:ascii="Times New Roman" w:hAnsi="Times New Roman" w:eastAsia="方正仿宋_GBK" w:cs="Times New Roman"/>
          <w:color w:val="000000" w:themeColor="text1"/>
          <w:kern w:val="2"/>
          <w:sz w:val="32"/>
          <w:szCs w:val="32"/>
          <w:lang w:eastAsia="zh-CN"/>
          <w14:textFill>
            <w14:solidFill>
              <w14:schemeClr w14:val="tx1"/>
            </w14:solidFill>
          </w14:textFill>
        </w:rPr>
        <w:t>全年</w:t>
      </w:r>
      <w:r>
        <w:rPr>
          <w:rFonts w:hint="default" w:ascii="Times New Roman" w:hAnsi="Times New Roman" w:eastAsia="方正仿宋_GBK" w:cs="Times New Roman"/>
          <w:color w:val="000000" w:themeColor="text1"/>
          <w:kern w:val="2"/>
          <w:sz w:val="32"/>
          <w:szCs w:val="32"/>
          <w14:textFill>
            <w14:solidFill>
              <w14:schemeClr w14:val="tx1"/>
            </w14:solidFill>
          </w14:textFill>
        </w:rPr>
        <w:t>粮食播种面积</w:t>
      </w:r>
      <w:r>
        <w:rPr>
          <w:rFonts w:hint="eastAsia" w:ascii="Times New Roman" w:hAnsi="Times New Roman" w:eastAsia="方正仿宋_GBK" w:cs="Times New Roman"/>
          <w:color w:val="000000" w:themeColor="text1"/>
          <w:kern w:val="2"/>
          <w:sz w:val="32"/>
          <w:szCs w:val="32"/>
          <w:lang w:eastAsia="zh-CN"/>
          <w14:textFill>
            <w14:solidFill>
              <w14:schemeClr w14:val="tx1"/>
            </w14:solidFill>
          </w14:textFill>
        </w:rPr>
        <w:t>达</w:t>
      </w:r>
      <w:r>
        <w:rPr>
          <w:rFonts w:hint="default" w:ascii="Times New Roman" w:hAnsi="Times New Roman" w:eastAsia="方正仿宋_GBK" w:cs="Times New Roman"/>
          <w:color w:val="000000" w:themeColor="text1"/>
          <w:kern w:val="2"/>
          <w:sz w:val="32"/>
          <w:szCs w:val="32"/>
          <w14:textFill>
            <w14:solidFill>
              <w14:schemeClr w14:val="tx1"/>
            </w14:solidFill>
          </w14:textFill>
        </w:rPr>
        <w:t>2000亩、粮食产量</w:t>
      </w:r>
      <w:r>
        <w:rPr>
          <w:rFonts w:hint="eastAsia" w:ascii="Times New Roman" w:hAnsi="Times New Roman" w:eastAsia="方正仿宋_GBK" w:cs="Times New Roman"/>
          <w:color w:val="000000" w:themeColor="text1"/>
          <w:kern w:val="2"/>
          <w:sz w:val="32"/>
          <w:szCs w:val="32"/>
          <w:lang w:eastAsia="zh-CN"/>
          <w14:textFill>
            <w14:solidFill>
              <w14:schemeClr w14:val="tx1"/>
            </w14:solidFill>
          </w14:textFill>
        </w:rPr>
        <w:t>达</w:t>
      </w:r>
      <w:r>
        <w:rPr>
          <w:rFonts w:hint="default" w:ascii="Times New Roman" w:hAnsi="Times New Roman" w:eastAsia="方正仿宋_GBK" w:cs="Times New Roman"/>
          <w:color w:val="000000" w:themeColor="text1"/>
          <w:kern w:val="2"/>
          <w:sz w:val="32"/>
          <w:szCs w:val="32"/>
          <w14:textFill>
            <w14:solidFill>
              <w14:schemeClr w14:val="tx1"/>
            </w14:solidFill>
          </w14:textFill>
        </w:rPr>
        <w:t>600吨。</w:t>
      </w:r>
      <w:r>
        <w:rPr>
          <w:rFonts w:ascii="Times New Roman" w:hAnsi="Times New Roman" w:eastAsia="方正仿宋_GBK" w:cs="Times New Roman"/>
          <w:color w:val="000000" w:themeColor="text1"/>
          <w:kern w:val="2"/>
          <w:sz w:val="32"/>
          <w:szCs w:val="32"/>
          <w14:textFill>
            <w14:solidFill>
              <w14:schemeClr w14:val="tx1"/>
            </w14:solidFill>
          </w14:textFill>
        </w:rPr>
        <w:t>发展现代都市农业，</w:t>
      </w:r>
      <w:r>
        <w:rPr>
          <w:rFonts w:ascii="Times New Roman" w:hAnsi="Times New Roman" w:eastAsia="方正仿宋_GBK" w:cs="Times New Roman"/>
          <w:color w:val="000000" w:themeColor="text1"/>
          <w:sz w:val="32"/>
          <w:szCs w:val="32"/>
          <w14:textFill>
            <w14:solidFill>
              <w14:schemeClr w14:val="tx1"/>
            </w14:solidFill>
          </w14:textFill>
        </w:rPr>
        <w:t>建成红九九扩能搬迁等项目，做优农产品加工业。</w:t>
      </w:r>
      <w:r>
        <w:rPr>
          <w:rFonts w:hint="eastAsia" w:ascii="Times New Roman" w:hAnsi="Times New Roman" w:eastAsia="方正仿宋_GBK" w:cs="Times New Roman"/>
          <w:color w:val="000000" w:themeColor="text1"/>
          <w:sz w:val="32"/>
          <w:szCs w:val="32"/>
          <w14:textFill>
            <w14:solidFill>
              <w14:schemeClr w14:val="tx1"/>
            </w14:solidFill>
          </w14:textFill>
        </w:rPr>
        <w:t>提档升级</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金鳌田园</w:t>
      </w:r>
      <w:r>
        <w:rPr>
          <w:rFonts w:hint="eastAsia" w:ascii="方正仿宋_GBK"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color w:val="000000" w:themeColor="text1"/>
          <w:sz w:val="32"/>
          <w:szCs w:val="32"/>
          <w14:textFill>
            <w14:solidFill>
              <w14:schemeClr w14:val="tx1"/>
            </w14:solidFill>
          </w14:textFill>
        </w:rPr>
        <w:t>国家4A级旅游景区，建成云上田园等项目，常态化开展农耕文化体验活动。持续推进中梁山康养项目和石林寺综合体招商建设，力争建成投用蒲公英成长酷玩营地二期。</w:t>
      </w:r>
      <w:r>
        <w:rPr>
          <w:rFonts w:ascii="Times New Roman" w:hAnsi="Times New Roman" w:eastAsia="方正仿宋_GBK" w:cs="Times New Roman"/>
          <w:color w:val="000000" w:themeColor="text1"/>
          <w:kern w:val="2"/>
          <w:sz w:val="32"/>
          <w:szCs w:val="32"/>
          <w14:textFill>
            <w14:solidFill>
              <w14:schemeClr w14:val="tx1"/>
            </w14:solidFill>
          </w14:textFill>
        </w:rPr>
        <w:t>巩固提升农村集体产权制度改革成果，落实强村富民措施，积极发展新型农村集体经济。</w:t>
      </w:r>
    </w:p>
    <w:p>
      <w:pPr>
        <w:widowControl w:val="0"/>
        <w:adjustRightInd w:val="0"/>
        <w:snapToGrid w:val="0"/>
        <w:spacing w:after="0" w:line="594" w:lineRule="exact"/>
        <w:jc w:val="center"/>
        <w:rPr>
          <w:rFonts w:ascii="Times New Roman" w:hAnsi="Times New Roman" w:eastAsia="方正黑体_GBK" w:cs="Times New Roman"/>
          <w:color w:val="000000" w:themeColor="text1"/>
          <w:sz w:val="28"/>
          <w:szCs w:val="28"/>
          <w14:textFill>
            <w14:solidFill>
              <w14:schemeClr w14:val="tx1"/>
            </w14:solidFill>
          </w14:textFill>
        </w:rPr>
      </w:pPr>
      <w:r>
        <w:rPr>
          <w:rFonts w:ascii="Times New Roman" w:hAnsi="Times New Roman" w:eastAsia="方正黑体_GBK" w:cs="Times New Roman"/>
          <w:color w:val="000000" w:themeColor="text1"/>
          <w:sz w:val="28"/>
          <w:szCs w:val="28"/>
          <w14:textFill>
            <w14:solidFill>
              <w14:schemeClr w14:val="tx1"/>
            </w14:solidFill>
          </w14:textFill>
        </w:rPr>
        <w:t>专栏</w:t>
      </w:r>
      <w:r>
        <w:rPr>
          <w:rFonts w:hint="eastAsia" w:ascii="Times New Roman" w:hAnsi="Times New Roman" w:eastAsia="方正黑体_GBK" w:cs="Times New Roman"/>
          <w:color w:val="000000" w:themeColor="text1"/>
          <w:sz w:val="28"/>
          <w:szCs w:val="28"/>
          <w:lang w:val="en-US" w:eastAsia="zh-CN"/>
          <w14:textFill>
            <w14:solidFill>
              <w14:schemeClr w14:val="tx1"/>
            </w14:solidFill>
          </w14:textFill>
        </w:rPr>
        <w:t>3</w:t>
      </w:r>
      <w:r>
        <w:rPr>
          <w:rFonts w:ascii="Times New Roman" w:hAnsi="Times New Roman" w:eastAsia="方正黑体_GBK" w:cs="Times New Roman"/>
          <w:color w:val="000000" w:themeColor="text1"/>
          <w:sz w:val="28"/>
          <w:szCs w:val="28"/>
          <w14:textFill>
            <w14:solidFill>
              <w14:schemeClr w14:val="tx1"/>
            </w14:solidFill>
          </w14:textFill>
        </w:rPr>
        <w:t>：2024年城乡融合重点项目</w:t>
      </w:r>
    </w:p>
    <w:tbl>
      <w:tblPr>
        <w:tblStyle w:val="14"/>
        <w:tblW w:w="9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9203" w:type="dxa"/>
          </w:tcPr>
          <w:p>
            <w:pPr>
              <w:widowControl w:val="0"/>
              <w:spacing w:after="0" w:line="260" w:lineRule="exact"/>
              <w:jc w:val="both"/>
              <w:rPr>
                <w:rFonts w:ascii="Times New Roman" w:hAnsi="Times New Roman" w:eastAsia="方正仿宋_GBK" w:cs="Times New Roman"/>
                <w:bCs/>
                <w:color w:val="000000" w:themeColor="text1"/>
                <w:sz w:val="21"/>
                <w:szCs w:val="21"/>
                <w14:textFill>
                  <w14:solidFill>
                    <w14:schemeClr w14:val="tx1"/>
                  </w14:solidFill>
                </w14:textFill>
              </w:rPr>
            </w:pPr>
            <w:r>
              <w:rPr>
                <w:rFonts w:ascii="Times New Roman" w:hAnsi="Times New Roman" w:eastAsia="方正黑体_GBK" w:cs="Times New Roman"/>
                <w:bCs/>
                <w:color w:val="000000" w:themeColor="text1"/>
                <w:sz w:val="21"/>
                <w:szCs w:val="21"/>
                <w14:textFill>
                  <w14:solidFill>
                    <w14:schemeClr w14:val="tx1"/>
                  </w14:solidFill>
                </w14:textFill>
              </w:rPr>
              <w:t>公园建设：</w:t>
            </w:r>
            <w:r>
              <w:rPr>
                <w:rFonts w:ascii="Times New Roman" w:hAnsi="Times New Roman" w:eastAsia="方正仿宋_GBK" w:cs="Times New Roman"/>
                <w:bCs/>
                <w:color w:val="000000" w:themeColor="text1"/>
                <w:sz w:val="21"/>
                <w:szCs w:val="21"/>
                <w14:textFill>
                  <w14:solidFill>
                    <w14:schemeClr w14:val="tx1"/>
                  </w14:solidFill>
                </w14:textFill>
              </w:rPr>
              <w:t>双山体育公园建设工程、</w:t>
            </w:r>
            <w:r>
              <w:rPr>
                <w:rFonts w:hint="eastAsia" w:ascii="Times New Roman" w:hAnsi="Times New Roman" w:eastAsia="方正仿宋_GBK" w:cs="Times New Roman"/>
                <w:bCs/>
                <w:color w:val="000000" w:themeColor="text1"/>
                <w:sz w:val="21"/>
                <w:szCs w:val="21"/>
                <w14:textFill>
                  <w14:solidFill>
                    <w14:schemeClr w14:val="tx1"/>
                  </w14:solidFill>
                </w14:textFill>
              </w:rPr>
              <w:t>伏牛大道坡坎崖游乐公园</w:t>
            </w:r>
            <w:r>
              <w:rPr>
                <w:rFonts w:ascii="Times New Roman" w:hAnsi="Times New Roman" w:eastAsia="方正仿宋_GBK" w:cs="Times New Roman"/>
                <w:bCs/>
                <w:color w:val="000000" w:themeColor="text1"/>
                <w:sz w:val="21"/>
                <w:szCs w:val="21"/>
                <w14:textFill>
                  <w14:solidFill>
                    <w14:schemeClr w14:val="tx1"/>
                  </w14:solidFill>
                </w14:textFill>
              </w:rPr>
              <w:t>、白沙沱长江铁路大桥遗址公园、滨江户外体育公园建设项目、I分区公园绿地建设、白居寺公园品质提升、2024年城市街头绿地及更新项目、嘉南线配套绿化项目</w:t>
            </w:r>
          </w:p>
          <w:p>
            <w:pPr>
              <w:widowControl w:val="0"/>
              <w:spacing w:after="0" w:line="260" w:lineRule="exact"/>
              <w:jc w:val="both"/>
              <w:rPr>
                <w:rFonts w:ascii="Times New Roman" w:hAnsi="Times New Roman" w:eastAsia="方正仿宋_GBK" w:cs="Times New Roman"/>
                <w:bCs/>
                <w:color w:val="000000" w:themeColor="text1"/>
                <w:sz w:val="21"/>
                <w:szCs w:val="21"/>
                <w14:textFill>
                  <w14:solidFill>
                    <w14:schemeClr w14:val="tx1"/>
                  </w14:solidFill>
                </w14:textFill>
              </w:rPr>
            </w:pPr>
            <w:r>
              <w:rPr>
                <w:rFonts w:ascii="Times New Roman" w:hAnsi="Times New Roman" w:eastAsia="方正黑体_GBK" w:cs="Times New Roman"/>
                <w:bCs/>
                <w:color w:val="000000" w:themeColor="text1"/>
                <w:sz w:val="21"/>
                <w:szCs w:val="21"/>
                <w14:textFill>
                  <w14:solidFill>
                    <w14:schemeClr w14:val="tx1"/>
                  </w14:solidFill>
                </w14:textFill>
              </w:rPr>
              <w:t>道路交通：</w:t>
            </w:r>
            <w:r>
              <w:rPr>
                <w:rFonts w:hint="eastAsia" w:ascii="Times New Roman" w:hAnsi="Times New Roman" w:eastAsia="方正仿宋_GBK" w:cs="Times New Roman"/>
                <w:bCs/>
                <w:color w:val="000000" w:themeColor="text1"/>
                <w:sz w:val="21"/>
                <w:szCs w:val="21"/>
                <w14:textFill>
                  <w14:solidFill>
                    <w14:schemeClr w14:val="tx1"/>
                  </w14:solidFill>
                </w14:textFill>
              </w:rPr>
              <w:t>成渝铁路重庆至江津站段改造项目大渡口区站房配套设施工程、</w:t>
            </w:r>
            <w:r>
              <w:rPr>
                <w:rFonts w:ascii="Times New Roman" w:hAnsi="Times New Roman" w:eastAsia="方正仿宋_GBK" w:cs="Times New Roman"/>
                <w:bCs/>
                <w:color w:val="000000" w:themeColor="text1"/>
                <w:sz w:val="21"/>
                <w:szCs w:val="21"/>
                <w14:textFill>
                  <w14:solidFill>
                    <w14:schemeClr w14:val="tx1"/>
                  </w14:solidFill>
                </w14:textFill>
              </w:rPr>
              <w:t>八横线白市驿隧道至黄桷坪大桥段、陶家隧道、三纵线双山隧道至金家湾立交段改造工程、大滨路与九滨路连接道、五台山立交至双山隧道段改造工程建设、嘉南线连接道、新郭伏路福茄路至金建路段二期、</w:t>
            </w:r>
            <w:r>
              <w:rPr>
                <w:rFonts w:hint="eastAsia" w:ascii="Times New Roman" w:hAnsi="Times New Roman" w:eastAsia="方正仿宋_GBK" w:cs="Times New Roman"/>
                <w:bCs/>
                <w:color w:val="000000" w:themeColor="text1"/>
                <w:sz w:val="21"/>
                <w:szCs w:val="21"/>
                <w14:textFill>
                  <w14:solidFill>
                    <w14:schemeClr w14:val="tx1"/>
                  </w14:solidFill>
                </w14:textFill>
              </w:rPr>
              <w:t>音乐大道北延伸段</w:t>
            </w:r>
            <w:r>
              <w:rPr>
                <w:rFonts w:ascii="Times New Roman" w:hAnsi="Times New Roman" w:eastAsia="方正仿宋_GBK" w:cs="Times New Roman"/>
                <w:bCs/>
                <w:color w:val="000000" w:themeColor="text1"/>
                <w:sz w:val="21"/>
                <w:szCs w:val="21"/>
                <w14:textFill>
                  <w14:solidFill>
                    <w14:schemeClr w14:val="tx1"/>
                  </w14:solidFill>
                </w14:textFill>
              </w:rPr>
              <w:t>、跳磴南侧Z3路、钢花支路拓宽改造工程暨快速路八横线联络线、跳磴南侧片区路网项目</w:t>
            </w:r>
            <w:r>
              <w:rPr>
                <w:rFonts w:hint="eastAsia" w:ascii="Times New Roman" w:hAnsi="Times New Roman" w:eastAsia="方正仿宋_GBK" w:cs="Times New Roman"/>
                <w:bCs/>
                <w:color w:val="000000" w:themeColor="text1"/>
                <w:sz w:val="21"/>
                <w:szCs w:val="21"/>
                <w14:textFill>
                  <w14:solidFill>
                    <w14:schemeClr w14:val="tx1"/>
                  </w14:solidFill>
                </w14:textFill>
              </w:rPr>
              <w:t>一期</w:t>
            </w:r>
            <w:r>
              <w:rPr>
                <w:rFonts w:ascii="Times New Roman" w:hAnsi="Times New Roman" w:eastAsia="方正仿宋_GBK" w:cs="Times New Roman"/>
                <w:bCs/>
                <w:color w:val="000000" w:themeColor="text1"/>
                <w:sz w:val="21"/>
                <w:szCs w:val="21"/>
                <w14:textFill>
                  <w14:solidFill>
                    <w14:schemeClr w14:val="tx1"/>
                  </w14:solidFill>
                </w14:textFill>
              </w:rPr>
              <w:t>、福晟路网、跳磴南侧两横一纵路网工程、</w:t>
            </w:r>
            <w:r>
              <w:rPr>
                <w:rFonts w:hint="eastAsia" w:ascii="Times New Roman" w:hAnsi="Times New Roman" w:eastAsia="方正仿宋_GBK" w:cs="Times New Roman"/>
                <w:bCs/>
                <w:color w:val="000000" w:themeColor="text1"/>
                <w:sz w:val="21"/>
                <w:szCs w:val="21"/>
                <w14:textFill>
                  <w14:solidFill>
                    <w14:schemeClr w14:val="tx1"/>
                  </w14:solidFill>
                </w14:textFill>
              </w:rPr>
              <w:t>刘家坝片区路网工程二期</w:t>
            </w:r>
            <w:r>
              <w:rPr>
                <w:rFonts w:ascii="Times New Roman" w:hAnsi="Times New Roman" w:eastAsia="方正仿宋_GBK" w:cs="Times New Roman"/>
                <w:bCs/>
                <w:color w:val="000000" w:themeColor="text1"/>
                <w:sz w:val="21"/>
                <w:szCs w:val="21"/>
                <w14:textFill>
                  <w14:solidFill>
                    <w14:schemeClr w14:val="tx1"/>
                  </w14:solidFill>
                </w14:textFill>
              </w:rPr>
              <w:t>、</w:t>
            </w:r>
            <w:r>
              <w:rPr>
                <w:rFonts w:hint="eastAsia" w:ascii="Times New Roman" w:hAnsi="Times New Roman" w:eastAsia="方正仿宋_GBK" w:cs="Times New Roman"/>
                <w:bCs/>
                <w:color w:val="000000" w:themeColor="text1"/>
                <w:sz w:val="21"/>
                <w:szCs w:val="21"/>
                <w14:textFill>
                  <w14:solidFill>
                    <w14:schemeClr w14:val="tx1"/>
                  </w14:solidFill>
                </w14:textFill>
              </w:rPr>
              <w:t>八桥镇储备地块安置房周边道路整治工程一期</w:t>
            </w:r>
            <w:r>
              <w:rPr>
                <w:rFonts w:ascii="Times New Roman" w:hAnsi="Times New Roman" w:eastAsia="方正仿宋_GBK" w:cs="Times New Roman"/>
                <w:bCs/>
                <w:color w:val="000000" w:themeColor="text1"/>
                <w:sz w:val="21"/>
                <w:szCs w:val="21"/>
                <w14:textFill>
                  <w14:solidFill>
                    <w14:schemeClr w14:val="tx1"/>
                  </w14:solidFill>
                </w14:textFill>
              </w:rPr>
              <w:t>、恒大I分区项目配套道路二期、钓鱼嘴五号路、创新村片区道路</w:t>
            </w:r>
          </w:p>
          <w:p>
            <w:pPr>
              <w:widowControl w:val="0"/>
              <w:spacing w:after="0" w:line="260" w:lineRule="exact"/>
              <w:jc w:val="both"/>
              <w:rPr>
                <w:rFonts w:ascii="Times New Roman" w:hAnsi="Times New Roman" w:eastAsia="方正仿宋_GBK" w:cs="Times New Roman"/>
                <w:bCs/>
                <w:color w:val="000000" w:themeColor="text1"/>
                <w:sz w:val="21"/>
                <w:szCs w:val="21"/>
                <w14:textFill>
                  <w14:solidFill>
                    <w14:schemeClr w14:val="tx1"/>
                  </w14:solidFill>
                </w14:textFill>
              </w:rPr>
            </w:pPr>
            <w:r>
              <w:rPr>
                <w:rFonts w:ascii="Times New Roman" w:hAnsi="Times New Roman" w:eastAsia="方正黑体_GBK" w:cs="Times New Roman"/>
                <w:bCs/>
                <w:color w:val="000000" w:themeColor="text1"/>
                <w:sz w:val="21"/>
                <w:szCs w:val="21"/>
                <w14:textFill>
                  <w14:solidFill>
                    <w14:schemeClr w14:val="tx1"/>
                  </w14:solidFill>
                </w14:textFill>
              </w:rPr>
              <w:t>能源配套：</w:t>
            </w:r>
            <w:r>
              <w:rPr>
                <w:rFonts w:ascii="Times New Roman" w:hAnsi="Times New Roman" w:eastAsia="方正仿宋_GBK" w:cs="Times New Roman"/>
                <w:bCs/>
                <w:color w:val="000000" w:themeColor="text1"/>
                <w:sz w:val="21"/>
                <w:szCs w:val="21"/>
                <w14:textFill>
                  <w14:solidFill>
                    <w14:schemeClr w14:val="tx1"/>
                  </w14:solidFill>
                </w14:textFill>
              </w:rPr>
              <w:t>35千伏中征一、二线及110千伏柏敖线迁改、</w:t>
            </w:r>
            <w:r>
              <w:rPr>
                <w:rFonts w:hint="eastAsia" w:ascii="Times New Roman" w:hAnsi="Times New Roman" w:eastAsia="方正仿宋_GBK" w:cs="Times New Roman"/>
                <w:bCs/>
                <w:color w:val="000000" w:themeColor="text1"/>
                <w:sz w:val="21"/>
                <w:szCs w:val="21"/>
                <w14:textFill>
                  <w14:solidFill>
                    <w14:schemeClr w14:val="tx1"/>
                  </w14:solidFill>
                </w14:textFill>
              </w:rPr>
              <w:t>大渡口</w:t>
            </w:r>
            <w:r>
              <w:rPr>
                <w:rFonts w:ascii="Times New Roman" w:hAnsi="Times New Roman" w:eastAsia="方正仿宋_GBK" w:cs="Times New Roman"/>
                <w:bCs/>
                <w:color w:val="000000" w:themeColor="text1"/>
                <w:sz w:val="21"/>
                <w:szCs w:val="21"/>
                <w14:textFill>
                  <w14:solidFill>
                    <w14:schemeClr w14:val="tx1"/>
                  </w14:solidFill>
                </w14:textFill>
              </w:rPr>
              <w:t>10</w:t>
            </w:r>
            <w:r>
              <w:rPr>
                <w:rFonts w:hint="eastAsia" w:ascii="Times New Roman" w:hAnsi="Times New Roman" w:eastAsia="方正仿宋_GBK" w:cs="Times New Roman"/>
                <w:bCs/>
                <w:color w:val="000000" w:themeColor="text1"/>
                <w:sz w:val="21"/>
                <w:szCs w:val="21"/>
                <w14:textFill>
                  <w14:solidFill>
                    <w14:schemeClr w14:val="tx1"/>
                  </w14:solidFill>
                </w14:textFill>
              </w:rPr>
              <w:t>千伏刘柏线等线路迁改工程</w:t>
            </w:r>
            <w:r>
              <w:rPr>
                <w:rFonts w:ascii="Times New Roman" w:hAnsi="Times New Roman" w:eastAsia="方正仿宋_GBK" w:cs="Times New Roman"/>
                <w:bCs/>
                <w:color w:val="000000" w:themeColor="text1"/>
                <w:sz w:val="21"/>
                <w:szCs w:val="21"/>
                <w14:textFill>
                  <w14:solidFill>
                    <w14:schemeClr w14:val="tx1"/>
                  </w14:solidFill>
                </w14:textFill>
              </w:rPr>
              <w:t>、西大附中刘家坝东片区110kV马刘东西线、柏建线、刘海线电力迁改、萤石生产基地项目35千伏专用变电站建设项目、建桥C区环保产业园配电项目电力通道建设、中元汇吉生产基地10千伏开闭所建设</w:t>
            </w:r>
          </w:p>
          <w:p>
            <w:pPr>
              <w:widowControl w:val="0"/>
              <w:spacing w:after="0" w:line="260" w:lineRule="exact"/>
              <w:jc w:val="both"/>
              <w:rPr>
                <w:rFonts w:ascii="Times New Roman" w:hAnsi="Times New Roman" w:eastAsia="方正仿宋_GBK" w:cs="Times New Roman"/>
                <w:bCs/>
                <w:color w:val="000000" w:themeColor="text1"/>
                <w:sz w:val="21"/>
                <w:szCs w:val="21"/>
                <w14:textFill>
                  <w14:solidFill>
                    <w14:schemeClr w14:val="tx1"/>
                  </w14:solidFill>
                </w14:textFill>
              </w:rPr>
            </w:pPr>
            <w:r>
              <w:rPr>
                <w:rFonts w:ascii="Times New Roman" w:hAnsi="Times New Roman" w:eastAsia="方正黑体_GBK" w:cs="Times New Roman"/>
                <w:bCs/>
                <w:color w:val="000000" w:themeColor="text1"/>
                <w:sz w:val="21"/>
                <w:szCs w:val="21"/>
                <w14:textFill>
                  <w14:solidFill>
                    <w14:schemeClr w14:val="tx1"/>
                  </w14:solidFill>
                </w14:textFill>
              </w:rPr>
              <w:t>公共配套：</w:t>
            </w:r>
            <w:bookmarkStart w:id="0" w:name="_Hlk167823012"/>
            <w:r>
              <w:rPr>
                <w:rFonts w:ascii="Times New Roman" w:hAnsi="Times New Roman" w:eastAsia="方正仿宋_GBK" w:cs="Times New Roman"/>
                <w:bCs/>
                <w:color w:val="000000" w:themeColor="text1"/>
                <w:sz w:val="21"/>
                <w:szCs w:val="21"/>
                <w14:textFill>
                  <w14:solidFill>
                    <w14:schemeClr w14:val="tx1"/>
                  </w14:solidFill>
                </w14:textFill>
              </w:rPr>
              <w:t>大渡口区葛老溪片区雨污水管网整治工程、九宫庙片区雨污水管网整治工程、茄子溪片区雨污水管网整治工程、N08-1地块停车场、移民城镇智慧化及应急能力建设工程、嘉南线连接道DN1400给水管道工程、建桥大道至南北大道南延段DN1400给水管道工程、N32-2地块停车场、育才小学天桥</w:t>
            </w:r>
          </w:p>
          <w:bookmarkEnd w:id="0"/>
          <w:p>
            <w:pPr>
              <w:widowControl w:val="0"/>
              <w:spacing w:after="0" w:line="260" w:lineRule="exact"/>
              <w:jc w:val="both"/>
              <w:rPr>
                <w:rFonts w:ascii="Times New Roman" w:hAnsi="Times New Roman" w:eastAsia="方正仿宋_GBK" w:cs="Times New Roman"/>
                <w:bCs/>
                <w:color w:val="000000" w:themeColor="text1"/>
                <w:sz w:val="21"/>
                <w:szCs w:val="21"/>
                <w14:textFill>
                  <w14:solidFill>
                    <w14:schemeClr w14:val="tx1"/>
                  </w14:solidFill>
                </w14:textFill>
              </w:rPr>
            </w:pPr>
            <w:r>
              <w:rPr>
                <w:rFonts w:ascii="Times New Roman" w:hAnsi="Times New Roman" w:eastAsia="方正黑体_GBK" w:cs="Times New Roman"/>
                <w:bCs/>
                <w:color w:val="000000" w:themeColor="text1"/>
                <w:sz w:val="21"/>
                <w:szCs w:val="21"/>
                <w14:textFill>
                  <w14:solidFill>
                    <w14:schemeClr w14:val="tx1"/>
                  </w14:solidFill>
                </w14:textFill>
              </w:rPr>
              <w:t>城市更新及老旧小区改造：</w:t>
            </w:r>
            <w:bookmarkStart w:id="1" w:name="_Hlk167823020"/>
            <w:r>
              <w:rPr>
                <w:rStyle w:val="29"/>
                <w:rFonts w:hint="default" w:ascii="Times New Roman" w:hAnsi="Times New Roman" w:eastAsia="方正仿宋_GBK" w:cs="Times New Roman"/>
                <w:color w:val="000000" w:themeColor="text1"/>
                <w:sz w:val="21"/>
                <w:szCs w:val="21"/>
                <w:lang w:bidi="ar"/>
                <w14:textFill>
                  <w14:solidFill>
                    <w14:schemeClr w14:val="tx1"/>
                  </w14:solidFill>
                </w14:textFill>
              </w:rPr>
              <w:t>艺度创城市更新一期、二期；</w:t>
            </w:r>
            <w:r>
              <w:rPr>
                <w:rFonts w:ascii="Times New Roman" w:hAnsi="Times New Roman" w:eastAsia="方正仿宋_GBK" w:cs="Times New Roman"/>
                <w:bCs/>
                <w:color w:val="000000" w:themeColor="text1"/>
                <w:sz w:val="21"/>
                <w:szCs w:val="21"/>
                <w14:textFill>
                  <w14:solidFill>
                    <w14:schemeClr w14:val="tx1"/>
                  </w14:solidFill>
                </w14:textFill>
              </w:rPr>
              <w:t>革马中心片区、大堰片区、跃进（跃新）片区、堰兴片区、大堰二村片区、渝铁片区、翠柏小区、柏华小区、重钢宿舍片区老旧小区改造</w:t>
            </w:r>
          </w:p>
          <w:bookmarkEnd w:id="1"/>
          <w:p>
            <w:pPr>
              <w:widowControl w:val="0"/>
              <w:spacing w:after="0" w:line="260" w:lineRule="exact"/>
              <w:jc w:val="both"/>
              <w:rPr>
                <w:rFonts w:ascii="Times New Roman" w:hAnsi="Times New Roman" w:cs="Times New Roman"/>
                <w:color w:val="000000" w:themeColor="text1"/>
                <w:sz w:val="21"/>
                <w:szCs w:val="21"/>
                <w14:textFill>
                  <w14:solidFill>
                    <w14:schemeClr w14:val="tx1"/>
                  </w14:solidFill>
                </w14:textFill>
              </w:rPr>
            </w:pPr>
            <w:r>
              <w:rPr>
                <w:rFonts w:ascii="Times New Roman" w:hAnsi="Times New Roman" w:eastAsia="方正黑体_GBK" w:cs="Times New Roman"/>
                <w:bCs/>
                <w:color w:val="000000" w:themeColor="text1"/>
                <w:sz w:val="21"/>
                <w:szCs w:val="21"/>
                <w14:textFill>
                  <w14:solidFill>
                    <w14:schemeClr w14:val="tx1"/>
                  </w14:solidFill>
                </w14:textFill>
              </w:rPr>
              <w:t>乡村振兴：</w:t>
            </w:r>
            <w:bookmarkStart w:id="2" w:name="_Hlk167823029"/>
            <w:r>
              <w:rPr>
                <w:rFonts w:hint="eastAsia" w:ascii="方正仿宋_GBK" w:hAnsi="Times New Roman" w:eastAsia="方正仿宋_GBK" w:cs="Times New Roman"/>
                <w:bCs/>
                <w:color w:val="000000" w:themeColor="text1"/>
                <w:sz w:val="21"/>
                <w:szCs w:val="21"/>
                <w14:textFill>
                  <w14:solidFill>
                    <w14:schemeClr w14:val="tx1"/>
                  </w14:solidFill>
                </w14:textFill>
              </w:rPr>
              <w:t>“</w:t>
            </w:r>
            <w:r>
              <w:rPr>
                <w:rFonts w:ascii="Times New Roman" w:hAnsi="Times New Roman" w:eastAsia="方正仿宋_GBK" w:cs="Times New Roman"/>
                <w:bCs/>
                <w:color w:val="000000" w:themeColor="text1"/>
                <w:sz w:val="21"/>
                <w:szCs w:val="21"/>
                <w14:textFill>
                  <w14:solidFill>
                    <w14:schemeClr w14:val="tx1"/>
                  </w14:solidFill>
                </w14:textFill>
              </w:rPr>
              <w:t>金鳌田园</w:t>
            </w:r>
            <w:r>
              <w:rPr>
                <w:rFonts w:hint="eastAsia" w:ascii="方正仿宋_GBK" w:hAnsi="Times New Roman" w:eastAsia="方正仿宋_GBK" w:cs="Times New Roman"/>
                <w:bCs/>
                <w:color w:val="000000" w:themeColor="text1"/>
                <w:sz w:val="21"/>
                <w:szCs w:val="21"/>
                <w14:textFill>
                  <w14:solidFill>
                    <w14:schemeClr w14:val="tx1"/>
                  </w14:solidFill>
                </w14:textFill>
              </w:rPr>
              <w:t>”</w:t>
            </w:r>
            <w:r>
              <w:rPr>
                <w:rFonts w:ascii="Times New Roman" w:hAnsi="Times New Roman" w:eastAsia="方正仿宋_GBK" w:cs="Times New Roman"/>
                <w:bCs/>
                <w:color w:val="000000" w:themeColor="text1"/>
                <w:sz w:val="21"/>
                <w:szCs w:val="21"/>
                <w14:textFill>
                  <w14:solidFill>
                    <w14:schemeClr w14:val="tx1"/>
                  </w14:solidFill>
                </w14:textFill>
              </w:rPr>
              <w:t>综合体基础设施建设项目、</w:t>
            </w:r>
            <w:r>
              <w:rPr>
                <w:rFonts w:hint="eastAsia" w:ascii="Times New Roman" w:hAnsi="Times New Roman" w:eastAsia="方正仿宋_GBK" w:cs="Times New Roman"/>
                <w:bCs/>
                <w:color w:val="000000" w:themeColor="text1"/>
                <w:sz w:val="21"/>
                <w:szCs w:val="21"/>
                <w14:textFill>
                  <w14:solidFill>
                    <w14:schemeClr w14:val="tx1"/>
                  </w14:solidFill>
                </w14:textFill>
              </w:rPr>
              <w:t>金鳌撒欢乐园项目</w:t>
            </w:r>
            <w:r>
              <w:rPr>
                <w:rFonts w:ascii="Times New Roman" w:hAnsi="Times New Roman" w:eastAsia="方正仿宋_GBK" w:cs="Times New Roman"/>
                <w:color w:val="000000" w:themeColor="text1"/>
                <w:sz w:val="21"/>
                <w:szCs w:val="21"/>
                <w:lang w:bidi="ar"/>
                <w14:textFill>
                  <w14:solidFill>
                    <w14:schemeClr w14:val="tx1"/>
                  </w14:solidFill>
                </w14:textFill>
              </w:rPr>
              <w:t>、</w:t>
            </w:r>
            <w:r>
              <w:rPr>
                <w:rFonts w:hint="eastAsia" w:ascii="方正仿宋_GBK" w:hAnsi="Times New Roman" w:eastAsia="方正仿宋_GBK" w:cs="Times New Roman"/>
                <w:color w:val="000000" w:themeColor="text1"/>
                <w:sz w:val="21"/>
                <w:szCs w:val="21"/>
                <w:lang w:bidi="ar"/>
                <w14:textFill>
                  <w14:solidFill>
                    <w14:schemeClr w14:val="tx1"/>
                  </w14:solidFill>
                </w14:textFill>
              </w:rPr>
              <w:t>“</w:t>
            </w:r>
            <w:r>
              <w:rPr>
                <w:rStyle w:val="48"/>
                <w:rFonts w:hint="default" w:ascii="Times New Roman" w:hAnsi="Times New Roman" w:eastAsia="方正仿宋_GBK" w:cs="Times New Roman"/>
                <w:color w:val="000000" w:themeColor="text1"/>
                <w:sz w:val="21"/>
                <w:szCs w:val="21"/>
                <w:lang w:bidi="ar"/>
                <w14:textFill>
                  <w14:solidFill>
                    <w14:schemeClr w14:val="tx1"/>
                  </w14:solidFill>
                </w14:textFill>
              </w:rPr>
              <w:t>金鳌田园</w:t>
            </w:r>
            <w:r>
              <w:rPr>
                <w:rFonts w:hint="eastAsia" w:ascii="方正仿宋_GBK" w:hAnsi="Times New Roman" w:eastAsia="方正仿宋_GBK" w:cs="Times New Roman"/>
                <w:color w:val="000000" w:themeColor="text1"/>
                <w:sz w:val="21"/>
                <w:szCs w:val="21"/>
                <w:lang w:bidi="ar"/>
                <w14:textFill>
                  <w14:solidFill>
                    <w14:schemeClr w14:val="tx1"/>
                  </w14:solidFill>
                </w14:textFill>
              </w:rPr>
              <w:t>”</w:t>
            </w:r>
            <w:r>
              <w:rPr>
                <w:rStyle w:val="48"/>
                <w:rFonts w:hint="default" w:ascii="Times New Roman" w:hAnsi="Times New Roman" w:eastAsia="方正仿宋_GBK" w:cs="Times New Roman"/>
                <w:color w:val="000000" w:themeColor="text1"/>
                <w:sz w:val="21"/>
                <w:szCs w:val="21"/>
                <w:lang w:bidi="ar"/>
                <w14:textFill>
                  <w14:solidFill>
                    <w14:schemeClr w14:val="tx1"/>
                  </w14:solidFill>
                </w14:textFill>
              </w:rPr>
              <w:t>民宿旅游项目、</w:t>
            </w:r>
            <w:r>
              <w:rPr>
                <w:rFonts w:ascii="Times New Roman" w:hAnsi="Times New Roman" w:eastAsia="方正仿宋_GBK" w:cs="Times New Roman"/>
                <w:bCs/>
                <w:color w:val="000000" w:themeColor="text1"/>
                <w:sz w:val="21"/>
                <w:szCs w:val="21"/>
                <w14:textFill>
                  <w14:solidFill>
                    <w14:schemeClr w14:val="tx1"/>
                  </w14:solidFill>
                </w14:textFill>
              </w:rPr>
              <w:t>衔接推进乡村振兴项目、蒲公英酷玩成长营地、中梁山农房整治项目（含危旧房）、跳磴镇水系连通及水美乡村建设工程、农村人居环境整治项目、跳磴镇石盘村等移民村</w:t>
            </w:r>
            <w:r>
              <w:rPr>
                <w:rFonts w:hint="eastAsia" w:ascii="方正仿宋_GBK" w:hAnsi="Times New Roman" w:eastAsia="方正仿宋_GBK" w:cs="Times New Roman"/>
                <w:bCs/>
                <w:color w:val="000000" w:themeColor="text1"/>
                <w:sz w:val="21"/>
                <w:szCs w:val="21"/>
                <w14:textFill>
                  <w14:solidFill>
                    <w14:schemeClr w14:val="tx1"/>
                  </w14:solidFill>
                </w14:textFill>
              </w:rPr>
              <w:t>“</w:t>
            </w:r>
            <w:r>
              <w:rPr>
                <w:rFonts w:ascii="Times New Roman" w:hAnsi="Times New Roman" w:eastAsia="方正仿宋_GBK" w:cs="Times New Roman"/>
                <w:bCs/>
                <w:color w:val="000000" w:themeColor="text1"/>
                <w:sz w:val="21"/>
                <w:szCs w:val="21"/>
                <w14:textFill>
                  <w14:solidFill>
                    <w14:schemeClr w14:val="tx1"/>
                  </w14:solidFill>
                </w14:textFill>
              </w:rPr>
              <w:t>一改三提</w:t>
            </w:r>
            <w:r>
              <w:rPr>
                <w:rFonts w:hint="eastAsia" w:ascii="方正仿宋_GBK" w:hAnsi="Times New Roman" w:eastAsia="方正仿宋_GBK" w:cs="Times New Roman"/>
                <w:bCs/>
                <w:color w:val="000000" w:themeColor="text1"/>
                <w:sz w:val="21"/>
                <w:szCs w:val="21"/>
                <w14:textFill>
                  <w14:solidFill>
                    <w14:schemeClr w14:val="tx1"/>
                  </w14:solidFill>
                </w14:textFill>
              </w:rPr>
              <w:t>”</w:t>
            </w:r>
            <w:r>
              <w:rPr>
                <w:rFonts w:ascii="Times New Roman" w:hAnsi="Times New Roman" w:eastAsia="方正仿宋_GBK" w:cs="Times New Roman"/>
                <w:bCs/>
                <w:color w:val="000000" w:themeColor="text1"/>
                <w:sz w:val="21"/>
                <w:szCs w:val="21"/>
                <w14:textFill>
                  <w14:solidFill>
                    <w14:schemeClr w14:val="tx1"/>
                  </w14:solidFill>
                </w14:textFill>
              </w:rPr>
              <w:t>工程</w:t>
            </w:r>
            <w:bookmarkEnd w:id="2"/>
          </w:p>
        </w:tc>
      </w:tr>
    </w:tbl>
    <w:p>
      <w:pPr>
        <w:pStyle w:val="2"/>
        <w:spacing w:line="594" w:lineRule="exact"/>
        <w:ind w:firstLine="640" w:firstLineChars="200"/>
        <w:rPr>
          <w:rFonts w:eastAsia="方正仿宋_GBK"/>
          <w:color w:val="000000" w:themeColor="text1"/>
          <w:szCs w:val="32"/>
          <w14:textFill>
            <w14:solidFill>
              <w14:schemeClr w14:val="tx1"/>
            </w14:solidFill>
          </w14:textFill>
        </w:rPr>
      </w:pPr>
      <w:r>
        <w:rPr>
          <w:rFonts w:eastAsia="方正楷体_GBK"/>
          <w:bCs/>
          <w:color w:val="000000" w:themeColor="text1"/>
          <w:kern w:val="2"/>
          <w:szCs w:val="32"/>
          <w14:textFill>
            <w14:solidFill>
              <w14:schemeClr w14:val="tx1"/>
            </w14:solidFill>
          </w14:textFill>
        </w:rPr>
        <w:t>（五）全力减污降碳增绿，促进环境质量新改善</w:t>
      </w:r>
    </w:p>
    <w:p>
      <w:pPr>
        <w:pStyle w:val="2"/>
        <w:spacing w:line="594" w:lineRule="exact"/>
        <w:ind w:firstLine="643" w:firstLineChars="200"/>
        <w:rPr>
          <w:rFonts w:eastAsia="方正仿宋_GBK"/>
          <w:color w:val="000000" w:themeColor="text1"/>
          <w:szCs w:val="32"/>
          <w14:textFill>
            <w14:solidFill>
              <w14:schemeClr w14:val="tx1"/>
            </w14:solidFill>
          </w14:textFill>
        </w:rPr>
      </w:pPr>
      <w:r>
        <w:rPr>
          <w:b/>
          <w:bCs/>
          <w:color w:val="000000" w:themeColor="text1"/>
          <w:szCs w:val="32"/>
          <w14:textFill>
            <w14:solidFill>
              <w14:schemeClr w14:val="tx1"/>
            </w14:solidFill>
          </w14:textFill>
        </w:rPr>
        <w:t xml:space="preserve">16. </w:t>
      </w:r>
      <w:r>
        <w:rPr>
          <w:rFonts w:hint="eastAsia" w:ascii="方正仿宋_GBK" w:eastAsia="方正仿宋_GBK"/>
          <w:b/>
          <w:bCs/>
          <w:color w:val="000000" w:themeColor="text1"/>
          <w:szCs w:val="32"/>
          <w14:textFill>
            <w14:solidFill>
              <w14:schemeClr w14:val="tx1"/>
            </w14:solidFill>
          </w14:textFill>
        </w:rPr>
        <w:t>加强生态保护修复。</w:t>
      </w:r>
      <w:r>
        <w:rPr>
          <w:rFonts w:eastAsia="方正仿宋_GBK"/>
          <w:color w:val="000000" w:themeColor="text1"/>
          <w:szCs w:val="32"/>
          <w14:textFill>
            <w14:solidFill>
              <w14:schemeClr w14:val="tx1"/>
            </w14:solidFill>
          </w14:textFill>
        </w:rPr>
        <w:t>深入推动长江经济带发展，坚决筑牢长江上游重要生态屏障，探索创新生态环境治理模式，有序推进美丽重庆先行区建设全域覆盖。全面落实</w:t>
      </w:r>
      <w:r>
        <w:rPr>
          <w:rFonts w:hint="eastAsia" w:ascii="方正仿宋_GBK"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三线一单</w:t>
      </w:r>
      <w:r>
        <w:rPr>
          <w:rFonts w:hint="eastAsia" w:ascii="方正仿宋_GBK"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生态环境分区管控要求，坚决制止违反生态环境准入清单规定进行生产建设活动的行为。严守中梁山、金鳌山等城市绿脉，加快EOD项目建设。加强长江岸线资源保护，加快</w:t>
      </w:r>
      <w:r>
        <w:rPr>
          <w:rFonts w:hint="eastAsia" w:ascii="方正仿宋_GBK"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两江四岸</w:t>
      </w:r>
      <w:r>
        <w:rPr>
          <w:rFonts w:hint="eastAsia" w:ascii="方正仿宋_GBK"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治理提升，建成钓鱼嘴滨江段一标段，启动茄子溪段。加强渔政执法能力建设，持续做好长江十年禁渔执法工作。</w:t>
      </w:r>
    </w:p>
    <w:p>
      <w:pPr>
        <w:pStyle w:val="2"/>
        <w:spacing w:line="594" w:lineRule="exact"/>
        <w:ind w:firstLine="643" w:firstLineChars="200"/>
        <w:rPr>
          <w:rFonts w:eastAsia="方正仿宋_GBK"/>
          <w:color w:val="000000" w:themeColor="text1"/>
          <w:szCs w:val="32"/>
          <w14:textFill>
            <w14:solidFill>
              <w14:schemeClr w14:val="tx1"/>
            </w14:solidFill>
          </w14:textFill>
        </w:rPr>
      </w:pPr>
      <w:r>
        <w:rPr>
          <w:b/>
          <w:bCs/>
          <w:color w:val="000000" w:themeColor="text1"/>
          <w:szCs w:val="32"/>
          <w14:textFill>
            <w14:solidFill>
              <w14:schemeClr w14:val="tx1"/>
            </w14:solidFill>
          </w14:textFill>
        </w:rPr>
        <w:t xml:space="preserve">17. </w:t>
      </w:r>
      <w:r>
        <w:rPr>
          <w:rFonts w:hint="eastAsia" w:ascii="方正仿宋_GBK" w:eastAsia="方正仿宋_GBK"/>
          <w:b/>
          <w:bCs/>
          <w:color w:val="000000" w:themeColor="text1"/>
          <w:szCs w:val="32"/>
          <w14:textFill>
            <w14:solidFill>
              <w14:schemeClr w14:val="tx1"/>
            </w14:solidFill>
          </w14:textFill>
        </w:rPr>
        <w:t>加大污染治理力度。</w:t>
      </w:r>
      <w:r>
        <w:rPr>
          <w:rFonts w:eastAsia="方正仿宋_GBK"/>
          <w:color w:val="000000" w:themeColor="text1"/>
          <w:szCs w:val="32"/>
          <w14:textFill>
            <w14:solidFill>
              <w14:schemeClr w14:val="tx1"/>
            </w14:solidFill>
          </w14:textFill>
        </w:rPr>
        <w:t>落实</w:t>
      </w:r>
      <w:r>
        <w:rPr>
          <w:rFonts w:hint="eastAsia" w:ascii="方正仿宋_GBK"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河长制</w:t>
      </w:r>
      <w:r>
        <w:rPr>
          <w:rFonts w:hint="eastAsia" w:ascii="方正仿宋_GBK"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，巩固长江入河排污口整治成效，实施次级河流入河排口</w:t>
      </w:r>
      <w:r>
        <w:rPr>
          <w:rFonts w:hint="eastAsia" w:ascii="方正仿宋_GBK"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查测溯治</w:t>
      </w:r>
      <w:r>
        <w:rPr>
          <w:rFonts w:hint="eastAsia" w:ascii="方正仿宋_GBK"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工作，启动跳磴河市级幸福河湖创建，开工大九污水处理厂（三期）扩建工程，竣工投用</w:t>
      </w:r>
      <w:r>
        <w:rPr>
          <w:rFonts w:hint="eastAsia" w:ascii="方正仿宋_GBK"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清水绿岸</w:t>
      </w:r>
      <w:r>
        <w:rPr>
          <w:rFonts w:hint="eastAsia" w:ascii="方正仿宋_GBK"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二期工程、伏牛溪污水处理厂一期工程，长江丰收坝国考断面水质保持Ⅱ类及以上，饮用水源地水质达标率100%。深入打好蓝天污染</w:t>
      </w:r>
      <w:r>
        <w:rPr>
          <w:rFonts w:hint="eastAsia" w:eastAsia="方正仿宋_GBK"/>
          <w:color w:val="000000" w:themeColor="text1"/>
          <w:szCs w:val="32"/>
          <w:lang w:eastAsia="zh-CN"/>
          <w14:textFill>
            <w14:solidFill>
              <w14:schemeClr w14:val="tx1"/>
            </w14:solidFill>
          </w14:textFill>
        </w:rPr>
        <w:t>防治</w:t>
      </w:r>
      <w:r>
        <w:rPr>
          <w:rFonts w:eastAsia="方正仿宋_GBK"/>
          <w:color w:val="000000" w:themeColor="text1"/>
          <w:szCs w:val="32"/>
          <w14:textFill>
            <w14:solidFill>
              <w14:schemeClr w14:val="tx1"/>
            </w14:solidFill>
          </w14:textFill>
        </w:rPr>
        <w:t>攻坚战，深化柴油货车污染治理，</w:t>
      </w:r>
      <w:r>
        <w:rPr>
          <w:rFonts w:hint="eastAsia" w:eastAsia="方正仿宋_GBK"/>
          <w:color w:val="000000" w:themeColor="text1"/>
          <w:szCs w:val="32"/>
          <w14:textFill>
            <w14:solidFill>
              <w14:schemeClr w14:val="tx1"/>
            </w14:solidFill>
          </w14:textFill>
        </w:rPr>
        <w:t>强化</w:t>
      </w:r>
      <w:r>
        <w:rPr>
          <w:rFonts w:eastAsia="方正仿宋_GBK"/>
          <w:color w:val="000000" w:themeColor="text1"/>
          <w:szCs w:val="32"/>
          <w14:textFill>
            <w14:solidFill>
              <w14:schemeClr w14:val="tx1"/>
            </w14:solidFill>
          </w14:textFill>
        </w:rPr>
        <w:t>大气面源污染治理，</w:t>
      </w:r>
      <w:r>
        <w:rPr>
          <w:rFonts w:eastAsia="方正仿宋_GBK"/>
          <w:color w:val="000000" w:themeColor="text1"/>
          <w:szCs w:val="40"/>
          <w14:textFill>
            <w14:solidFill>
              <w14:schemeClr w14:val="tx1"/>
            </w14:solidFill>
          </w14:textFill>
        </w:rPr>
        <w:t>推进重点企业大气污染防治技改项目建设，</w:t>
      </w:r>
      <w:r>
        <w:rPr>
          <w:rFonts w:eastAsia="方正仿宋_GBK"/>
          <w:color w:val="000000" w:themeColor="text1"/>
          <w:szCs w:val="32"/>
          <w14:textFill>
            <w14:solidFill>
              <w14:schemeClr w14:val="tx1"/>
            </w14:solidFill>
          </w14:textFill>
        </w:rPr>
        <w:t>实施居民楼公共烟道颗粒物集中治理示范项目二期，确保全年空气质量优良天数不低于290天。强化农用地土壤污染防治和安全利用，创新土壤污染防治监管模式，受污染耕地安全利用率达到93%以上。强化建成区交通噪声控制，声环境功能区夜间达标率达到80%以上。</w:t>
      </w:r>
    </w:p>
    <w:p>
      <w:pPr>
        <w:pStyle w:val="2"/>
        <w:spacing w:line="594" w:lineRule="exact"/>
        <w:ind w:firstLine="643" w:firstLineChars="200"/>
        <w:rPr>
          <w:rFonts w:eastAsia="方正仿宋_GBK"/>
          <w:color w:val="000000" w:themeColor="text1"/>
          <w:szCs w:val="32"/>
          <w14:textFill>
            <w14:solidFill>
              <w14:schemeClr w14:val="tx1"/>
            </w14:solidFill>
          </w14:textFill>
        </w:rPr>
      </w:pPr>
      <w:r>
        <w:rPr>
          <w:rFonts w:eastAsia="方正仿宋_GBK"/>
          <w:b/>
          <w:bCs/>
          <w:color w:val="000000" w:themeColor="text1"/>
          <w:szCs w:val="32"/>
          <w14:textFill>
            <w14:solidFill>
              <w14:schemeClr w14:val="tx1"/>
            </w14:solidFill>
          </w14:textFill>
        </w:rPr>
        <w:t>18. 加快绿色低碳转型。</w:t>
      </w:r>
      <w:r>
        <w:rPr>
          <w:rFonts w:eastAsia="方正仿宋_GBK"/>
          <w:color w:val="000000" w:themeColor="text1"/>
          <w:szCs w:val="32"/>
          <w14:textFill>
            <w14:solidFill>
              <w14:schemeClr w14:val="tx1"/>
            </w14:solidFill>
          </w14:textFill>
        </w:rPr>
        <w:t>大力发展绿色低碳循环经济，有序做好</w:t>
      </w:r>
      <w:r>
        <w:rPr>
          <w:rFonts w:hint="eastAsia" w:ascii="方正仿宋_GBK"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双碳</w:t>
      </w:r>
      <w:r>
        <w:rPr>
          <w:rFonts w:hint="eastAsia" w:ascii="方正仿宋_GBK"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工作，深入推进工业、建筑、交通等重点领域节能，利用能耗双控预算管理平台，加强重点用能单位能耗监测，确保完成市级下达的能耗强度下降目标。加快发展绿色制造业，重点发展生态环保、新能源等绿色产业，积极推进节能降碳技术改造，创建一批绿色工厂。宣传绿色发展理念，倡导绿色低碳生活方式，持续推进绿色细胞创建。持续开展</w:t>
      </w:r>
      <w:r>
        <w:rPr>
          <w:rFonts w:hint="eastAsia" w:ascii="方正仿宋_GBK"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无废城市</w:t>
      </w:r>
      <w:r>
        <w:rPr>
          <w:rFonts w:hint="eastAsia" w:ascii="方正仿宋_GBK"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建设，深入推进垃圾分类治理，健全分类投放、分类收集、分类运输、分类处理的生活垃圾管理系统。</w:t>
      </w:r>
    </w:p>
    <w:p>
      <w:pPr>
        <w:widowControl w:val="0"/>
        <w:spacing w:after="0" w:line="594" w:lineRule="exact"/>
        <w:jc w:val="center"/>
        <w:rPr>
          <w:rFonts w:ascii="Times New Roman" w:hAnsi="Times New Roman" w:eastAsia="方正黑体_GBK" w:cs="Times New Roman"/>
          <w:b/>
          <w:bCs/>
          <w:color w:val="000000" w:themeColor="text1"/>
          <w:sz w:val="28"/>
          <w:szCs w:val="28"/>
          <w14:textFill>
            <w14:solidFill>
              <w14:schemeClr w14:val="tx1"/>
            </w14:solidFill>
          </w14:textFill>
        </w:rPr>
      </w:pPr>
      <w:r>
        <w:rPr>
          <w:rFonts w:ascii="Times New Roman" w:hAnsi="Times New Roman" w:eastAsia="方正黑体_GBK" w:cs="Times New Roman"/>
          <w:color w:val="000000" w:themeColor="text1"/>
          <w:sz w:val="28"/>
          <w:szCs w:val="28"/>
          <w14:textFill>
            <w14:solidFill>
              <w14:schemeClr w14:val="tx1"/>
            </w14:solidFill>
          </w14:textFill>
        </w:rPr>
        <w:t>专栏</w:t>
      </w:r>
      <w:r>
        <w:rPr>
          <w:rFonts w:hint="eastAsia" w:ascii="Times New Roman" w:hAnsi="Times New Roman" w:eastAsia="方正黑体_GBK" w:cs="Times New Roman"/>
          <w:color w:val="000000" w:themeColor="text1"/>
          <w:sz w:val="28"/>
          <w:szCs w:val="28"/>
          <w:lang w:val="en-US" w:eastAsia="zh-CN"/>
          <w14:textFill>
            <w14:solidFill>
              <w14:schemeClr w14:val="tx1"/>
            </w14:solidFill>
          </w14:textFill>
        </w:rPr>
        <w:t>4</w:t>
      </w:r>
      <w:r>
        <w:rPr>
          <w:rFonts w:ascii="Times New Roman" w:hAnsi="Times New Roman" w:eastAsia="方正黑体_GBK" w:cs="Times New Roman"/>
          <w:color w:val="000000" w:themeColor="text1"/>
          <w:sz w:val="28"/>
          <w:szCs w:val="28"/>
          <w14:textFill>
            <w14:solidFill>
              <w14:schemeClr w14:val="tx1"/>
            </w14:solidFill>
          </w14:textFill>
        </w:rPr>
        <w:t>：2024年绿色发展项目</w:t>
      </w:r>
    </w:p>
    <w:tbl>
      <w:tblPr>
        <w:tblStyle w:val="13"/>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120" w:type="dxa"/>
            <w:vAlign w:val="center"/>
          </w:tcPr>
          <w:p>
            <w:pPr>
              <w:widowControl w:val="0"/>
              <w:spacing w:after="0" w:line="260" w:lineRule="exact"/>
              <w:jc w:val="both"/>
              <w:rPr>
                <w:rFonts w:ascii="Times New Roman" w:hAnsi="Times New Roman" w:eastAsia="方正仿宋_GBK" w:cs="Times New Roman"/>
                <w:bCs/>
                <w:color w:val="000000" w:themeColor="text1"/>
                <w:sz w:val="21"/>
                <w:szCs w:val="21"/>
                <w14:textFill>
                  <w14:solidFill>
                    <w14:schemeClr w14:val="tx1"/>
                  </w14:solidFill>
                </w14:textFill>
              </w:rPr>
            </w:pPr>
            <w:r>
              <w:rPr>
                <w:rFonts w:ascii="Times New Roman" w:hAnsi="Times New Roman" w:eastAsia="方正黑体_GBK" w:cs="Times New Roman"/>
                <w:bCs/>
                <w:color w:val="000000" w:themeColor="text1"/>
                <w:sz w:val="21"/>
                <w:szCs w:val="21"/>
                <w14:textFill>
                  <w14:solidFill>
                    <w14:schemeClr w14:val="tx1"/>
                  </w14:solidFill>
                </w14:textFill>
              </w:rPr>
              <w:t>环境治理提升：</w:t>
            </w:r>
            <w:bookmarkStart w:id="3" w:name="_Hlk167824167"/>
            <w:r>
              <w:rPr>
                <w:rFonts w:hint="eastAsia" w:ascii="方正仿宋_GBK" w:hAnsi="Times New Roman" w:eastAsia="方正仿宋_GBK" w:cs="Times New Roman"/>
                <w:bCs/>
                <w:color w:val="000000" w:themeColor="text1"/>
                <w:sz w:val="21"/>
                <w:szCs w:val="21"/>
                <w14:textFill>
                  <w14:solidFill>
                    <w14:schemeClr w14:val="tx1"/>
                  </w14:solidFill>
                </w14:textFill>
              </w:rPr>
              <w:t>“</w:t>
            </w:r>
            <w:r>
              <w:rPr>
                <w:rFonts w:ascii="Times New Roman" w:hAnsi="Times New Roman" w:eastAsia="方正仿宋_GBK" w:cs="Times New Roman"/>
                <w:bCs/>
                <w:color w:val="000000" w:themeColor="text1"/>
                <w:sz w:val="21"/>
                <w:szCs w:val="21"/>
                <w14:textFill>
                  <w14:solidFill>
                    <w14:schemeClr w14:val="tx1"/>
                  </w14:solidFill>
                </w14:textFill>
              </w:rPr>
              <w:t>两江四岸</w:t>
            </w:r>
            <w:r>
              <w:rPr>
                <w:rFonts w:hint="eastAsia" w:ascii="方正仿宋_GBK" w:hAnsi="Times New Roman" w:eastAsia="方正仿宋_GBK" w:cs="Times New Roman"/>
                <w:bCs/>
                <w:color w:val="000000" w:themeColor="text1"/>
                <w:sz w:val="21"/>
                <w:szCs w:val="21"/>
                <w14:textFill>
                  <w14:solidFill>
                    <w14:schemeClr w14:val="tx1"/>
                  </w14:solidFill>
                </w14:textFill>
              </w:rPr>
              <w:t>”</w:t>
            </w:r>
            <w:r>
              <w:rPr>
                <w:rFonts w:ascii="Times New Roman" w:hAnsi="Times New Roman" w:eastAsia="方正仿宋_GBK" w:cs="Times New Roman"/>
                <w:bCs/>
                <w:color w:val="000000" w:themeColor="text1"/>
                <w:sz w:val="21"/>
                <w:szCs w:val="21"/>
                <w14:textFill>
                  <w14:solidFill>
                    <w14:schemeClr w14:val="tx1"/>
                  </w14:solidFill>
                </w14:textFill>
              </w:rPr>
              <w:t>治理提升工程钓鱼嘴滨江段一标段项目、</w:t>
            </w:r>
            <w:r>
              <w:rPr>
                <w:rFonts w:hint="eastAsia" w:ascii="方正仿宋_GBK" w:hAnsi="Times New Roman" w:eastAsia="方正仿宋_GBK" w:cs="Times New Roman"/>
                <w:bCs/>
                <w:color w:val="000000" w:themeColor="text1"/>
                <w:sz w:val="21"/>
                <w:szCs w:val="21"/>
                <w14:textFill>
                  <w14:solidFill>
                    <w14:schemeClr w14:val="tx1"/>
                  </w14:solidFill>
                </w14:textFill>
              </w:rPr>
              <w:t>“</w:t>
            </w:r>
            <w:r>
              <w:rPr>
                <w:rFonts w:ascii="Times New Roman" w:hAnsi="Times New Roman" w:eastAsia="方正仿宋_GBK" w:cs="Times New Roman"/>
                <w:bCs/>
                <w:color w:val="000000" w:themeColor="text1"/>
                <w:sz w:val="21"/>
                <w:szCs w:val="21"/>
                <w14:textFill>
                  <w14:solidFill>
                    <w14:schemeClr w14:val="tx1"/>
                  </w14:solidFill>
                </w14:textFill>
              </w:rPr>
              <w:t>两江四岸</w:t>
            </w:r>
            <w:r>
              <w:rPr>
                <w:rFonts w:hint="eastAsia" w:ascii="方正仿宋_GBK" w:hAnsi="Times New Roman" w:eastAsia="方正仿宋_GBK" w:cs="Times New Roman"/>
                <w:bCs/>
                <w:color w:val="000000" w:themeColor="text1"/>
                <w:sz w:val="21"/>
                <w:szCs w:val="21"/>
                <w14:textFill>
                  <w14:solidFill>
                    <w14:schemeClr w14:val="tx1"/>
                  </w14:solidFill>
                </w14:textFill>
              </w:rPr>
              <w:t>”</w:t>
            </w:r>
            <w:r>
              <w:rPr>
                <w:rFonts w:ascii="Times New Roman" w:hAnsi="Times New Roman" w:eastAsia="方正仿宋_GBK" w:cs="Times New Roman"/>
                <w:bCs/>
                <w:color w:val="000000" w:themeColor="text1"/>
                <w:sz w:val="21"/>
                <w:szCs w:val="21"/>
                <w14:textFill>
                  <w14:solidFill>
                    <w14:schemeClr w14:val="tx1"/>
                  </w14:solidFill>
                </w14:textFill>
              </w:rPr>
              <w:t>治理提升工程大滨路茄子溪段项目、重钢片区土地整治及市政基础设施项目、重钢片区渔鳅浩地块配套设施及整治项目、大渡口区跳磴河</w:t>
            </w:r>
            <w:r>
              <w:rPr>
                <w:rFonts w:hint="eastAsia" w:ascii="方正仿宋_GBK" w:hAnsi="Times New Roman" w:eastAsia="方正仿宋_GBK" w:cs="Times New Roman"/>
                <w:bCs/>
                <w:color w:val="000000" w:themeColor="text1"/>
                <w:sz w:val="21"/>
                <w:szCs w:val="21"/>
                <w14:textFill>
                  <w14:solidFill>
                    <w14:schemeClr w14:val="tx1"/>
                  </w14:solidFill>
                </w14:textFill>
              </w:rPr>
              <w:t>“</w:t>
            </w:r>
            <w:r>
              <w:rPr>
                <w:rFonts w:ascii="Times New Roman" w:hAnsi="Times New Roman" w:eastAsia="方正仿宋_GBK" w:cs="Times New Roman"/>
                <w:bCs/>
                <w:color w:val="000000" w:themeColor="text1"/>
                <w:sz w:val="21"/>
                <w:szCs w:val="21"/>
                <w14:textFill>
                  <w14:solidFill>
                    <w14:schemeClr w14:val="tx1"/>
                  </w14:solidFill>
                </w14:textFill>
              </w:rPr>
              <w:t>清水绿岸</w:t>
            </w:r>
            <w:r>
              <w:rPr>
                <w:rFonts w:hint="eastAsia" w:ascii="方正仿宋_GBK" w:hAnsi="Times New Roman" w:eastAsia="方正仿宋_GBK" w:cs="Times New Roman"/>
                <w:bCs/>
                <w:color w:val="000000" w:themeColor="text1"/>
                <w:sz w:val="21"/>
                <w:szCs w:val="21"/>
                <w14:textFill>
                  <w14:solidFill>
                    <w14:schemeClr w14:val="tx1"/>
                  </w14:solidFill>
                </w14:textFill>
              </w:rPr>
              <w:t>”</w:t>
            </w:r>
            <w:r>
              <w:rPr>
                <w:rFonts w:ascii="Times New Roman" w:hAnsi="Times New Roman" w:eastAsia="方正仿宋_GBK" w:cs="Times New Roman"/>
                <w:bCs/>
                <w:color w:val="000000" w:themeColor="text1"/>
                <w:sz w:val="21"/>
                <w:szCs w:val="21"/>
                <w14:textFill>
                  <w14:solidFill>
                    <w14:schemeClr w14:val="tx1"/>
                  </w14:solidFill>
                </w14:textFill>
              </w:rPr>
              <w:t>治理提升工程二期项目、伏牛溪污水处理厂（一期）工程、大九污水处理厂（三期）扩建、焦化厂配套设施及整治项目1标段、烧结厂配套设施及整治项目1标段、青龙嘴地块配套设施及整治项目</w:t>
            </w:r>
          </w:p>
          <w:bookmarkEnd w:id="3"/>
          <w:p>
            <w:pPr>
              <w:widowControl w:val="0"/>
              <w:spacing w:after="0" w:line="260" w:lineRule="exact"/>
              <w:jc w:val="both"/>
              <w:rPr>
                <w:rFonts w:ascii="Times New Roman" w:hAnsi="Times New Roman" w:eastAsia="方正仿宋_GBK" w:cs="Times New Roman"/>
                <w:color w:val="000000" w:themeColor="text1"/>
                <w:sz w:val="21"/>
                <w:szCs w:val="21"/>
                <w14:textFill>
                  <w14:solidFill>
                    <w14:schemeClr w14:val="tx1"/>
                  </w14:solidFill>
                </w14:textFill>
              </w:rPr>
            </w:pPr>
            <w:r>
              <w:rPr>
                <w:rFonts w:ascii="Times New Roman" w:hAnsi="Times New Roman" w:eastAsia="方正黑体_GBK" w:cs="Times New Roman"/>
                <w:bCs/>
                <w:color w:val="000000" w:themeColor="text1"/>
                <w:sz w:val="21"/>
                <w:szCs w:val="21"/>
                <w14:textFill>
                  <w14:solidFill>
                    <w14:schemeClr w14:val="tx1"/>
                  </w14:solidFill>
                </w14:textFill>
              </w:rPr>
              <w:t>绿色低碳发展：</w:t>
            </w:r>
            <w:r>
              <w:rPr>
                <w:rFonts w:ascii="Times New Roman" w:hAnsi="Times New Roman" w:eastAsia="方正仿宋_GBK" w:cs="Times New Roman"/>
                <w:bCs/>
                <w:color w:val="000000" w:themeColor="text1"/>
                <w:sz w:val="21"/>
                <w:szCs w:val="21"/>
                <w14:textFill>
                  <w14:solidFill>
                    <w14:schemeClr w14:val="tx1"/>
                  </w14:solidFill>
                </w14:textFill>
              </w:rPr>
              <w:t>大渡口区中梁山环境综合治理与绿色产业融合发展（</w:t>
            </w:r>
            <w:r>
              <w:rPr>
                <w:rFonts w:ascii="Times New Roman" w:hAnsi="Times New Roman" w:eastAsia="方正仿宋_GBK" w:cs="Times New Roman"/>
                <w:color w:val="000000" w:themeColor="text1"/>
                <w:sz w:val="21"/>
                <w:szCs w:val="21"/>
                <w14:textFill>
                  <w14:solidFill>
                    <w14:schemeClr w14:val="tx1"/>
                  </w14:solidFill>
                </w14:textFill>
              </w:rPr>
              <w:t>EOD</w:t>
            </w:r>
            <w:r>
              <w:rPr>
                <w:rFonts w:ascii="Times New Roman" w:hAnsi="Times New Roman" w:eastAsia="方正仿宋_GBK" w:cs="Times New Roman"/>
                <w:bCs/>
                <w:color w:val="000000" w:themeColor="text1"/>
                <w:sz w:val="21"/>
                <w:szCs w:val="21"/>
                <w14:textFill>
                  <w14:solidFill>
                    <w14:schemeClr w14:val="tx1"/>
                  </w14:solidFill>
                </w14:textFill>
              </w:rPr>
              <w:t>）</w:t>
            </w:r>
            <w:r>
              <w:rPr>
                <w:rFonts w:ascii="Times New Roman" w:hAnsi="Times New Roman" w:eastAsia="方正仿宋_GBK" w:cs="Times New Roman"/>
                <w:color w:val="000000" w:themeColor="text1"/>
                <w:sz w:val="21"/>
                <w:szCs w:val="21"/>
                <w14:textFill>
                  <w14:solidFill>
                    <w14:schemeClr w14:val="tx1"/>
                  </w14:solidFill>
                </w14:textFill>
              </w:rPr>
              <w:t>项目</w:t>
            </w:r>
            <w:r>
              <w:rPr>
                <w:rFonts w:ascii="Times New Roman" w:hAnsi="Times New Roman" w:eastAsia="方正仿宋_GBK" w:cs="Times New Roman"/>
                <w:bCs/>
                <w:color w:val="000000" w:themeColor="text1"/>
                <w:sz w:val="21"/>
                <w:szCs w:val="21"/>
                <w14:textFill>
                  <w14:solidFill>
                    <w14:schemeClr w14:val="tx1"/>
                  </w14:solidFill>
                </w14:textFill>
              </w:rPr>
              <w:t>、建桥C区环保产业园配套设施及整治项目、建桥C区双石河一期绿化景观工程</w:t>
            </w:r>
          </w:p>
        </w:tc>
      </w:tr>
    </w:tbl>
    <w:p>
      <w:pPr>
        <w:pStyle w:val="2"/>
        <w:spacing w:line="594" w:lineRule="exact"/>
        <w:ind w:firstLine="640" w:firstLineChars="200"/>
        <w:rPr>
          <w:rFonts w:eastAsia="方正仿宋_GBK"/>
          <w:color w:val="000000" w:themeColor="text1"/>
          <w:szCs w:val="32"/>
          <w14:textFill>
            <w14:solidFill>
              <w14:schemeClr w14:val="tx1"/>
            </w14:solidFill>
          </w14:textFill>
        </w:rPr>
      </w:pPr>
      <w:r>
        <w:rPr>
          <w:rFonts w:eastAsia="方正楷体_GBK"/>
          <w:bCs/>
          <w:color w:val="000000" w:themeColor="text1"/>
          <w:kern w:val="2"/>
          <w:szCs w:val="32"/>
          <w14:textFill>
            <w14:solidFill>
              <w14:schemeClr w14:val="tx1"/>
            </w14:solidFill>
          </w14:textFill>
        </w:rPr>
        <w:t>（六）提升人民生活品质，营造和谐安定新环境</w:t>
      </w:r>
    </w:p>
    <w:p>
      <w:pPr>
        <w:pStyle w:val="2"/>
        <w:spacing w:line="594" w:lineRule="exact"/>
        <w:ind w:firstLine="643" w:firstLineChars="200"/>
        <w:rPr>
          <w:rFonts w:eastAsia="方正仿宋_GBK"/>
          <w:color w:val="000000" w:themeColor="text1"/>
          <w:szCs w:val="32"/>
          <w14:textFill>
            <w14:solidFill>
              <w14:schemeClr w14:val="tx1"/>
            </w14:solidFill>
          </w14:textFill>
        </w:rPr>
      </w:pPr>
      <w:r>
        <w:rPr>
          <w:rFonts w:eastAsia="方正仿宋_GBK"/>
          <w:b/>
          <w:bCs/>
          <w:color w:val="000000" w:themeColor="text1"/>
          <w:szCs w:val="32"/>
          <w14:textFill>
            <w14:solidFill>
              <w14:schemeClr w14:val="tx1"/>
            </w14:solidFill>
          </w14:textFill>
        </w:rPr>
        <w:t>19. 强化社会民生保障。</w:t>
      </w:r>
      <w:r>
        <w:rPr>
          <w:rFonts w:eastAsia="方正仿宋_GBK"/>
          <w:color w:val="000000" w:themeColor="text1"/>
          <w:szCs w:val="32"/>
          <w14:textFill>
            <w14:solidFill>
              <w14:schemeClr w14:val="tx1"/>
            </w14:solidFill>
          </w14:textFill>
        </w:rPr>
        <w:t>促进高质量充分就业，开展</w:t>
      </w:r>
      <w:r>
        <w:rPr>
          <w:rFonts w:hint="eastAsia" w:ascii="方正仿宋_GBK"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助企纾困</w:t>
      </w:r>
      <w:r>
        <w:rPr>
          <w:rFonts w:hint="eastAsia" w:ascii="方正小标宋_GBK" w:hAnsi="方正小标宋_GBK" w:eastAsia="方正小标宋_GBK" w:cs="方正小标宋_GBK"/>
          <w:color w:val="000000" w:themeColor="text1"/>
          <w:kern w:val="2"/>
          <w:szCs w:val="32"/>
          <w14:textFill>
            <w14:solidFill>
              <w14:schemeClr w14:val="tx1"/>
            </w14:solidFill>
          </w14:textFill>
        </w:rPr>
        <w:t>·</w:t>
      </w:r>
      <w:r>
        <w:rPr>
          <w:rFonts w:eastAsia="方正仿宋_GBK"/>
          <w:color w:val="000000" w:themeColor="text1"/>
          <w:szCs w:val="32"/>
          <w14:textFill>
            <w14:solidFill>
              <w14:schemeClr w14:val="tx1"/>
            </w14:solidFill>
          </w14:textFill>
        </w:rPr>
        <w:t>人社在行动</w:t>
      </w:r>
      <w:r>
        <w:rPr>
          <w:rFonts w:hint="eastAsia" w:ascii="方正仿宋_GBK"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活动，争取建立数字人才市场大渡口分市场，</w:t>
      </w:r>
      <w:r>
        <w:rPr>
          <w:rFonts w:hint="eastAsia" w:eastAsia="方正仿宋_GBK"/>
          <w:color w:val="000000" w:themeColor="text1"/>
          <w:szCs w:val="32"/>
          <w:lang w:eastAsia="zh-CN"/>
          <w14:textFill>
            <w14:solidFill>
              <w14:schemeClr w14:val="tx1"/>
            </w14:solidFill>
          </w14:textFill>
        </w:rPr>
        <w:t>服务</w:t>
      </w:r>
      <w:r>
        <w:rPr>
          <w:rFonts w:eastAsia="方正仿宋_GBK"/>
          <w:color w:val="000000" w:themeColor="text1"/>
          <w:szCs w:val="32"/>
          <w14:textFill>
            <w14:solidFill>
              <w14:schemeClr w14:val="tx1"/>
            </w14:solidFill>
          </w14:textFill>
        </w:rPr>
        <w:t>龙文集团创办数字人才产业学院，开展职业技能培训2600人，新增城镇就业10000人，</w:t>
      </w:r>
      <w:r>
        <w:rPr>
          <w:rFonts w:eastAsia="方正仿宋_GBK"/>
          <w:color w:val="000000" w:themeColor="text1"/>
          <w:kern w:val="2"/>
          <w:szCs w:val="32"/>
          <w14:textFill>
            <w14:solidFill>
              <w14:schemeClr w14:val="tx1"/>
            </w14:solidFill>
          </w14:textFill>
        </w:rPr>
        <w:t>城镇调查失业率控制在</w:t>
      </w:r>
      <w:r>
        <w:rPr>
          <w:rFonts w:eastAsia="方正仿宋_GBK"/>
          <w:color w:val="000000" w:themeColor="text1"/>
          <w:szCs w:val="32"/>
          <w14:textFill>
            <w14:solidFill>
              <w14:schemeClr w14:val="tx1"/>
            </w14:solidFill>
          </w14:textFill>
        </w:rPr>
        <w:t>5.5%以内</w:t>
      </w:r>
      <w:r>
        <w:rPr>
          <w:rFonts w:eastAsia="方正仿宋_GBK"/>
          <w:color w:val="000000" w:themeColor="text1"/>
          <w:kern w:val="2"/>
          <w:szCs w:val="32"/>
          <w14:textFill>
            <w14:solidFill>
              <w14:schemeClr w14:val="tx1"/>
            </w14:solidFill>
          </w14:textFill>
        </w:rPr>
        <w:t>。</w:t>
      </w:r>
      <w:r>
        <w:rPr>
          <w:rFonts w:eastAsia="方正仿宋_GBK"/>
          <w:color w:val="000000" w:themeColor="text1"/>
          <w:szCs w:val="32"/>
          <w14:textFill>
            <w14:solidFill>
              <w14:schemeClr w14:val="tx1"/>
            </w14:solidFill>
          </w14:textFill>
        </w:rPr>
        <w:t>实施</w:t>
      </w:r>
      <w:r>
        <w:rPr>
          <w:rFonts w:hint="eastAsia" w:ascii="方正仿宋_GBK"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渝保渝快</w:t>
      </w:r>
      <w:r>
        <w:rPr>
          <w:rFonts w:hint="eastAsia" w:ascii="方正仿宋_GBK"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惠民行动计划，完成市级社保公共服务标准化基地建设中期验收，</w:t>
      </w:r>
      <w:r>
        <w:rPr>
          <w:rFonts w:eastAsia="方正仿宋_GBK"/>
          <w:color w:val="000000" w:themeColor="text1"/>
          <w:kern w:val="2"/>
          <w:szCs w:val="32"/>
          <w14:textFill>
            <w14:solidFill>
              <w14:schemeClr w14:val="tx1"/>
            </w14:solidFill>
          </w14:textFill>
        </w:rPr>
        <w:t>城乡居民基本养老保险、基本医疗保险参保率巩固在97%、95%以上</w:t>
      </w:r>
      <w:r>
        <w:rPr>
          <w:rFonts w:eastAsia="方正仿宋_GBK"/>
          <w:color w:val="000000" w:themeColor="text1"/>
          <w:szCs w:val="32"/>
          <w14:textFill>
            <w14:solidFill>
              <w14:schemeClr w14:val="tx1"/>
            </w14:solidFill>
          </w14:textFill>
        </w:rPr>
        <w:t>。</w:t>
      </w:r>
      <w:r>
        <w:rPr>
          <w:rFonts w:hint="eastAsia" w:ascii="方正仿宋_GBK" w:hAnsi="方正仿宋_GBK" w:eastAsia="方正仿宋_GBK" w:cs="方正仿宋_GBK"/>
          <w:color w:val="000000" w:themeColor="text1"/>
          <w:szCs w:val="32"/>
          <w:shd w:val="clear" w:color="auto" w:fill="FFFFFF"/>
          <w14:textFill>
            <w14:solidFill>
              <w14:schemeClr w14:val="tx1"/>
            </w14:solidFill>
          </w14:textFill>
        </w:rPr>
        <w:t>实施分层分类社会救助，推进精准保障，不断提升救助服务能力，办好散居特困人员“解需暖心”实事。</w:t>
      </w:r>
      <w:r>
        <w:rPr>
          <w:rFonts w:eastAsia="方正仿宋_GBK"/>
          <w:color w:val="000000" w:themeColor="text1"/>
          <w:szCs w:val="32"/>
          <w14:textFill>
            <w14:solidFill>
              <w14:schemeClr w14:val="tx1"/>
            </w14:solidFill>
          </w14:textFill>
        </w:rPr>
        <w:t>推动养老服务</w:t>
      </w:r>
      <w:r>
        <w:rPr>
          <w:rFonts w:hint="eastAsia" w:ascii="方正仿宋_GBK"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普惠可及</w:t>
      </w:r>
      <w:r>
        <w:rPr>
          <w:rFonts w:hint="eastAsia" w:ascii="方正仿宋_GBK"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w:t>
      </w:r>
      <w:r>
        <w:rPr>
          <w:rFonts w:hint="eastAsia" w:eastAsia="方正仿宋_GBK"/>
          <w:color w:val="000000" w:themeColor="text1"/>
          <w:szCs w:val="32"/>
          <w14:textFill>
            <w14:solidFill>
              <w14:schemeClr w14:val="tx1"/>
            </w14:solidFill>
          </w14:textFill>
        </w:rPr>
        <w:t>启动</w:t>
      </w:r>
      <w:r>
        <w:rPr>
          <w:rFonts w:eastAsia="方正仿宋_GBK"/>
          <w:color w:val="000000" w:themeColor="text1"/>
          <w:szCs w:val="32"/>
          <w14:textFill>
            <w14:solidFill>
              <w14:schemeClr w14:val="tx1"/>
            </w14:solidFill>
          </w14:textFill>
        </w:rPr>
        <w:t>区养老院新建项目，深入实施困难老年人家庭适老化改造、家庭养老床位、社区老年食堂等惠老项目。新开工保障性住房500套。加强妇女、儿童权益保障，健全残疾人关爱服务体系。深入推进国防动员建设和国防教育，积极创建全国双拥模范城。办好一批</w:t>
      </w:r>
      <w:r>
        <w:rPr>
          <w:rFonts w:hint="eastAsia" w:ascii="方正仿宋_GBK"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急难愁盼</w:t>
      </w:r>
      <w:r>
        <w:rPr>
          <w:rFonts w:hint="eastAsia" w:ascii="方正仿宋_GBK"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民生实事，提升群众幸福指数。</w:t>
      </w:r>
    </w:p>
    <w:p>
      <w:pPr>
        <w:pStyle w:val="2"/>
        <w:spacing w:line="594" w:lineRule="exact"/>
        <w:ind w:firstLine="643" w:firstLineChars="200"/>
        <w:rPr>
          <w:rFonts w:eastAsia="方正仿宋_GBK"/>
          <w:color w:val="000000" w:themeColor="text1"/>
          <w:szCs w:val="32"/>
          <w:lang w:val="zh-CN"/>
          <w14:textFill>
            <w14:solidFill>
              <w14:schemeClr w14:val="tx1"/>
            </w14:solidFill>
          </w14:textFill>
        </w:rPr>
      </w:pPr>
      <w:r>
        <w:rPr>
          <w:rFonts w:eastAsia="方正仿宋_GBK"/>
          <w:b/>
          <w:bCs/>
          <w:color w:val="000000" w:themeColor="text1"/>
          <w:szCs w:val="32"/>
          <w14:textFill>
            <w14:solidFill>
              <w14:schemeClr w14:val="tx1"/>
            </w14:solidFill>
          </w14:textFill>
        </w:rPr>
        <w:t>20. 增加公共服务供给。</w:t>
      </w:r>
      <w:r>
        <w:rPr>
          <w:rFonts w:eastAsia="方正仿宋_GBK"/>
          <w:color w:val="000000" w:themeColor="text1"/>
          <w:szCs w:val="32"/>
          <w:lang w:val="zh-CN"/>
          <w14:textFill>
            <w14:solidFill>
              <w14:schemeClr w14:val="tx1"/>
            </w14:solidFill>
          </w14:textFill>
        </w:rPr>
        <w:t>加快教育强区建设，</w:t>
      </w:r>
      <w:r>
        <w:rPr>
          <w:rFonts w:hint="eastAsia" w:eastAsia="方正仿宋_GBK"/>
          <w:color w:val="000000" w:themeColor="text1"/>
          <w:szCs w:val="32"/>
          <w:lang w:val="zh-CN"/>
          <w14:textFill>
            <w14:solidFill>
              <w14:schemeClr w14:val="tx1"/>
            </w14:solidFill>
          </w14:textFill>
        </w:rPr>
        <w:t>推进</w:t>
      </w:r>
      <w:r>
        <w:rPr>
          <w:rFonts w:eastAsia="方正仿宋_GBK"/>
          <w:color w:val="000000" w:themeColor="text1"/>
          <w:szCs w:val="32"/>
          <w:lang w:val="zh-CN"/>
          <w14:textFill>
            <w14:solidFill>
              <w14:schemeClr w14:val="tx1"/>
            </w14:solidFill>
          </w14:textFill>
        </w:rPr>
        <w:t>全国义务教育优质均衡发展区、学前教育普及普惠区</w:t>
      </w:r>
      <w:r>
        <w:rPr>
          <w:rFonts w:hint="eastAsia" w:eastAsia="方正仿宋_GBK"/>
          <w:color w:val="000000" w:themeColor="text1"/>
          <w:szCs w:val="32"/>
          <w:lang w:val="zh-CN"/>
          <w14:textFill>
            <w14:solidFill>
              <w14:schemeClr w14:val="tx1"/>
            </w14:solidFill>
          </w14:textFill>
        </w:rPr>
        <w:t>创建</w:t>
      </w:r>
      <w:r>
        <w:rPr>
          <w:rFonts w:eastAsia="方正仿宋_GBK"/>
          <w:color w:val="000000" w:themeColor="text1"/>
          <w:szCs w:val="32"/>
          <w:lang w:val="zh-CN"/>
          <w14:textFill>
            <w14:solidFill>
              <w14:schemeClr w14:val="tx1"/>
            </w14:solidFill>
          </w14:textFill>
        </w:rPr>
        <w:t>，建成投用李雪芮运动学校、D9地块新建学校、区实改扩建一期工程等项目，</w:t>
      </w:r>
      <w:r>
        <w:rPr>
          <w:rFonts w:hint="eastAsia" w:eastAsia="方正仿宋_GBK"/>
          <w:color w:val="000000" w:themeColor="text1"/>
          <w:szCs w:val="32"/>
          <w:lang w:val="zh-CN"/>
          <w14:textFill>
            <w14:solidFill>
              <w14:schemeClr w14:val="tx1"/>
            </w14:solidFill>
          </w14:textFill>
        </w:rPr>
        <w:t>加快建设</w:t>
      </w:r>
      <w:r>
        <w:rPr>
          <w:rFonts w:eastAsia="方正仿宋_GBK"/>
          <w:color w:val="000000" w:themeColor="text1"/>
          <w:szCs w:val="32"/>
          <w:lang w:val="zh-CN"/>
          <w14:textFill>
            <w14:solidFill>
              <w14:schemeClr w14:val="tx1"/>
            </w14:solidFill>
          </w14:textFill>
        </w:rPr>
        <w:t>西大附中、茄子溪中学改扩建</w:t>
      </w:r>
      <w:r>
        <w:rPr>
          <w:rFonts w:hint="eastAsia" w:eastAsia="方正仿宋_GBK"/>
          <w:color w:val="000000" w:themeColor="text1"/>
          <w:szCs w:val="32"/>
          <w:lang w:val="zh-CN"/>
          <w14:textFill>
            <w14:solidFill>
              <w14:schemeClr w14:val="tx1"/>
            </w14:solidFill>
          </w14:textFill>
        </w:rPr>
        <w:t>等</w:t>
      </w:r>
      <w:r>
        <w:rPr>
          <w:rFonts w:eastAsia="方正仿宋_GBK"/>
          <w:color w:val="000000" w:themeColor="text1"/>
          <w:szCs w:val="32"/>
          <w:lang w:val="zh-CN"/>
          <w14:textFill>
            <w14:solidFill>
              <w14:schemeClr w14:val="tx1"/>
            </w14:solidFill>
          </w14:textFill>
        </w:rPr>
        <w:t>项目。持续扩大普高优质资源供给，推进辖区高中学校与巴蜀中学纵深合作，开展艺术高端学生体系化建设。提升医疗卫生服务能力，加快公立三甲医院、重庆市残疾人康复中心二期等项目建设，完成区中医院、区妇幼保健院搬迁，与重医附二院、四川大学华西医院建立专科联盟。</w:t>
      </w:r>
      <w:r>
        <w:rPr>
          <w:rFonts w:eastAsia="方正仿宋_GBK"/>
          <w:color w:val="000000" w:themeColor="text1"/>
          <w:szCs w:val="32"/>
          <w14:textFill>
            <w14:solidFill>
              <w14:schemeClr w14:val="tx1"/>
            </w14:solidFill>
          </w14:textFill>
        </w:rPr>
        <w:t>扩大公共文化体育供给，</w:t>
      </w:r>
      <w:r>
        <w:rPr>
          <w:rFonts w:eastAsia="方正仿宋_GBK"/>
          <w:color w:val="000000" w:themeColor="text1"/>
          <w:szCs w:val="32"/>
          <w:lang w:val="zh-CN"/>
          <w14:textFill>
            <w14:solidFill>
              <w14:schemeClr w14:val="tx1"/>
            </w14:solidFill>
          </w14:textFill>
        </w:rPr>
        <w:t>推进城市书房建设、区博物馆迁建前期工作，深化打磨音乐文化IP，</w:t>
      </w:r>
      <w:r>
        <w:rPr>
          <w:rFonts w:eastAsia="方正仿宋_GBK"/>
          <w:color w:val="000000" w:themeColor="text1"/>
          <w:szCs w:val="32"/>
          <w14:textFill>
            <w14:solidFill>
              <w14:schemeClr w14:val="tx1"/>
            </w14:solidFill>
          </w14:textFill>
        </w:rPr>
        <w:t>加强义渡文化、金鳌文化等保护开发</w:t>
      </w:r>
      <w:r>
        <w:rPr>
          <w:rFonts w:eastAsia="方正仿宋_GBK"/>
          <w:color w:val="000000" w:themeColor="text1"/>
          <w:szCs w:val="32"/>
          <w:lang w:val="zh-CN"/>
          <w14:textFill>
            <w14:solidFill>
              <w14:schemeClr w14:val="tx1"/>
            </w14:solidFill>
          </w14:textFill>
        </w:rPr>
        <w:t>。建成李雪芮全民健身中心，完善镇街社区</w:t>
      </w:r>
      <w:r>
        <w:rPr>
          <w:rFonts w:hint="eastAsia" w:ascii="方正仿宋_GBK" w:eastAsia="方正仿宋_GBK"/>
          <w:color w:val="000000" w:themeColor="text1"/>
          <w:szCs w:val="32"/>
          <w:lang w:val="zh-CN"/>
          <w14:textFill>
            <w14:solidFill>
              <w14:schemeClr w14:val="tx1"/>
            </w14:solidFill>
          </w14:textFill>
        </w:rPr>
        <w:t>“</w:t>
      </w:r>
      <w:r>
        <w:rPr>
          <w:rFonts w:eastAsia="方正仿宋_GBK"/>
          <w:color w:val="000000" w:themeColor="text1"/>
          <w:szCs w:val="32"/>
          <w:lang w:val="zh-CN"/>
          <w14:textFill>
            <w14:solidFill>
              <w14:schemeClr w14:val="tx1"/>
            </w14:solidFill>
          </w14:textFill>
        </w:rPr>
        <w:t>15分钟健身圈</w:t>
      </w:r>
      <w:r>
        <w:rPr>
          <w:rFonts w:hint="eastAsia" w:ascii="方正仿宋_GBK" w:eastAsia="方正仿宋_GBK"/>
          <w:color w:val="000000" w:themeColor="text1"/>
          <w:szCs w:val="32"/>
          <w:lang w:val="zh-CN"/>
          <w14:textFill>
            <w14:solidFill>
              <w14:schemeClr w14:val="tx1"/>
            </w14:solidFill>
          </w14:textFill>
        </w:rPr>
        <w:t>”</w:t>
      </w:r>
      <w:r>
        <w:rPr>
          <w:rFonts w:eastAsia="方正仿宋_GBK"/>
          <w:color w:val="000000" w:themeColor="text1"/>
          <w:szCs w:val="32"/>
          <w:lang w:val="zh-CN"/>
          <w14:textFill>
            <w14:solidFill>
              <w14:schemeClr w14:val="tx1"/>
            </w14:solidFill>
          </w14:textFill>
        </w:rPr>
        <w:t>，打造智跑重庆、PWT世界定向精英巡回赛等品牌赛事。</w:t>
      </w:r>
    </w:p>
    <w:p>
      <w:pPr>
        <w:widowControl w:val="0"/>
        <w:spacing w:after="0" w:line="594" w:lineRule="exact"/>
        <w:jc w:val="center"/>
        <w:rPr>
          <w:rFonts w:ascii="Times New Roman" w:hAnsi="Times New Roman" w:eastAsia="方正黑体_GBK" w:cs="Times New Roman"/>
          <w:color w:val="000000" w:themeColor="text1"/>
          <w:sz w:val="28"/>
          <w:szCs w:val="28"/>
          <w14:textFill>
            <w14:solidFill>
              <w14:schemeClr w14:val="tx1"/>
            </w14:solidFill>
          </w14:textFill>
        </w:rPr>
      </w:pPr>
      <w:r>
        <w:rPr>
          <w:rFonts w:ascii="Times New Roman" w:hAnsi="Times New Roman" w:eastAsia="方正黑体_GBK" w:cs="Times New Roman"/>
          <w:color w:val="000000" w:themeColor="text1"/>
          <w:sz w:val="28"/>
          <w:szCs w:val="28"/>
          <w14:textFill>
            <w14:solidFill>
              <w14:schemeClr w14:val="tx1"/>
            </w14:solidFill>
          </w14:textFill>
        </w:rPr>
        <w:t>专栏</w:t>
      </w:r>
      <w:r>
        <w:rPr>
          <w:rFonts w:hint="eastAsia" w:ascii="Times New Roman" w:hAnsi="Times New Roman" w:eastAsia="方正黑体_GBK" w:cs="Times New Roman"/>
          <w:color w:val="000000" w:themeColor="text1"/>
          <w:sz w:val="28"/>
          <w:szCs w:val="28"/>
          <w:lang w:val="en-US" w:eastAsia="zh-CN"/>
          <w14:textFill>
            <w14:solidFill>
              <w14:schemeClr w14:val="tx1"/>
            </w14:solidFill>
          </w14:textFill>
        </w:rPr>
        <w:t>5</w:t>
      </w:r>
      <w:r>
        <w:rPr>
          <w:rFonts w:ascii="Times New Roman" w:hAnsi="Times New Roman" w:eastAsia="方正黑体_GBK" w:cs="Times New Roman"/>
          <w:color w:val="000000" w:themeColor="text1"/>
          <w:sz w:val="28"/>
          <w:szCs w:val="28"/>
          <w14:textFill>
            <w14:solidFill>
              <w14:schemeClr w14:val="tx1"/>
            </w14:solidFill>
          </w14:textFill>
        </w:rPr>
        <w:t>：2024年公共服务建设项目</w:t>
      </w:r>
    </w:p>
    <w:tbl>
      <w:tblPr>
        <w:tblStyle w:val="13"/>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9118" w:type="dxa"/>
            <w:vAlign w:val="center"/>
          </w:tcPr>
          <w:p>
            <w:pPr>
              <w:widowControl w:val="0"/>
              <w:spacing w:after="0" w:line="260" w:lineRule="exact"/>
              <w:jc w:val="both"/>
              <w:rPr>
                <w:rFonts w:ascii="Times New Roman" w:hAnsi="Times New Roman" w:eastAsia="方正黑体_GBK" w:cs="Times New Roman"/>
                <w:bCs/>
                <w:color w:val="000000" w:themeColor="text1"/>
                <w:sz w:val="21"/>
                <w:szCs w:val="21"/>
                <w14:textFill>
                  <w14:solidFill>
                    <w14:schemeClr w14:val="tx1"/>
                  </w14:solidFill>
                </w14:textFill>
              </w:rPr>
            </w:pPr>
            <w:r>
              <w:rPr>
                <w:rFonts w:ascii="Times New Roman" w:hAnsi="Times New Roman" w:eastAsia="方正黑体_GBK" w:cs="Times New Roman"/>
                <w:bCs/>
                <w:color w:val="000000" w:themeColor="text1"/>
                <w:sz w:val="21"/>
                <w:szCs w:val="21"/>
                <w14:textFill>
                  <w14:solidFill>
                    <w14:schemeClr w14:val="tx1"/>
                  </w14:solidFill>
                </w14:textFill>
              </w:rPr>
              <w:t>学校建设：</w:t>
            </w:r>
            <w:r>
              <w:rPr>
                <w:rFonts w:hint="eastAsia" w:ascii="Times New Roman" w:hAnsi="Times New Roman" w:eastAsia="方正仿宋_GBK" w:cs="Times New Roman"/>
                <w:bCs/>
                <w:color w:val="000000" w:themeColor="text1"/>
                <w:sz w:val="21"/>
                <w:szCs w:val="21"/>
                <w14:textFill>
                  <w14:solidFill>
                    <w14:schemeClr w14:val="tx1"/>
                  </w14:solidFill>
                </w14:textFill>
              </w:rPr>
              <w:t>柴可夫斯基音乐学院、</w:t>
            </w:r>
            <w:r>
              <w:rPr>
                <w:rFonts w:ascii="Times New Roman" w:hAnsi="Times New Roman" w:eastAsia="方正仿宋_GBK" w:cs="Times New Roman"/>
                <w:bCs/>
                <w:color w:val="000000" w:themeColor="text1"/>
                <w:sz w:val="21"/>
                <w:szCs w:val="21"/>
                <w14:textFill>
                  <w14:solidFill>
                    <w14:schemeClr w14:val="tx1"/>
                  </w14:solidFill>
                </w14:textFill>
              </w:rPr>
              <w:t>H13</w:t>
            </w:r>
            <w:r>
              <w:rPr>
                <w:rFonts w:hint="eastAsia" w:ascii="Times New Roman" w:hAnsi="Times New Roman" w:eastAsia="方正仿宋_GBK" w:cs="Times New Roman"/>
                <w:bCs/>
                <w:color w:val="000000" w:themeColor="text1"/>
                <w:sz w:val="21"/>
                <w:szCs w:val="21"/>
                <w14:textFill>
                  <w14:solidFill>
                    <w14:schemeClr w14:val="tx1"/>
                  </w14:solidFill>
                </w14:textFill>
              </w:rPr>
              <w:t>地块新建学校（西南大学附属中学校）、区实验小学扩建工程、茄子溪中学改扩建项目、</w:t>
            </w:r>
            <w:r>
              <w:rPr>
                <w:rFonts w:ascii="Times New Roman" w:hAnsi="Times New Roman" w:eastAsia="方正仿宋_GBK" w:cs="Times New Roman"/>
                <w:bCs/>
                <w:color w:val="000000" w:themeColor="text1"/>
                <w:sz w:val="21"/>
                <w:szCs w:val="21"/>
                <w14:textFill>
                  <w14:solidFill>
                    <w14:schemeClr w14:val="tx1"/>
                  </w14:solidFill>
                </w14:textFill>
              </w:rPr>
              <w:t>D9</w:t>
            </w:r>
            <w:r>
              <w:rPr>
                <w:rFonts w:hint="eastAsia" w:ascii="Times New Roman" w:hAnsi="Times New Roman" w:eastAsia="方正仿宋_GBK" w:cs="Times New Roman"/>
                <w:bCs/>
                <w:color w:val="000000" w:themeColor="text1"/>
                <w:sz w:val="21"/>
                <w:szCs w:val="21"/>
                <w14:textFill>
                  <w14:solidFill>
                    <w14:schemeClr w14:val="tx1"/>
                  </w14:solidFill>
                </w14:textFill>
              </w:rPr>
              <w:t>地块新建学校、李雪芮运动学校、大渡口区育才小学（双山校区）扩建项目、民族中学和庹家坳小学改扩建项目（二期）、重庆数字产业学院项目</w:t>
            </w:r>
          </w:p>
          <w:p>
            <w:pPr>
              <w:widowControl w:val="0"/>
              <w:spacing w:after="0" w:line="260" w:lineRule="exact"/>
              <w:jc w:val="both"/>
              <w:rPr>
                <w:rFonts w:ascii="Times New Roman" w:hAnsi="Times New Roman" w:eastAsia="方正仿宋_GBK" w:cs="Times New Roman"/>
                <w:bCs/>
                <w:color w:val="000000" w:themeColor="text1"/>
                <w:sz w:val="21"/>
                <w:szCs w:val="21"/>
                <w14:textFill>
                  <w14:solidFill>
                    <w14:schemeClr w14:val="tx1"/>
                  </w14:solidFill>
                </w14:textFill>
              </w:rPr>
            </w:pPr>
            <w:r>
              <w:rPr>
                <w:rFonts w:ascii="Times New Roman" w:hAnsi="Times New Roman" w:eastAsia="方正黑体_GBK" w:cs="Times New Roman"/>
                <w:bCs/>
                <w:color w:val="000000" w:themeColor="text1"/>
                <w:sz w:val="21"/>
                <w:szCs w:val="21"/>
                <w14:textFill>
                  <w14:solidFill>
                    <w14:schemeClr w14:val="tx1"/>
                  </w14:solidFill>
                </w14:textFill>
              </w:rPr>
              <w:t>文体设施：</w:t>
            </w:r>
            <w:r>
              <w:rPr>
                <w:rFonts w:hint="eastAsia" w:ascii="Times New Roman" w:hAnsi="Times New Roman" w:eastAsia="方正仿宋_GBK" w:cs="Times New Roman"/>
                <w:bCs/>
                <w:color w:val="000000" w:themeColor="text1"/>
                <w:sz w:val="21"/>
                <w:szCs w:val="21"/>
                <w14:textFill>
                  <w14:solidFill>
                    <w14:schemeClr w14:val="tx1"/>
                  </w14:solidFill>
                </w14:textFill>
              </w:rPr>
              <w:t>李雪芮全民健身运动中心、钢花影剧院剧场修缮利用、新建城市书房</w:t>
            </w:r>
          </w:p>
          <w:p>
            <w:pPr>
              <w:widowControl w:val="0"/>
              <w:spacing w:after="0" w:line="260" w:lineRule="exact"/>
              <w:jc w:val="both"/>
              <w:rPr>
                <w:rFonts w:ascii="Times New Roman" w:hAnsi="Times New Roman" w:cs="Times New Roman"/>
                <w:color w:val="000000" w:themeColor="text1"/>
                <w14:textFill>
                  <w14:solidFill>
                    <w14:schemeClr w14:val="tx1"/>
                  </w14:solidFill>
                </w14:textFill>
              </w:rPr>
            </w:pPr>
            <w:r>
              <w:rPr>
                <w:rFonts w:ascii="Times New Roman" w:hAnsi="Times New Roman" w:eastAsia="方正黑体_GBK" w:cs="Times New Roman"/>
                <w:bCs/>
                <w:color w:val="000000" w:themeColor="text1"/>
                <w:sz w:val="21"/>
                <w:szCs w:val="21"/>
                <w14:textFill>
                  <w14:solidFill>
                    <w14:schemeClr w14:val="tx1"/>
                  </w14:solidFill>
                </w14:textFill>
              </w:rPr>
              <w:t>医疗卫生：</w:t>
            </w:r>
            <w:r>
              <w:rPr>
                <w:rFonts w:hint="eastAsia" w:ascii="Times New Roman" w:hAnsi="Times New Roman" w:eastAsia="方正仿宋_GBK" w:cs="Times New Roman"/>
                <w:bCs/>
                <w:color w:val="000000" w:themeColor="text1"/>
                <w:sz w:val="21"/>
                <w:szCs w:val="21"/>
                <w14:textFill>
                  <w14:solidFill>
                    <w14:schemeClr w14:val="tx1"/>
                  </w14:solidFill>
                </w14:textFill>
              </w:rPr>
              <w:t>区综合医疗服务中心项目、重庆市残疾人康复中心二期工程、重钢总医院改扩建项目、重庆红楼医院升级改造项目、大渡口区公共医疗卫生体系提升建设工程、三级妇产专科医院项目</w:t>
            </w:r>
          </w:p>
          <w:p>
            <w:pPr>
              <w:widowControl w:val="0"/>
              <w:tabs>
                <w:tab w:val="left" w:pos="1534"/>
              </w:tabs>
              <w:spacing w:after="0" w:line="260" w:lineRule="exact"/>
              <w:jc w:val="both"/>
              <w:rPr>
                <w:rFonts w:ascii="Times New Roman" w:hAnsi="Times New Roman" w:eastAsia="方正仿宋_GBK" w:cs="Times New Roman"/>
                <w:color w:val="000000" w:themeColor="text1"/>
                <w:szCs w:val="21"/>
                <w14:textFill>
                  <w14:solidFill>
                    <w14:schemeClr w14:val="tx1"/>
                  </w14:solidFill>
                </w14:textFill>
              </w:rPr>
            </w:pPr>
            <w:r>
              <w:rPr>
                <w:rFonts w:ascii="Times New Roman" w:hAnsi="Times New Roman" w:eastAsia="方正黑体_GBK" w:cs="Times New Roman"/>
                <w:bCs/>
                <w:color w:val="000000" w:themeColor="text1"/>
                <w:sz w:val="21"/>
                <w:szCs w:val="21"/>
                <w14:textFill>
                  <w14:solidFill>
                    <w14:schemeClr w14:val="tx1"/>
                  </w14:solidFill>
                </w14:textFill>
              </w:rPr>
              <w:t>保障性住房：</w:t>
            </w:r>
            <w:r>
              <w:rPr>
                <w:rFonts w:hint="eastAsia" w:ascii="Times New Roman" w:hAnsi="Times New Roman" w:eastAsia="方正仿宋_GBK" w:cs="Times New Roman"/>
                <w:bCs/>
                <w:color w:val="000000" w:themeColor="text1"/>
                <w:sz w:val="21"/>
                <w:szCs w:val="21"/>
                <w14:textFill>
                  <w14:solidFill>
                    <w14:schemeClr w14:val="tx1"/>
                  </w14:solidFill>
                </w14:textFill>
              </w:rPr>
              <w:t>半岛佳园安置房、</w:t>
            </w:r>
            <w:r>
              <w:rPr>
                <w:rFonts w:ascii="Times New Roman" w:hAnsi="Times New Roman" w:eastAsia="方正仿宋_GBK" w:cs="Times New Roman"/>
                <w:bCs/>
                <w:color w:val="000000" w:themeColor="text1"/>
                <w:sz w:val="21"/>
                <w:szCs w:val="21"/>
                <w14:textFill>
                  <w14:solidFill>
                    <w14:schemeClr w14:val="tx1"/>
                  </w14:solidFill>
                </w14:textFill>
              </w:rPr>
              <w:t>M49</w:t>
            </w:r>
            <w:r>
              <w:rPr>
                <w:rFonts w:hint="eastAsia" w:ascii="Times New Roman" w:hAnsi="Times New Roman" w:eastAsia="方正仿宋_GBK" w:cs="Times New Roman"/>
                <w:bCs/>
                <w:color w:val="000000" w:themeColor="text1"/>
                <w:sz w:val="21"/>
                <w:szCs w:val="21"/>
                <w14:textFill>
                  <w14:solidFill>
                    <w14:schemeClr w14:val="tx1"/>
                  </w14:solidFill>
                </w14:textFill>
              </w:rPr>
              <w:t>地块安置房、</w:t>
            </w:r>
            <w:r>
              <w:rPr>
                <w:rFonts w:ascii="Times New Roman" w:hAnsi="Times New Roman" w:eastAsia="方正仿宋_GBK" w:cs="Times New Roman"/>
                <w:bCs/>
                <w:color w:val="000000" w:themeColor="text1"/>
                <w:sz w:val="21"/>
                <w:szCs w:val="21"/>
                <w14:textFill>
                  <w14:solidFill>
                    <w14:schemeClr w14:val="tx1"/>
                  </w14:solidFill>
                </w14:textFill>
              </w:rPr>
              <w:t>P1</w:t>
            </w:r>
            <w:r>
              <w:rPr>
                <w:rFonts w:hint="eastAsia" w:ascii="Times New Roman" w:hAnsi="Times New Roman" w:eastAsia="方正仿宋_GBK" w:cs="Times New Roman"/>
                <w:bCs/>
                <w:color w:val="000000" w:themeColor="text1"/>
                <w:sz w:val="21"/>
                <w:szCs w:val="21"/>
                <w14:textFill>
                  <w14:solidFill>
                    <w14:schemeClr w14:val="tx1"/>
                  </w14:solidFill>
                </w14:textFill>
              </w:rPr>
              <w:t>-</w:t>
            </w:r>
            <w:r>
              <w:rPr>
                <w:rFonts w:ascii="Times New Roman" w:hAnsi="Times New Roman" w:eastAsia="方正仿宋_GBK" w:cs="Times New Roman"/>
                <w:bCs/>
                <w:color w:val="000000" w:themeColor="text1"/>
                <w:sz w:val="21"/>
                <w:szCs w:val="21"/>
                <w14:textFill>
                  <w14:solidFill>
                    <w14:schemeClr w14:val="tx1"/>
                  </w14:solidFill>
                </w14:textFill>
              </w:rPr>
              <w:t>6</w:t>
            </w:r>
            <w:r>
              <w:rPr>
                <w:rFonts w:hint="eastAsia" w:ascii="Times New Roman" w:hAnsi="Times New Roman" w:eastAsia="方正仿宋_GBK" w:cs="Times New Roman"/>
                <w:bCs/>
                <w:color w:val="000000" w:themeColor="text1"/>
                <w:sz w:val="21"/>
                <w:szCs w:val="21"/>
                <w14:textFill>
                  <w14:solidFill>
                    <w14:schemeClr w14:val="tx1"/>
                  </w14:solidFill>
                </w14:textFill>
              </w:rPr>
              <w:t>-</w:t>
            </w:r>
            <w:r>
              <w:rPr>
                <w:rFonts w:ascii="Times New Roman" w:hAnsi="Times New Roman" w:eastAsia="方正仿宋_GBK" w:cs="Times New Roman"/>
                <w:bCs/>
                <w:color w:val="000000" w:themeColor="text1"/>
                <w:sz w:val="21"/>
                <w:szCs w:val="21"/>
                <w14:textFill>
                  <w14:solidFill>
                    <w14:schemeClr w14:val="tx1"/>
                  </w14:solidFill>
                </w14:textFill>
              </w:rPr>
              <w:t>2</w:t>
            </w:r>
            <w:r>
              <w:rPr>
                <w:rFonts w:hint="eastAsia" w:ascii="Times New Roman" w:hAnsi="Times New Roman" w:eastAsia="方正仿宋_GBK" w:cs="Times New Roman"/>
                <w:bCs/>
                <w:color w:val="000000" w:themeColor="text1"/>
                <w:sz w:val="21"/>
                <w:szCs w:val="21"/>
                <w14:textFill>
                  <w14:solidFill>
                    <w14:schemeClr w14:val="tx1"/>
                  </w14:solidFill>
                </w14:textFill>
              </w:rPr>
              <w:t>地块安置房、</w:t>
            </w:r>
            <w:r>
              <w:rPr>
                <w:rFonts w:ascii="Times New Roman" w:hAnsi="Times New Roman" w:eastAsia="方正仿宋_GBK" w:cs="Times New Roman"/>
                <w:bCs/>
                <w:color w:val="000000" w:themeColor="text1"/>
                <w:sz w:val="21"/>
                <w:szCs w:val="21"/>
                <w14:textFill>
                  <w14:solidFill>
                    <w14:schemeClr w14:val="tx1"/>
                  </w14:solidFill>
                </w14:textFill>
              </w:rPr>
              <w:t>P1</w:t>
            </w:r>
            <w:r>
              <w:rPr>
                <w:rFonts w:hint="eastAsia" w:ascii="Times New Roman" w:hAnsi="Times New Roman" w:eastAsia="方正仿宋_GBK" w:cs="Times New Roman"/>
                <w:bCs/>
                <w:color w:val="000000" w:themeColor="text1"/>
                <w:sz w:val="21"/>
                <w:szCs w:val="21"/>
                <w14:textFill>
                  <w14:solidFill>
                    <w14:schemeClr w14:val="tx1"/>
                  </w14:solidFill>
                </w14:textFill>
              </w:rPr>
              <w:t>-</w:t>
            </w:r>
            <w:r>
              <w:rPr>
                <w:rFonts w:ascii="Times New Roman" w:hAnsi="Times New Roman" w:eastAsia="方正仿宋_GBK" w:cs="Times New Roman"/>
                <w:bCs/>
                <w:color w:val="000000" w:themeColor="text1"/>
                <w:sz w:val="21"/>
                <w:szCs w:val="21"/>
                <w14:textFill>
                  <w14:solidFill>
                    <w14:schemeClr w14:val="tx1"/>
                  </w14:solidFill>
                </w14:textFill>
              </w:rPr>
              <w:t>5</w:t>
            </w:r>
            <w:r>
              <w:rPr>
                <w:rFonts w:hint="eastAsia" w:ascii="Times New Roman" w:hAnsi="Times New Roman" w:eastAsia="方正仿宋_GBK" w:cs="Times New Roman"/>
                <w:bCs/>
                <w:color w:val="000000" w:themeColor="text1"/>
                <w:sz w:val="21"/>
                <w:szCs w:val="21"/>
                <w14:textFill>
                  <w14:solidFill>
                    <w14:schemeClr w14:val="tx1"/>
                  </w14:solidFill>
                </w14:textFill>
              </w:rPr>
              <w:t>-</w:t>
            </w:r>
            <w:r>
              <w:rPr>
                <w:rFonts w:ascii="Times New Roman" w:hAnsi="Times New Roman" w:eastAsia="方正仿宋_GBK" w:cs="Times New Roman"/>
                <w:bCs/>
                <w:color w:val="000000" w:themeColor="text1"/>
                <w:sz w:val="21"/>
                <w:szCs w:val="21"/>
                <w14:textFill>
                  <w14:solidFill>
                    <w14:schemeClr w14:val="tx1"/>
                  </w14:solidFill>
                </w14:textFill>
              </w:rPr>
              <w:t>1</w:t>
            </w:r>
            <w:r>
              <w:rPr>
                <w:rFonts w:hint="eastAsia" w:ascii="Times New Roman" w:hAnsi="Times New Roman" w:eastAsia="方正仿宋_GBK" w:cs="Times New Roman"/>
                <w:bCs/>
                <w:color w:val="000000" w:themeColor="text1"/>
                <w:sz w:val="21"/>
                <w:szCs w:val="21"/>
                <w14:textFill>
                  <w14:solidFill>
                    <w14:schemeClr w14:val="tx1"/>
                  </w14:solidFill>
                </w14:textFill>
              </w:rPr>
              <w:t>地块安置房、重钢大学生宿舍保障性租赁住房项目</w:t>
            </w:r>
          </w:p>
        </w:tc>
      </w:tr>
    </w:tbl>
    <w:p>
      <w:pPr>
        <w:pStyle w:val="2"/>
        <w:spacing w:line="594" w:lineRule="exact"/>
        <w:ind w:firstLine="643" w:firstLineChars="200"/>
        <w:rPr>
          <w:rFonts w:hint="eastAsia" w:eastAsia="方正仿宋_GBK"/>
          <w:color w:val="000000" w:themeColor="text1"/>
          <w:kern w:val="2"/>
          <w:szCs w:val="32"/>
          <w14:textFill>
            <w14:solidFill>
              <w14:schemeClr w14:val="tx1"/>
            </w14:solidFill>
          </w14:textFill>
        </w:rPr>
      </w:pPr>
      <w:r>
        <w:rPr>
          <w:rFonts w:eastAsia="方正仿宋_GBK"/>
          <w:b/>
          <w:bCs/>
          <w:color w:val="000000" w:themeColor="text1"/>
          <w:szCs w:val="32"/>
          <w14:textFill>
            <w14:solidFill>
              <w14:schemeClr w14:val="tx1"/>
            </w14:solidFill>
          </w14:textFill>
        </w:rPr>
        <w:t xml:space="preserve">21. </w:t>
      </w:r>
      <w:r>
        <w:rPr>
          <w:rFonts w:eastAsia="方正仿宋_GBK"/>
          <w:b/>
          <w:bCs/>
          <w:color w:val="000000" w:themeColor="text1"/>
          <w:kern w:val="2"/>
          <w:szCs w:val="32"/>
          <w14:textFill>
            <w14:solidFill>
              <w14:schemeClr w14:val="tx1"/>
            </w14:solidFill>
          </w14:textFill>
        </w:rPr>
        <w:t>深化社会精细治理。</w:t>
      </w:r>
      <w:r>
        <w:rPr>
          <w:rFonts w:eastAsia="方正仿宋_GBK"/>
          <w:color w:val="000000" w:themeColor="text1"/>
          <w:szCs w:val="32"/>
          <w14:textFill>
            <w14:solidFill>
              <w14:schemeClr w14:val="tx1"/>
            </w14:solidFill>
          </w14:textFill>
        </w:rPr>
        <w:t>深化平安大渡口建设，抓好平安建设</w:t>
      </w:r>
      <w:r>
        <w:rPr>
          <w:rFonts w:hint="eastAsia" w:ascii="方正仿宋_GBK"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八大体系</w:t>
      </w:r>
      <w:r>
        <w:rPr>
          <w:rFonts w:hint="eastAsia" w:ascii="方正仿宋_GBK"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和安全稳定风险</w:t>
      </w:r>
      <w:r>
        <w:rPr>
          <w:rFonts w:hint="eastAsia" w:ascii="方正仿宋_GBK"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七项机制</w:t>
      </w:r>
      <w:r>
        <w:rPr>
          <w:rFonts w:hint="eastAsia" w:ascii="方正仿宋_GBK" w:eastAsia="方正仿宋_GBK"/>
          <w:color w:val="000000" w:themeColor="text1"/>
          <w:szCs w:val="32"/>
          <w14:textFill>
            <w14:solidFill>
              <w14:schemeClr w14:val="tx1"/>
            </w14:solidFill>
          </w14:textFill>
        </w:rPr>
        <w:t>”</w:t>
      </w:r>
      <w:r>
        <w:rPr>
          <w:rFonts w:eastAsia="方正仿宋_GBK"/>
          <w:color w:val="000000" w:themeColor="text1"/>
          <w:szCs w:val="32"/>
          <w14:textFill>
            <w14:solidFill>
              <w14:schemeClr w14:val="tx1"/>
            </w14:solidFill>
          </w14:textFill>
        </w:rPr>
        <w:t>落地见效。</w:t>
      </w:r>
      <w:r>
        <w:rPr>
          <w:rFonts w:eastAsia="方正仿宋_GBK"/>
          <w:color w:val="000000" w:themeColor="text1"/>
          <w:kern w:val="2"/>
          <w:szCs w:val="32"/>
          <w14:textFill>
            <w14:solidFill>
              <w14:schemeClr w14:val="tx1"/>
            </w14:solidFill>
          </w14:textFill>
        </w:rPr>
        <w:t>深化新时代</w:t>
      </w:r>
      <w:r>
        <w:rPr>
          <w:rFonts w:hint="eastAsia" w:ascii="方正仿宋_GBK" w:eastAsia="方正仿宋_GBK"/>
          <w:color w:val="000000" w:themeColor="text1"/>
          <w:kern w:val="2"/>
          <w:szCs w:val="32"/>
          <w14:textFill>
            <w14:solidFill>
              <w14:schemeClr w14:val="tx1"/>
            </w14:solidFill>
          </w14:textFill>
        </w:rPr>
        <w:t>“</w:t>
      </w:r>
      <w:r>
        <w:rPr>
          <w:rFonts w:eastAsia="方正仿宋_GBK"/>
          <w:color w:val="000000" w:themeColor="text1"/>
          <w:kern w:val="2"/>
          <w:szCs w:val="32"/>
          <w14:textFill>
            <w14:solidFill>
              <w14:schemeClr w14:val="tx1"/>
            </w14:solidFill>
          </w14:textFill>
        </w:rPr>
        <w:t>枫桥经验</w:t>
      </w:r>
      <w:r>
        <w:rPr>
          <w:rFonts w:hint="eastAsia" w:ascii="方正仿宋_GBK" w:eastAsia="方正仿宋_GBK"/>
          <w:color w:val="000000" w:themeColor="text1"/>
          <w:kern w:val="2"/>
          <w:szCs w:val="32"/>
          <w14:textFill>
            <w14:solidFill>
              <w14:schemeClr w14:val="tx1"/>
            </w14:solidFill>
          </w14:textFill>
        </w:rPr>
        <w:t>”</w:t>
      </w:r>
      <w:r>
        <w:rPr>
          <w:rFonts w:eastAsia="方正仿宋_GBK"/>
          <w:color w:val="000000" w:themeColor="text1"/>
          <w:kern w:val="2"/>
          <w:szCs w:val="32"/>
          <w14:textFill>
            <w14:solidFill>
              <w14:schemeClr w14:val="tx1"/>
            </w14:solidFill>
          </w14:textFill>
        </w:rPr>
        <w:t>大渡口实践，推进信访问题源头治理三年攻坚</w:t>
      </w:r>
      <w:r>
        <w:rPr>
          <w:rFonts w:eastAsia="方正仿宋_GBK"/>
          <w:color w:val="000000" w:themeColor="text1"/>
          <w:szCs w:val="32"/>
          <w:lang w:val="zh-CN"/>
          <w14:textFill>
            <w14:solidFill>
              <w14:schemeClr w14:val="tx1"/>
            </w14:solidFill>
          </w14:textFill>
        </w:rPr>
        <w:t>。</w:t>
      </w:r>
      <w:r>
        <w:rPr>
          <w:rFonts w:eastAsia="方正仿宋_GBK"/>
          <w:color w:val="000000" w:themeColor="text1"/>
          <w:kern w:val="2"/>
          <w:szCs w:val="32"/>
          <w14:textFill>
            <w14:solidFill>
              <w14:schemeClr w14:val="tx1"/>
            </w14:solidFill>
          </w14:textFill>
        </w:rPr>
        <w:t>深化护航暖企</w:t>
      </w:r>
      <w:r>
        <w:rPr>
          <w:rFonts w:hint="eastAsia" w:ascii="方正仿宋_GBK" w:eastAsia="方正仿宋_GBK"/>
          <w:color w:val="000000" w:themeColor="text1"/>
          <w:kern w:val="2"/>
          <w:szCs w:val="32"/>
          <w14:textFill>
            <w14:solidFill>
              <w14:schemeClr w14:val="tx1"/>
            </w14:solidFill>
          </w14:textFill>
        </w:rPr>
        <w:t>“</w:t>
      </w:r>
      <w:r>
        <w:rPr>
          <w:rFonts w:eastAsia="方正仿宋_GBK"/>
          <w:color w:val="000000" w:themeColor="text1"/>
          <w:kern w:val="2"/>
          <w:szCs w:val="32"/>
          <w14:textFill>
            <w14:solidFill>
              <w14:schemeClr w14:val="tx1"/>
            </w14:solidFill>
          </w14:textFill>
        </w:rPr>
        <w:t>1+4</w:t>
      </w:r>
      <w:r>
        <w:rPr>
          <w:rFonts w:hint="eastAsia" w:ascii="方正仿宋_GBK" w:eastAsia="方正仿宋_GBK"/>
          <w:color w:val="000000" w:themeColor="text1"/>
          <w:kern w:val="2"/>
          <w:szCs w:val="32"/>
          <w14:textFill>
            <w14:solidFill>
              <w14:schemeClr w14:val="tx1"/>
            </w14:solidFill>
          </w14:textFill>
        </w:rPr>
        <w:t>”</w:t>
      </w:r>
      <w:r>
        <w:rPr>
          <w:rFonts w:eastAsia="方正仿宋_GBK"/>
          <w:color w:val="000000" w:themeColor="text1"/>
          <w:kern w:val="2"/>
          <w:szCs w:val="32"/>
          <w14:textFill>
            <w14:solidFill>
              <w14:schemeClr w14:val="tx1"/>
            </w14:solidFill>
          </w14:textFill>
        </w:rPr>
        <w:t>政策套餐，做好涉企公开承诺事项，常态化开展涉企</w:t>
      </w:r>
      <w:r>
        <w:rPr>
          <w:rFonts w:hint="eastAsia" w:ascii="方正仿宋_GBK" w:eastAsia="方正仿宋_GBK"/>
          <w:color w:val="000000" w:themeColor="text1"/>
          <w:kern w:val="2"/>
          <w:szCs w:val="32"/>
          <w14:textFill>
            <w14:solidFill>
              <w14:schemeClr w14:val="tx1"/>
            </w14:solidFill>
          </w14:textFill>
        </w:rPr>
        <w:t>“</w:t>
      </w:r>
      <w:r>
        <w:rPr>
          <w:rFonts w:eastAsia="方正仿宋_GBK"/>
          <w:color w:val="000000" w:themeColor="text1"/>
          <w:kern w:val="2"/>
          <w:szCs w:val="32"/>
          <w14:textFill>
            <w14:solidFill>
              <w14:schemeClr w14:val="tx1"/>
            </w14:solidFill>
          </w14:textFill>
        </w:rPr>
        <w:t>法治体检</w:t>
      </w:r>
      <w:r>
        <w:rPr>
          <w:rFonts w:hint="eastAsia" w:ascii="方正仿宋_GBK" w:eastAsia="方正仿宋_GBK"/>
          <w:color w:val="000000" w:themeColor="text1"/>
          <w:kern w:val="2"/>
          <w:szCs w:val="32"/>
          <w14:textFill>
            <w14:solidFill>
              <w14:schemeClr w14:val="tx1"/>
            </w14:solidFill>
          </w14:textFill>
        </w:rPr>
        <w:t>”</w:t>
      </w:r>
      <w:r>
        <w:rPr>
          <w:rFonts w:eastAsia="方正仿宋_GBK"/>
          <w:color w:val="000000" w:themeColor="text1"/>
          <w:kern w:val="2"/>
          <w:szCs w:val="32"/>
          <w14:textFill>
            <w14:solidFill>
              <w14:schemeClr w14:val="tx1"/>
            </w14:solidFill>
          </w14:textFill>
        </w:rPr>
        <w:t>。启动实施安全生产治本攻坚三年行动，加强公共安全监管，强化交通、危险化学品、特种设备、建设施工、校园、医院、高层建筑消防和旅游景区等重点领域安全管理，严防重特大事故发生。加强应急管理体系建设，提升防灾减灾抗灾能力。强化食品药品安全监管，落实粮食安全首长责任制，做好保供稳价等工作。打好重点领域风险防范化解攻坚战，有效防范化解政府债务，兜牢兜实</w:t>
      </w:r>
      <w:r>
        <w:rPr>
          <w:rFonts w:hint="eastAsia" w:ascii="方正仿宋_GBK" w:eastAsia="方正仿宋_GBK"/>
          <w:color w:val="000000" w:themeColor="text1"/>
          <w:kern w:val="2"/>
          <w:szCs w:val="32"/>
          <w14:textFill>
            <w14:solidFill>
              <w14:schemeClr w14:val="tx1"/>
            </w14:solidFill>
          </w14:textFill>
        </w:rPr>
        <w:t>“</w:t>
      </w:r>
      <w:r>
        <w:rPr>
          <w:rFonts w:eastAsia="方正仿宋_GBK"/>
          <w:color w:val="000000" w:themeColor="text1"/>
          <w:kern w:val="2"/>
          <w:szCs w:val="32"/>
          <w14:textFill>
            <w14:solidFill>
              <w14:schemeClr w14:val="tx1"/>
            </w14:solidFill>
          </w14:textFill>
        </w:rPr>
        <w:t>三保</w:t>
      </w:r>
      <w:r>
        <w:rPr>
          <w:rFonts w:hint="eastAsia" w:ascii="方正仿宋_GBK" w:eastAsia="方正仿宋_GBK"/>
          <w:color w:val="000000" w:themeColor="text1"/>
          <w:kern w:val="2"/>
          <w:szCs w:val="32"/>
          <w14:textFill>
            <w14:solidFill>
              <w14:schemeClr w14:val="tx1"/>
            </w14:solidFill>
          </w14:textFill>
        </w:rPr>
        <w:t>”</w:t>
      </w:r>
      <w:r>
        <w:rPr>
          <w:rFonts w:eastAsia="方正仿宋_GBK"/>
          <w:color w:val="000000" w:themeColor="text1"/>
          <w:kern w:val="2"/>
          <w:szCs w:val="32"/>
          <w14:textFill>
            <w14:solidFill>
              <w14:schemeClr w14:val="tx1"/>
            </w14:solidFill>
          </w14:textFill>
        </w:rPr>
        <w:t>底线</w:t>
      </w:r>
      <w:r>
        <w:rPr>
          <w:rFonts w:hint="eastAsia" w:eastAsia="方正仿宋_GBK"/>
          <w:color w:val="000000" w:themeColor="text1"/>
          <w:kern w:val="2"/>
          <w:szCs w:val="32"/>
          <w14:textFill>
            <w14:solidFill>
              <w14:schemeClr w14:val="tx1"/>
            </w14:solidFill>
          </w14:textFill>
        </w:rPr>
        <w:t>，</w:t>
      </w:r>
      <w:r>
        <w:rPr>
          <w:rFonts w:eastAsia="方正仿宋_GBK"/>
          <w:color w:val="000000" w:themeColor="text1"/>
          <w:kern w:val="2"/>
          <w:szCs w:val="32"/>
          <w14:textFill>
            <w14:solidFill>
              <w14:schemeClr w14:val="tx1"/>
            </w14:solidFill>
          </w14:textFill>
        </w:rPr>
        <w:t>依法严厉打击非法金融活动，以新安全格局保障新发展格局。</w:t>
      </w:r>
    </w:p>
    <w:sectPr>
      <w:footerReference r:id="rId3" w:type="default"/>
      <w:pgSz w:w="11906" w:h="16838"/>
      <w:pgMar w:top="1814" w:right="1446" w:bottom="1814" w:left="1446" w:header="851" w:footer="1134"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书宋_GBK">
    <w:altName w:val="Arial Unicode MS"/>
    <w:panose1 w:val="03000509000000000000"/>
    <w:charset w:val="86"/>
    <w:family w:val="auto"/>
    <w:pitch w:val="default"/>
    <w:sig w:usb0="00000000" w:usb1="00000000" w:usb2="00000000" w:usb3="00000000" w:csb0="00040000" w:csb1="00000000"/>
  </w:font>
  <w:font w:name="汉仪书宋二KW">
    <w:altName w:val="微软雅黑"/>
    <w:panose1 w:val="00000000000000000000"/>
    <w:charset w:val="86"/>
    <w:family w:val="auto"/>
    <w:pitch w:val="default"/>
    <w:sig w:usb0="00000000" w:usb1="00000000" w:usb2="00000016"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89</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7"/>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89</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61B0CD"/>
    <w:multiLevelType w:val="singleLevel"/>
    <w:tmpl w:val="6B61B0CD"/>
    <w:lvl w:ilvl="0" w:tentative="0">
      <w:start w:val="10"/>
      <w:numFmt w:val="decimal"/>
      <w:suff w:val="space"/>
      <w:lvlText w:val="%1."/>
      <w:lvlJc w:val="left"/>
      <w:rPr>
        <w:rFonts w:hint="default" w:ascii="Times New Roman" w:hAnsi="Times New Roman" w:cs="Times New Roman"/>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zNjA0N2MxZWVmMGZlNzY2ODNiZmRmODcyYmFkZTYifQ=="/>
  </w:docVars>
  <w:rsids>
    <w:rsidRoot w:val="00172A27"/>
    <w:rsid w:val="000106DD"/>
    <w:rsid w:val="00015888"/>
    <w:rsid w:val="00023E7C"/>
    <w:rsid w:val="00035E2D"/>
    <w:rsid w:val="0003696F"/>
    <w:rsid w:val="000579DE"/>
    <w:rsid w:val="000607A3"/>
    <w:rsid w:val="00063FF7"/>
    <w:rsid w:val="00082694"/>
    <w:rsid w:val="000A5196"/>
    <w:rsid w:val="000C2E0B"/>
    <w:rsid w:val="000D2A5F"/>
    <w:rsid w:val="000D3ABB"/>
    <w:rsid w:val="000E332E"/>
    <w:rsid w:val="000E6D73"/>
    <w:rsid w:val="0010066E"/>
    <w:rsid w:val="0011245C"/>
    <w:rsid w:val="0012774B"/>
    <w:rsid w:val="00135295"/>
    <w:rsid w:val="00135400"/>
    <w:rsid w:val="00142EC4"/>
    <w:rsid w:val="001601D9"/>
    <w:rsid w:val="001653F8"/>
    <w:rsid w:val="00170668"/>
    <w:rsid w:val="00172A27"/>
    <w:rsid w:val="001742E0"/>
    <w:rsid w:val="00182F5E"/>
    <w:rsid w:val="001A2633"/>
    <w:rsid w:val="001A5B89"/>
    <w:rsid w:val="001B404E"/>
    <w:rsid w:val="001B7231"/>
    <w:rsid w:val="001E5A05"/>
    <w:rsid w:val="001F7126"/>
    <w:rsid w:val="00200DBB"/>
    <w:rsid w:val="00217986"/>
    <w:rsid w:val="00245831"/>
    <w:rsid w:val="00246E35"/>
    <w:rsid w:val="00252133"/>
    <w:rsid w:val="00256814"/>
    <w:rsid w:val="00267E43"/>
    <w:rsid w:val="0027421F"/>
    <w:rsid w:val="00274907"/>
    <w:rsid w:val="0028334E"/>
    <w:rsid w:val="0028594E"/>
    <w:rsid w:val="00293AEA"/>
    <w:rsid w:val="0029763E"/>
    <w:rsid w:val="002C4D0D"/>
    <w:rsid w:val="002E038B"/>
    <w:rsid w:val="002E497A"/>
    <w:rsid w:val="002F60E7"/>
    <w:rsid w:val="003052EB"/>
    <w:rsid w:val="00335C63"/>
    <w:rsid w:val="003413EC"/>
    <w:rsid w:val="003573DD"/>
    <w:rsid w:val="00364070"/>
    <w:rsid w:val="00374D88"/>
    <w:rsid w:val="0037737F"/>
    <w:rsid w:val="003859E9"/>
    <w:rsid w:val="00386B80"/>
    <w:rsid w:val="00386D69"/>
    <w:rsid w:val="0039434C"/>
    <w:rsid w:val="003A22EA"/>
    <w:rsid w:val="003C0A4F"/>
    <w:rsid w:val="003C2430"/>
    <w:rsid w:val="003D3A8E"/>
    <w:rsid w:val="003F3559"/>
    <w:rsid w:val="00413C26"/>
    <w:rsid w:val="00414993"/>
    <w:rsid w:val="004310C8"/>
    <w:rsid w:val="00436AFF"/>
    <w:rsid w:val="004370B8"/>
    <w:rsid w:val="00437DA9"/>
    <w:rsid w:val="00446009"/>
    <w:rsid w:val="00457FB4"/>
    <w:rsid w:val="004854BC"/>
    <w:rsid w:val="004B7F08"/>
    <w:rsid w:val="004E7BFD"/>
    <w:rsid w:val="004F3F77"/>
    <w:rsid w:val="00510002"/>
    <w:rsid w:val="00512FA0"/>
    <w:rsid w:val="005246F4"/>
    <w:rsid w:val="00524AAF"/>
    <w:rsid w:val="00552FE5"/>
    <w:rsid w:val="00553241"/>
    <w:rsid w:val="0056210C"/>
    <w:rsid w:val="00563010"/>
    <w:rsid w:val="005647D2"/>
    <w:rsid w:val="005732E4"/>
    <w:rsid w:val="0057661E"/>
    <w:rsid w:val="005A2731"/>
    <w:rsid w:val="005C2217"/>
    <w:rsid w:val="005D74C6"/>
    <w:rsid w:val="005E3D42"/>
    <w:rsid w:val="005F2973"/>
    <w:rsid w:val="0061101A"/>
    <w:rsid w:val="00647543"/>
    <w:rsid w:val="00654594"/>
    <w:rsid w:val="006568F4"/>
    <w:rsid w:val="00680FFD"/>
    <w:rsid w:val="006A3777"/>
    <w:rsid w:val="006C3CCD"/>
    <w:rsid w:val="006D3C87"/>
    <w:rsid w:val="006F0B3A"/>
    <w:rsid w:val="006F2132"/>
    <w:rsid w:val="00701A37"/>
    <w:rsid w:val="00706DA8"/>
    <w:rsid w:val="00736BD2"/>
    <w:rsid w:val="00750709"/>
    <w:rsid w:val="00754332"/>
    <w:rsid w:val="00755411"/>
    <w:rsid w:val="00761BA2"/>
    <w:rsid w:val="00782F12"/>
    <w:rsid w:val="00790929"/>
    <w:rsid w:val="007954A7"/>
    <w:rsid w:val="007B0897"/>
    <w:rsid w:val="007B0A07"/>
    <w:rsid w:val="007B28DA"/>
    <w:rsid w:val="007C5096"/>
    <w:rsid w:val="007D2C78"/>
    <w:rsid w:val="007D3296"/>
    <w:rsid w:val="007E1286"/>
    <w:rsid w:val="007E1D0D"/>
    <w:rsid w:val="007E46BB"/>
    <w:rsid w:val="007F1D67"/>
    <w:rsid w:val="00801A5A"/>
    <w:rsid w:val="00802904"/>
    <w:rsid w:val="00807110"/>
    <w:rsid w:val="00834075"/>
    <w:rsid w:val="00857E5A"/>
    <w:rsid w:val="00862FE1"/>
    <w:rsid w:val="00866F0C"/>
    <w:rsid w:val="00887FAB"/>
    <w:rsid w:val="00892071"/>
    <w:rsid w:val="0089316E"/>
    <w:rsid w:val="008A381B"/>
    <w:rsid w:val="008B20CC"/>
    <w:rsid w:val="008B355F"/>
    <w:rsid w:val="008B5F60"/>
    <w:rsid w:val="008D444A"/>
    <w:rsid w:val="008E69E3"/>
    <w:rsid w:val="008F304C"/>
    <w:rsid w:val="008F75CF"/>
    <w:rsid w:val="00904BD8"/>
    <w:rsid w:val="00906BDE"/>
    <w:rsid w:val="00914605"/>
    <w:rsid w:val="0092148B"/>
    <w:rsid w:val="00931B4B"/>
    <w:rsid w:val="00934C41"/>
    <w:rsid w:val="00943218"/>
    <w:rsid w:val="00947612"/>
    <w:rsid w:val="00960D8E"/>
    <w:rsid w:val="00965B0A"/>
    <w:rsid w:val="0096609E"/>
    <w:rsid w:val="00985AAC"/>
    <w:rsid w:val="009A2793"/>
    <w:rsid w:val="009A30E1"/>
    <w:rsid w:val="009B30DC"/>
    <w:rsid w:val="009C4458"/>
    <w:rsid w:val="009C62C3"/>
    <w:rsid w:val="009E6A8D"/>
    <w:rsid w:val="00A21ABE"/>
    <w:rsid w:val="00A30ACA"/>
    <w:rsid w:val="00A545C7"/>
    <w:rsid w:val="00A75B9F"/>
    <w:rsid w:val="00A96F10"/>
    <w:rsid w:val="00AB702C"/>
    <w:rsid w:val="00AD1363"/>
    <w:rsid w:val="00AD28AE"/>
    <w:rsid w:val="00AD2CE0"/>
    <w:rsid w:val="00AF7CE6"/>
    <w:rsid w:val="00B26060"/>
    <w:rsid w:val="00B26248"/>
    <w:rsid w:val="00B47686"/>
    <w:rsid w:val="00B54D6B"/>
    <w:rsid w:val="00B748F4"/>
    <w:rsid w:val="00B77DAA"/>
    <w:rsid w:val="00B93162"/>
    <w:rsid w:val="00B9754D"/>
    <w:rsid w:val="00BA3E98"/>
    <w:rsid w:val="00BC25BB"/>
    <w:rsid w:val="00BC540E"/>
    <w:rsid w:val="00BD42C9"/>
    <w:rsid w:val="00BD43D7"/>
    <w:rsid w:val="00BD6089"/>
    <w:rsid w:val="00BD6D03"/>
    <w:rsid w:val="00BF38A4"/>
    <w:rsid w:val="00C00A16"/>
    <w:rsid w:val="00C0491C"/>
    <w:rsid w:val="00C13EC2"/>
    <w:rsid w:val="00C13F94"/>
    <w:rsid w:val="00C14CF5"/>
    <w:rsid w:val="00C16B13"/>
    <w:rsid w:val="00C26CD8"/>
    <w:rsid w:val="00C57631"/>
    <w:rsid w:val="00C74F89"/>
    <w:rsid w:val="00C769DF"/>
    <w:rsid w:val="00C77A01"/>
    <w:rsid w:val="00C80B19"/>
    <w:rsid w:val="00C93043"/>
    <w:rsid w:val="00CA348F"/>
    <w:rsid w:val="00CC65D0"/>
    <w:rsid w:val="00D10622"/>
    <w:rsid w:val="00D16D63"/>
    <w:rsid w:val="00D41876"/>
    <w:rsid w:val="00D539E7"/>
    <w:rsid w:val="00D5413C"/>
    <w:rsid w:val="00D81E2A"/>
    <w:rsid w:val="00D8614F"/>
    <w:rsid w:val="00DA0CB3"/>
    <w:rsid w:val="00DA59CF"/>
    <w:rsid w:val="00DB584C"/>
    <w:rsid w:val="00DC5F1D"/>
    <w:rsid w:val="00DF20DB"/>
    <w:rsid w:val="00DF720A"/>
    <w:rsid w:val="00E01A50"/>
    <w:rsid w:val="00E01AE8"/>
    <w:rsid w:val="00E05B74"/>
    <w:rsid w:val="00E23306"/>
    <w:rsid w:val="00E27F1E"/>
    <w:rsid w:val="00E32B24"/>
    <w:rsid w:val="00E32BB7"/>
    <w:rsid w:val="00E33FCA"/>
    <w:rsid w:val="00E34908"/>
    <w:rsid w:val="00E34B18"/>
    <w:rsid w:val="00E40212"/>
    <w:rsid w:val="00E5178B"/>
    <w:rsid w:val="00E52E1B"/>
    <w:rsid w:val="00E56F46"/>
    <w:rsid w:val="00E85CD1"/>
    <w:rsid w:val="00EB30B8"/>
    <w:rsid w:val="00EB3981"/>
    <w:rsid w:val="00EB4130"/>
    <w:rsid w:val="00EC1273"/>
    <w:rsid w:val="00EC1AF5"/>
    <w:rsid w:val="00EC738B"/>
    <w:rsid w:val="00EC7D3E"/>
    <w:rsid w:val="00EE05BF"/>
    <w:rsid w:val="00EE3155"/>
    <w:rsid w:val="00EE39E2"/>
    <w:rsid w:val="00EF793D"/>
    <w:rsid w:val="00F02854"/>
    <w:rsid w:val="00F146BD"/>
    <w:rsid w:val="00F152E1"/>
    <w:rsid w:val="00F23E12"/>
    <w:rsid w:val="00F32E2A"/>
    <w:rsid w:val="00F36E73"/>
    <w:rsid w:val="00F41904"/>
    <w:rsid w:val="00F4334B"/>
    <w:rsid w:val="00F63455"/>
    <w:rsid w:val="00F671C0"/>
    <w:rsid w:val="00F834A7"/>
    <w:rsid w:val="00F9103A"/>
    <w:rsid w:val="00F92FCC"/>
    <w:rsid w:val="00FF26A6"/>
    <w:rsid w:val="00FF4817"/>
    <w:rsid w:val="01166422"/>
    <w:rsid w:val="01312BB5"/>
    <w:rsid w:val="013526E0"/>
    <w:rsid w:val="01413E37"/>
    <w:rsid w:val="015C1449"/>
    <w:rsid w:val="019A423A"/>
    <w:rsid w:val="01B0284F"/>
    <w:rsid w:val="01FB34B8"/>
    <w:rsid w:val="0216579E"/>
    <w:rsid w:val="022434CA"/>
    <w:rsid w:val="023857AD"/>
    <w:rsid w:val="0253777D"/>
    <w:rsid w:val="026A1701"/>
    <w:rsid w:val="029508C4"/>
    <w:rsid w:val="02A82AD5"/>
    <w:rsid w:val="02CB23F3"/>
    <w:rsid w:val="02F21D72"/>
    <w:rsid w:val="03321C74"/>
    <w:rsid w:val="03513D72"/>
    <w:rsid w:val="037B24B7"/>
    <w:rsid w:val="038C3EBD"/>
    <w:rsid w:val="03A83B91"/>
    <w:rsid w:val="03C57D07"/>
    <w:rsid w:val="03D055ED"/>
    <w:rsid w:val="03EA50A2"/>
    <w:rsid w:val="03F73EB9"/>
    <w:rsid w:val="03FC3F77"/>
    <w:rsid w:val="04301A15"/>
    <w:rsid w:val="043E0521"/>
    <w:rsid w:val="04514EA1"/>
    <w:rsid w:val="0468535E"/>
    <w:rsid w:val="048C3CCA"/>
    <w:rsid w:val="04AA1611"/>
    <w:rsid w:val="04C27394"/>
    <w:rsid w:val="04CD7E85"/>
    <w:rsid w:val="04D40924"/>
    <w:rsid w:val="04E61B81"/>
    <w:rsid w:val="04EB75F4"/>
    <w:rsid w:val="04F42D8E"/>
    <w:rsid w:val="04FE4557"/>
    <w:rsid w:val="051436CB"/>
    <w:rsid w:val="054844AB"/>
    <w:rsid w:val="05960EED"/>
    <w:rsid w:val="05EB1B6D"/>
    <w:rsid w:val="05F529D5"/>
    <w:rsid w:val="05FB0E4A"/>
    <w:rsid w:val="064373DC"/>
    <w:rsid w:val="06557441"/>
    <w:rsid w:val="06AB195A"/>
    <w:rsid w:val="06DB6C45"/>
    <w:rsid w:val="07220C3A"/>
    <w:rsid w:val="075E4901"/>
    <w:rsid w:val="076143A4"/>
    <w:rsid w:val="07670354"/>
    <w:rsid w:val="07700882"/>
    <w:rsid w:val="078E498F"/>
    <w:rsid w:val="07960504"/>
    <w:rsid w:val="079707FE"/>
    <w:rsid w:val="07AF4D6B"/>
    <w:rsid w:val="07C96D98"/>
    <w:rsid w:val="07D54471"/>
    <w:rsid w:val="08152D94"/>
    <w:rsid w:val="08275C22"/>
    <w:rsid w:val="082805D4"/>
    <w:rsid w:val="08BF6574"/>
    <w:rsid w:val="08C42F8D"/>
    <w:rsid w:val="08ED0F98"/>
    <w:rsid w:val="093B411E"/>
    <w:rsid w:val="09433276"/>
    <w:rsid w:val="0960564F"/>
    <w:rsid w:val="096D31D3"/>
    <w:rsid w:val="09753063"/>
    <w:rsid w:val="09AF2A22"/>
    <w:rsid w:val="09C9589B"/>
    <w:rsid w:val="0A315D57"/>
    <w:rsid w:val="0A3C6D32"/>
    <w:rsid w:val="0A6869A0"/>
    <w:rsid w:val="0A8E1DC3"/>
    <w:rsid w:val="0A912208"/>
    <w:rsid w:val="0AB705CF"/>
    <w:rsid w:val="0AE4380D"/>
    <w:rsid w:val="0B311BD1"/>
    <w:rsid w:val="0B7B1281"/>
    <w:rsid w:val="0B7C55AA"/>
    <w:rsid w:val="0B8326B5"/>
    <w:rsid w:val="0B8948D3"/>
    <w:rsid w:val="0BB76480"/>
    <w:rsid w:val="0BD05A74"/>
    <w:rsid w:val="0C150DC3"/>
    <w:rsid w:val="0C1A52C3"/>
    <w:rsid w:val="0C2B5B8F"/>
    <w:rsid w:val="0C59462F"/>
    <w:rsid w:val="0CA3372C"/>
    <w:rsid w:val="0CC821E4"/>
    <w:rsid w:val="0CD27A97"/>
    <w:rsid w:val="0CF50749"/>
    <w:rsid w:val="0D176C2D"/>
    <w:rsid w:val="0D2605BD"/>
    <w:rsid w:val="0D345CDD"/>
    <w:rsid w:val="0D8E03EB"/>
    <w:rsid w:val="0D9750DF"/>
    <w:rsid w:val="0DA02C32"/>
    <w:rsid w:val="0DA110A9"/>
    <w:rsid w:val="0DE05F80"/>
    <w:rsid w:val="0DFA1815"/>
    <w:rsid w:val="0DFB4D55"/>
    <w:rsid w:val="0E0A62C6"/>
    <w:rsid w:val="0E1A57B6"/>
    <w:rsid w:val="0E703F55"/>
    <w:rsid w:val="0E9D4DF8"/>
    <w:rsid w:val="0EAB6C34"/>
    <w:rsid w:val="0EB96A4E"/>
    <w:rsid w:val="0EBE5824"/>
    <w:rsid w:val="0ED31A4E"/>
    <w:rsid w:val="0F095110"/>
    <w:rsid w:val="0F0F4BBE"/>
    <w:rsid w:val="0F18108F"/>
    <w:rsid w:val="0F2A533F"/>
    <w:rsid w:val="0F6A2E4F"/>
    <w:rsid w:val="0F783F14"/>
    <w:rsid w:val="0F8C2362"/>
    <w:rsid w:val="0F8C6950"/>
    <w:rsid w:val="0FA530EC"/>
    <w:rsid w:val="0FBB4BD9"/>
    <w:rsid w:val="0FC02BB2"/>
    <w:rsid w:val="0FCD541B"/>
    <w:rsid w:val="0FD707AD"/>
    <w:rsid w:val="0FD82ECC"/>
    <w:rsid w:val="0FE0725D"/>
    <w:rsid w:val="102C03C4"/>
    <w:rsid w:val="107204EC"/>
    <w:rsid w:val="10AA09AB"/>
    <w:rsid w:val="10E418CF"/>
    <w:rsid w:val="10FE1037"/>
    <w:rsid w:val="115C4CAE"/>
    <w:rsid w:val="1173754E"/>
    <w:rsid w:val="11A065E2"/>
    <w:rsid w:val="11A16D38"/>
    <w:rsid w:val="11A21FFB"/>
    <w:rsid w:val="11D52CB1"/>
    <w:rsid w:val="11EB0880"/>
    <w:rsid w:val="11F97E04"/>
    <w:rsid w:val="120343C6"/>
    <w:rsid w:val="122035A5"/>
    <w:rsid w:val="12343E4A"/>
    <w:rsid w:val="129E368C"/>
    <w:rsid w:val="12C5192D"/>
    <w:rsid w:val="12D644FF"/>
    <w:rsid w:val="12DC5EC8"/>
    <w:rsid w:val="12F009CF"/>
    <w:rsid w:val="12F27CF4"/>
    <w:rsid w:val="13147297"/>
    <w:rsid w:val="132139A0"/>
    <w:rsid w:val="13300E0E"/>
    <w:rsid w:val="135576BD"/>
    <w:rsid w:val="135946C7"/>
    <w:rsid w:val="1390066B"/>
    <w:rsid w:val="139D3C98"/>
    <w:rsid w:val="13A503F2"/>
    <w:rsid w:val="13A77AEC"/>
    <w:rsid w:val="13BC0F46"/>
    <w:rsid w:val="13DA162E"/>
    <w:rsid w:val="13F573CB"/>
    <w:rsid w:val="13FC080C"/>
    <w:rsid w:val="142E4A6E"/>
    <w:rsid w:val="14311FA0"/>
    <w:rsid w:val="14520F60"/>
    <w:rsid w:val="145F0115"/>
    <w:rsid w:val="14DB2D07"/>
    <w:rsid w:val="151902CB"/>
    <w:rsid w:val="15B9406B"/>
    <w:rsid w:val="15C1548F"/>
    <w:rsid w:val="16182003"/>
    <w:rsid w:val="16575546"/>
    <w:rsid w:val="16655529"/>
    <w:rsid w:val="16760D22"/>
    <w:rsid w:val="1678256D"/>
    <w:rsid w:val="16A37C69"/>
    <w:rsid w:val="16B07D74"/>
    <w:rsid w:val="16B5718A"/>
    <w:rsid w:val="16E377CC"/>
    <w:rsid w:val="16EB56DB"/>
    <w:rsid w:val="17074C23"/>
    <w:rsid w:val="17536913"/>
    <w:rsid w:val="175E7B12"/>
    <w:rsid w:val="176851C4"/>
    <w:rsid w:val="176C6DA7"/>
    <w:rsid w:val="178901D7"/>
    <w:rsid w:val="179C4DF1"/>
    <w:rsid w:val="17BC70C2"/>
    <w:rsid w:val="17BD0DA4"/>
    <w:rsid w:val="17EB0EA4"/>
    <w:rsid w:val="18063791"/>
    <w:rsid w:val="180672FF"/>
    <w:rsid w:val="18115465"/>
    <w:rsid w:val="181F1248"/>
    <w:rsid w:val="182518CF"/>
    <w:rsid w:val="184B5829"/>
    <w:rsid w:val="18795A87"/>
    <w:rsid w:val="18CD5290"/>
    <w:rsid w:val="18F26E74"/>
    <w:rsid w:val="19290BC2"/>
    <w:rsid w:val="192B5B21"/>
    <w:rsid w:val="193F7EEE"/>
    <w:rsid w:val="198024FB"/>
    <w:rsid w:val="19902C68"/>
    <w:rsid w:val="19970D4D"/>
    <w:rsid w:val="199B0643"/>
    <w:rsid w:val="19BC26E1"/>
    <w:rsid w:val="1A42731D"/>
    <w:rsid w:val="1A865EE7"/>
    <w:rsid w:val="1AC87B60"/>
    <w:rsid w:val="1AC90E41"/>
    <w:rsid w:val="1ACB01FC"/>
    <w:rsid w:val="1B341A2E"/>
    <w:rsid w:val="1B5F1192"/>
    <w:rsid w:val="1BA869D7"/>
    <w:rsid w:val="1BBA5189"/>
    <w:rsid w:val="1BBE6346"/>
    <w:rsid w:val="1BC931C9"/>
    <w:rsid w:val="1BE551A5"/>
    <w:rsid w:val="1BE80D56"/>
    <w:rsid w:val="1BF25503"/>
    <w:rsid w:val="1C174672"/>
    <w:rsid w:val="1C4E25BD"/>
    <w:rsid w:val="1C6A3AB2"/>
    <w:rsid w:val="1C7664B0"/>
    <w:rsid w:val="1C8B7230"/>
    <w:rsid w:val="1CE20EA6"/>
    <w:rsid w:val="1CFB29A9"/>
    <w:rsid w:val="1CFC20A5"/>
    <w:rsid w:val="1D246DA1"/>
    <w:rsid w:val="1D510571"/>
    <w:rsid w:val="1D815B95"/>
    <w:rsid w:val="1D903885"/>
    <w:rsid w:val="1D94527D"/>
    <w:rsid w:val="1D95453F"/>
    <w:rsid w:val="1DA3499C"/>
    <w:rsid w:val="1DA519A5"/>
    <w:rsid w:val="1DC92924"/>
    <w:rsid w:val="1E041C56"/>
    <w:rsid w:val="1E387127"/>
    <w:rsid w:val="1E505BFD"/>
    <w:rsid w:val="1E95772E"/>
    <w:rsid w:val="1E9D12DF"/>
    <w:rsid w:val="1EA6236B"/>
    <w:rsid w:val="1ED462F2"/>
    <w:rsid w:val="1EFF4720"/>
    <w:rsid w:val="1F61685F"/>
    <w:rsid w:val="1F6F00FA"/>
    <w:rsid w:val="1F730D48"/>
    <w:rsid w:val="1F9064EB"/>
    <w:rsid w:val="1F962755"/>
    <w:rsid w:val="1FA37989"/>
    <w:rsid w:val="1FAB016A"/>
    <w:rsid w:val="1FF218B4"/>
    <w:rsid w:val="20690EE8"/>
    <w:rsid w:val="20701C62"/>
    <w:rsid w:val="20777EF4"/>
    <w:rsid w:val="20974ABB"/>
    <w:rsid w:val="20D355A6"/>
    <w:rsid w:val="20DB318A"/>
    <w:rsid w:val="20F56D75"/>
    <w:rsid w:val="2118051B"/>
    <w:rsid w:val="213E40B4"/>
    <w:rsid w:val="214B46FB"/>
    <w:rsid w:val="21953B13"/>
    <w:rsid w:val="21C768B3"/>
    <w:rsid w:val="21CA06C7"/>
    <w:rsid w:val="21FD6545"/>
    <w:rsid w:val="2200080D"/>
    <w:rsid w:val="221057B7"/>
    <w:rsid w:val="223232E3"/>
    <w:rsid w:val="22405D48"/>
    <w:rsid w:val="2241234F"/>
    <w:rsid w:val="22A4157C"/>
    <w:rsid w:val="22FE1A2F"/>
    <w:rsid w:val="23010B76"/>
    <w:rsid w:val="235A7F49"/>
    <w:rsid w:val="23760F09"/>
    <w:rsid w:val="238F6E74"/>
    <w:rsid w:val="239B71E7"/>
    <w:rsid w:val="23A62D99"/>
    <w:rsid w:val="23BD2E42"/>
    <w:rsid w:val="23C55192"/>
    <w:rsid w:val="23F93B5E"/>
    <w:rsid w:val="24E5109C"/>
    <w:rsid w:val="24E64977"/>
    <w:rsid w:val="24F24F23"/>
    <w:rsid w:val="24F4341D"/>
    <w:rsid w:val="24F63004"/>
    <w:rsid w:val="250B6338"/>
    <w:rsid w:val="256011B2"/>
    <w:rsid w:val="25635E9D"/>
    <w:rsid w:val="25943129"/>
    <w:rsid w:val="25985881"/>
    <w:rsid w:val="26147EA0"/>
    <w:rsid w:val="26365122"/>
    <w:rsid w:val="26770A7E"/>
    <w:rsid w:val="268D20C9"/>
    <w:rsid w:val="26962211"/>
    <w:rsid w:val="269910C5"/>
    <w:rsid w:val="26B51390"/>
    <w:rsid w:val="26CF512B"/>
    <w:rsid w:val="26D50C1F"/>
    <w:rsid w:val="27340542"/>
    <w:rsid w:val="276579B4"/>
    <w:rsid w:val="27986E0F"/>
    <w:rsid w:val="27A625D6"/>
    <w:rsid w:val="280E150D"/>
    <w:rsid w:val="28381468"/>
    <w:rsid w:val="285448FB"/>
    <w:rsid w:val="2854703C"/>
    <w:rsid w:val="294474BD"/>
    <w:rsid w:val="295042DC"/>
    <w:rsid w:val="29705C0D"/>
    <w:rsid w:val="298866E9"/>
    <w:rsid w:val="29BE6E77"/>
    <w:rsid w:val="29CA6FE5"/>
    <w:rsid w:val="29CD206B"/>
    <w:rsid w:val="29E35797"/>
    <w:rsid w:val="2A0B5CF9"/>
    <w:rsid w:val="2A3A764C"/>
    <w:rsid w:val="2A9F3D6F"/>
    <w:rsid w:val="2AB43698"/>
    <w:rsid w:val="2AB675B6"/>
    <w:rsid w:val="2AC42D9E"/>
    <w:rsid w:val="2AE5705E"/>
    <w:rsid w:val="2B166231"/>
    <w:rsid w:val="2B1821D3"/>
    <w:rsid w:val="2B2F5C36"/>
    <w:rsid w:val="2B387D7F"/>
    <w:rsid w:val="2B4F6CCB"/>
    <w:rsid w:val="2B5F4B0A"/>
    <w:rsid w:val="2B62473D"/>
    <w:rsid w:val="2B756023"/>
    <w:rsid w:val="2BB2365A"/>
    <w:rsid w:val="2BD14F1A"/>
    <w:rsid w:val="2BFF367E"/>
    <w:rsid w:val="2C220EC1"/>
    <w:rsid w:val="2C2251BC"/>
    <w:rsid w:val="2C320BCA"/>
    <w:rsid w:val="2C3943B4"/>
    <w:rsid w:val="2C4015EC"/>
    <w:rsid w:val="2C471958"/>
    <w:rsid w:val="2C61415B"/>
    <w:rsid w:val="2C8D0CAC"/>
    <w:rsid w:val="2CD509AD"/>
    <w:rsid w:val="2CF92DA1"/>
    <w:rsid w:val="2CF96141"/>
    <w:rsid w:val="2D05161E"/>
    <w:rsid w:val="2D0C6B11"/>
    <w:rsid w:val="2D3113B9"/>
    <w:rsid w:val="2D4709AD"/>
    <w:rsid w:val="2D4C688A"/>
    <w:rsid w:val="2D6B22F0"/>
    <w:rsid w:val="2D802B4E"/>
    <w:rsid w:val="2D93492E"/>
    <w:rsid w:val="2DB91385"/>
    <w:rsid w:val="2DE87106"/>
    <w:rsid w:val="2E197588"/>
    <w:rsid w:val="2E511B38"/>
    <w:rsid w:val="2E933CC1"/>
    <w:rsid w:val="2EA370D9"/>
    <w:rsid w:val="2EA84523"/>
    <w:rsid w:val="2EB550D4"/>
    <w:rsid w:val="2ECF2A4B"/>
    <w:rsid w:val="2ED86C62"/>
    <w:rsid w:val="2EE04579"/>
    <w:rsid w:val="2F3456E4"/>
    <w:rsid w:val="2F3812F7"/>
    <w:rsid w:val="2F5540EB"/>
    <w:rsid w:val="2F610022"/>
    <w:rsid w:val="2F957175"/>
    <w:rsid w:val="2F9D5968"/>
    <w:rsid w:val="2FC606AA"/>
    <w:rsid w:val="2FEB0AD4"/>
    <w:rsid w:val="2FF53E0C"/>
    <w:rsid w:val="30073307"/>
    <w:rsid w:val="303540C4"/>
    <w:rsid w:val="303649FD"/>
    <w:rsid w:val="30542CF9"/>
    <w:rsid w:val="30AD4ACE"/>
    <w:rsid w:val="30BE7394"/>
    <w:rsid w:val="30DD1B53"/>
    <w:rsid w:val="30EA67AA"/>
    <w:rsid w:val="30F72B88"/>
    <w:rsid w:val="314560A4"/>
    <w:rsid w:val="316C4B40"/>
    <w:rsid w:val="317E49E0"/>
    <w:rsid w:val="31BA2DD3"/>
    <w:rsid w:val="31C143C1"/>
    <w:rsid w:val="31F42B10"/>
    <w:rsid w:val="32040682"/>
    <w:rsid w:val="32283F57"/>
    <w:rsid w:val="323B53F3"/>
    <w:rsid w:val="323E6737"/>
    <w:rsid w:val="328B17CD"/>
    <w:rsid w:val="32982CE5"/>
    <w:rsid w:val="32BC4067"/>
    <w:rsid w:val="32C9682B"/>
    <w:rsid w:val="330504BE"/>
    <w:rsid w:val="33061642"/>
    <w:rsid w:val="331A6705"/>
    <w:rsid w:val="33550E5A"/>
    <w:rsid w:val="33804049"/>
    <w:rsid w:val="33B72B55"/>
    <w:rsid w:val="33CB38DD"/>
    <w:rsid w:val="340D16C5"/>
    <w:rsid w:val="340F189A"/>
    <w:rsid w:val="34127CD2"/>
    <w:rsid w:val="34196A9F"/>
    <w:rsid w:val="3425790A"/>
    <w:rsid w:val="346E1797"/>
    <w:rsid w:val="347439EE"/>
    <w:rsid w:val="348B13F3"/>
    <w:rsid w:val="34C43EDF"/>
    <w:rsid w:val="34D4199A"/>
    <w:rsid w:val="34DF6BB9"/>
    <w:rsid w:val="34EF528C"/>
    <w:rsid w:val="353F6AE5"/>
    <w:rsid w:val="355A188D"/>
    <w:rsid w:val="358720BA"/>
    <w:rsid w:val="359212E9"/>
    <w:rsid w:val="35B63930"/>
    <w:rsid w:val="35D17C31"/>
    <w:rsid w:val="35D74670"/>
    <w:rsid w:val="35E368D3"/>
    <w:rsid w:val="360607F8"/>
    <w:rsid w:val="363D0B3C"/>
    <w:rsid w:val="364D5684"/>
    <w:rsid w:val="36743EB1"/>
    <w:rsid w:val="368C503D"/>
    <w:rsid w:val="36D27AD3"/>
    <w:rsid w:val="36E44680"/>
    <w:rsid w:val="36F90A8F"/>
    <w:rsid w:val="373A6987"/>
    <w:rsid w:val="374B12EF"/>
    <w:rsid w:val="374C1585"/>
    <w:rsid w:val="3755232A"/>
    <w:rsid w:val="375A6ECD"/>
    <w:rsid w:val="378321BB"/>
    <w:rsid w:val="37A06021"/>
    <w:rsid w:val="37B54288"/>
    <w:rsid w:val="382222FF"/>
    <w:rsid w:val="38374277"/>
    <w:rsid w:val="38577298"/>
    <w:rsid w:val="387A4AE4"/>
    <w:rsid w:val="38833E8C"/>
    <w:rsid w:val="38B46199"/>
    <w:rsid w:val="38BB7748"/>
    <w:rsid w:val="38D955FD"/>
    <w:rsid w:val="38EE4F4C"/>
    <w:rsid w:val="38FF1115"/>
    <w:rsid w:val="39213298"/>
    <w:rsid w:val="39292737"/>
    <w:rsid w:val="394D5BFE"/>
    <w:rsid w:val="396562DE"/>
    <w:rsid w:val="397E6E81"/>
    <w:rsid w:val="39B05F66"/>
    <w:rsid w:val="39B84362"/>
    <w:rsid w:val="39CD4352"/>
    <w:rsid w:val="3A402F76"/>
    <w:rsid w:val="3A734314"/>
    <w:rsid w:val="3A8B0BF6"/>
    <w:rsid w:val="3AA753AE"/>
    <w:rsid w:val="3AF8062A"/>
    <w:rsid w:val="3B8B7850"/>
    <w:rsid w:val="3B932411"/>
    <w:rsid w:val="3BB32750"/>
    <w:rsid w:val="3BBB7373"/>
    <w:rsid w:val="3BBE28CD"/>
    <w:rsid w:val="3BC5146C"/>
    <w:rsid w:val="3BE26A22"/>
    <w:rsid w:val="3BEE3316"/>
    <w:rsid w:val="3C1C328C"/>
    <w:rsid w:val="3C281D40"/>
    <w:rsid w:val="3C3F132C"/>
    <w:rsid w:val="3C462C94"/>
    <w:rsid w:val="3C9F1C9B"/>
    <w:rsid w:val="3CCE0E10"/>
    <w:rsid w:val="3D2A6ACF"/>
    <w:rsid w:val="3D2D197A"/>
    <w:rsid w:val="3DA2214A"/>
    <w:rsid w:val="3DB46A7A"/>
    <w:rsid w:val="3DB93CA2"/>
    <w:rsid w:val="3DD2297D"/>
    <w:rsid w:val="3DD61434"/>
    <w:rsid w:val="3DE378C1"/>
    <w:rsid w:val="3DE81560"/>
    <w:rsid w:val="3E0D62BE"/>
    <w:rsid w:val="3E1635D2"/>
    <w:rsid w:val="3E1A714B"/>
    <w:rsid w:val="3E41072E"/>
    <w:rsid w:val="3E7D46C0"/>
    <w:rsid w:val="3EAA4048"/>
    <w:rsid w:val="3ED80461"/>
    <w:rsid w:val="3EDA6359"/>
    <w:rsid w:val="3F3B1DB2"/>
    <w:rsid w:val="3F5B2B77"/>
    <w:rsid w:val="3F681F7F"/>
    <w:rsid w:val="3F751A06"/>
    <w:rsid w:val="3F961555"/>
    <w:rsid w:val="3F96638C"/>
    <w:rsid w:val="3FF460B2"/>
    <w:rsid w:val="4033137C"/>
    <w:rsid w:val="403D13FF"/>
    <w:rsid w:val="40430334"/>
    <w:rsid w:val="40497A91"/>
    <w:rsid w:val="40A70469"/>
    <w:rsid w:val="40AA11F3"/>
    <w:rsid w:val="40C27933"/>
    <w:rsid w:val="40C37AEB"/>
    <w:rsid w:val="40CE1A84"/>
    <w:rsid w:val="40DB199A"/>
    <w:rsid w:val="40FE2474"/>
    <w:rsid w:val="412A1143"/>
    <w:rsid w:val="41514FC2"/>
    <w:rsid w:val="418C438F"/>
    <w:rsid w:val="418E33E3"/>
    <w:rsid w:val="419D50FF"/>
    <w:rsid w:val="41EF6768"/>
    <w:rsid w:val="41F7438D"/>
    <w:rsid w:val="42067771"/>
    <w:rsid w:val="421D13C0"/>
    <w:rsid w:val="424A755F"/>
    <w:rsid w:val="42710B2C"/>
    <w:rsid w:val="428222BC"/>
    <w:rsid w:val="429476E1"/>
    <w:rsid w:val="42BD4986"/>
    <w:rsid w:val="42C820AC"/>
    <w:rsid w:val="42DA5E85"/>
    <w:rsid w:val="43416D2F"/>
    <w:rsid w:val="437209E9"/>
    <w:rsid w:val="43DF2734"/>
    <w:rsid w:val="43E964D5"/>
    <w:rsid w:val="445141EB"/>
    <w:rsid w:val="445C29C5"/>
    <w:rsid w:val="446071CC"/>
    <w:rsid w:val="447F0C0A"/>
    <w:rsid w:val="44CE1359"/>
    <w:rsid w:val="452B15F3"/>
    <w:rsid w:val="456F7A00"/>
    <w:rsid w:val="457D1D30"/>
    <w:rsid w:val="458F27B0"/>
    <w:rsid w:val="45A0189C"/>
    <w:rsid w:val="45E52788"/>
    <w:rsid w:val="46AA09EA"/>
    <w:rsid w:val="46BB2204"/>
    <w:rsid w:val="46D84E32"/>
    <w:rsid w:val="46DD6678"/>
    <w:rsid w:val="46F05C26"/>
    <w:rsid w:val="46F15A44"/>
    <w:rsid w:val="46FA7E00"/>
    <w:rsid w:val="470B16D4"/>
    <w:rsid w:val="47127841"/>
    <w:rsid w:val="472F375D"/>
    <w:rsid w:val="47A91D79"/>
    <w:rsid w:val="47B82E3D"/>
    <w:rsid w:val="47BE4FED"/>
    <w:rsid w:val="47D30C85"/>
    <w:rsid w:val="47EE20A1"/>
    <w:rsid w:val="48257610"/>
    <w:rsid w:val="48454B56"/>
    <w:rsid w:val="4849538C"/>
    <w:rsid w:val="48701C91"/>
    <w:rsid w:val="48A15D3A"/>
    <w:rsid w:val="48C60F4A"/>
    <w:rsid w:val="491509DB"/>
    <w:rsid w:val="49D5090A"/>
    <w:rsid w:val="4A1858DA"/>
    <w:rsid w:val="4A796E0B"/>
    <w:rsid w:val="4A8441B9"/>
    <w:rsid w:val="4AF67E51"/>
    <w:rsid w:val="4B474CB5"/>
    <w:rsid w:val="4B870F7A"/>
    <w:rsid w:val="4BA7513B"/>
    <w:rsid w:val="4BAE3083"/>
    <w:rsid w:val="4BB07F36"/>
    <w:rsid w:val="4BCE5C24"/>
    <w:rsid w:val="4BDC2BE1"/>
    <w:rsid w:val="4BFD47D5"/>
    <w:rsid w:val="4C050366"/>
    <w:rsid w:val="4C3151FF"/>
    <w:rsid w:val="4C663788"/>
    <w:rsid w:val="4C6806D8"/>
    <w:rsid w:val="4CAC3098"/>
    <w:rsid w:val="4CAC4E0B"/>
    <w:rsid w:val="4CB76794"/>
    <w:rsid w:val="4CD57998"/>
    <w:rsid w:val="4CFA0493"/>
    <w:rsid w:val="4D2659DE"/>
    <w:rsid w:val="4D2F7E66"/>
    <w:rsid w:val="4D584144"/>
    <w:rsid w:val="4D646B6D"/>
    <w:rsid w:val="4D69311A"/>
    <w:rsid w:val="4D69797E"/>
    <w:rsid w:val="4DDB54D0"/>
    <w:rsid w:val="4E1C60E1"/>
    <w:rsid w:val="4E305D4A"/>
    <w:rsid w:val="4E4933D2"/>
    <w:rsid w:val="4E504FAE"/>
    <w:rsid w:val="4EAF0042"/>
    <w:rsid w:val="4ED6622D"/>
    <w:rsid w:val="4EF75B85"/>
    <w:rsid w:val="4F13178E"/>
    <w:rsid w:val="4F244A9B"/>
    <w:rsid w:val="4F4C2E95"/>
    <w:rsid w:val="4F6E3267"/>
    <w:rsid w:val="4F6F3B70"/>
    <w:rsid w:val="4F9F7F99"/>
    <w:rsid w:val="4FAB62F7"/>
    <w:rsid w:val="4FC44655"/>
    <w:rsid w:val="50044B6D"/>
    <w:rsid w:val="5024799F"/>
    <w:rsid w:val="509C43E6"/>
    <w:rsid w:val="50A147EA"/>
    <w:rsid w:val="50DD4753"/>
    <w:rsid w:val="50DF35F8"/>
    <w:rsid w:val="50E117FD"/>
    <w:rsid w:val="50E4623E"/>
    <w:rsid w:val="511C1ABF"/>
    <w:rsid w:val="513E4962"/>
    <w:rsid w:val="514A5C1D"/>
    <w:rsid w:val="51683C50"/>
    <w:rsid w:val="51C47B22"/>
    <w:rsid w:val="51D42366"/>
    <w:rsid w:val="51F337F8"/>
    <w:rsid w:val="520E6F72"/>
    <w:rsid w:val="52120921"/>
    <w:rsid w:val="52530379"/>
    <w:rsid w:val="52762E85"/>
    <w:rsid w:val="527D1F0D"/>
    <w:rsid w:val="5285762E"/>
    <w:rsid w:val="52BB2504"/>
    <w:rsid w:val="52C24EBD"/>
    <w:rsid w:val="52D26CC9"/>
    <w:rsid w:val="52DA7C20"/>
    <w:rsid w:val="534C3D04"/>
    <w:rsid w:val="536752A6"/>
    <w:rsid w:val="53915D1B"/>
    <w:rsid w:val="53943582"/>
    <w:rsid w:val="53C22915"/>
    <w:rsid w:val="53EB31F9"/>
    <w:rsid w:val="53FC46DB"/>
    <w:rsid w:val="5446559F"/>
    <w:rsid w:val="545D724B"/>
    <w:rsid w:val="54805862"/>
    <w:rsid w:val="549A78E0"/>
    <w:rsid w:val="54A121B4"/>
    <w:rsid w:val="54BC5B1D"/>
    <w:rsid w:val="55A03B48"/>
    <w:rsid w:val="55BF7262"/>
    <w:rsid w:val="55DA77AC"/>
    <w:rsid w:val="55DD5FEF"/>
    <w:rsid w:val="55DE38CF"/>
    <w:rsid w:val="55E42668"/>
    <w:rsid w:val="56026E54"/>
    <w:rsid w:val="560715FF"/>
    <w:rsid w:val="5612044D"/>
    <w:rsid w:val="561610A4"/>
    <w:rsid w:val="563D7D18"/>
    <w:rsid w:val="56576841"/>
    <w:rsid w:val="56856564"/>
    <w:rsid w:val="56C9124E"/>
    <w:rsid w:val="56D36BF1"/>
    <w:rsid w:val="571B01E3"/>
    <w:rsid w:val="57337BD8"/>
    <w:rsid w:val="573D51B7"/>
    <w:rsid w:val="57661F2A"/>
    <w:rsid w:val="57885B09"/>
    <w:rsid w:val="57943B61"/>
    <w:rsid w:val="57C01659"/>
    <w:rsid w:val="57C07A95"/>
    <w:rsid w:val="57EF152D"/>
    <w:rsid w:val="57F431FC"/>
    <w:rsid w:val="580E2270"/>
    <w:rsid w:val="58113002"/>
    <w:rsid w:val="582432C7"/>
    <w:rsid w:val="582475B1"/>
    <w:rsid w:val="58402735"/>
    <w:rsid w:val="589769C3"/>
    <w:rsid w:val="58AF4D23"/>
    <w:rsid w:val="58D46F14"/>
    <w:rsid w:val="58DE111C"/>
    <w:rsid w:val="58ED344B"/>
    <w:rsid w:val="58F74D77"/>
    <w:rsid w:val="590C7442"/>
    <w:rsid w:val="593D1129"/>
    <w:rsid w:val="597D09BF"/>
    <w:rsid w:val="59984760"/>
    <w:rsid w:val="599A718A"/>
    <w:rsid w:val="59D71609"/>
    <w:rsid w:val="59DD7309"/>
    <w:rsid w:val="5A14520F"/>
    <w:rsid w:val="5A3E1DBC"/>
    <w:rsid w:val="5AD4186E"/>
    <w:rsid w:val="5B000664"/>
    <w:rsid w:val="5B9A29C4"/>
    <w:rsid w:val="5BE6556C"/>
    <w:rsid w:val="5C4D1A74"/>
    <w:rsid w:val="5C7F2560"/>
    <w:rsid w:val="5CC3599C"/>
    <w:rsid w:val="5CF13242"/>
    <w:rsid w:val="5D071C1B"/>
    <w:rsid w:val="5D2425A2"/>
    <w:rsid w:val="5D5664E9"/>
    <w:rsid w:val="5D602F9C"/>
    <w:rsid w:val="5D677B24"/>
    <w:rsid w:val="5D8817B2"/>
    <w:rsid w:val="5D940564"/>
    <w:rsid w:val="5D9A4FAD"/>
    <w:rsid w:val="5D9B1946"/>
    <w:rsid w:val="5DA7672E"/>
    <w:rsid w:val="5DD83D24"/>
    <w:rsid w:val="5DF3022B"/>
    <w:rsid w:val="5DF432AD"/>
    <w:rsid w:val="5E4605C6"/>
    <w:rsid w:val="5E6E287B"/>
    <w:rsid w:val="5EB076DA"/>
    <w:rsid w:val="5EC534AB"/>
    <w:rsid w:val="5ECF25F5"/>
    <w:rsid w:val="5F263435"/>
    <w:rsid w:val="5F367C54"/>
    <w:rsid w:val="5FB36AE2"/>
    <w:rsid w:val="5FC919BC"/>
    <w:rsid w:val="5FCB181F"/>
    <w:rsid w:val="60245956"/>
    <w:rsid w:val="6031765B"/>
    <w:rsid w:val="60443D48"/>
    <w:rsid w:val="604D21B4"/>
    <w:rsid w:val="6073413D"/>
    <w:rsid w:val="608E249A"/>
    <w:rsid w:val="60EB51D4"/>
    <w:rsid w:val="60F96289"/>
    <w:rsid w:val="611F431D"/>
    <w:rsid w:val="6141388B"/>
    <w:rsid w:val="61592EEE"/>
    <w:rsid w:val="615F4395"/>
    <w:rsid w:val="61641E1B"/>
    <w:rsid w:val="616444AC"/>
    <w:rsid w:val="616B17C4"/>
    <w:rsid w:val="618D16EC"/>
    <w:rsid w:val="61AF6A61"/>
    <w:rsid w:val="61BC2111"/>
    <w:rsid w:val="61DF4CC4"/>
    <w:rsid w:val="623E0C8A"/>
    <w:rsid w:val="626551FE"/>
    <w:rsid w:val="62840939"/>
    <w:rsid w:val="6285195B"/>
    <w:rsid w:val="62871089"/>
    <w:rsid w:val="62926256"/>
    <w:rsid w:val="62B235F0"/>
    <w:rsid w:val="631F0146"/>
    <w:rsid w:val="637A67A7"/>
    <w:rsid w:val="63A81688"/>
    <w:rsid w:val="63FD7D8C"/>
    <w:rsid w:val="6421135C"/>
    <w:rsid w:val="6478091D"/>
    <w:rsid w:val="64990FBF"/>
    <w:rsid w:val="64CE69E3"/>
    <w:rsid w:val="64D41CB9"/>
    <w:rsid w:val="64F87D55"/>
    <w:rsid w:val="64F96E48"/>
    <w:rsid w:val="652B06E3"/>
    <w:rsid w:val="655938D7"/>
    <w:rsid w:val="655D2F76"/>
    <w:rsid w:val="65DE5501"/>
    <w:rsid w:val="66150871"/>
    <w:rsid w:val="66275A33"/>
    <w:rsid w:val="663646DC"/>
    <w:rsid w:val="66414397"/>
    <w:rsid w:val="664F01FD"/>
    <w:rsid w:val="666B08B4"/>
    <w:rsid w:val="67185D2E"/>
    <w:rsid w:val="67223CF9"/>
    <w:rsid w:val="672A7543"/>
    <w:rsid w:val="673D23D7"/>
    <w:rsid w:val="676322C4"/>
    <w:rsid w:val="67667B28"/>
    <w:rsid w:val="676F00F5"/>
    <w:rsid w:val="67AC1D90"/>
    <w:rsid w:val="67D85C4E"/>
    <w:rsid w:val="67DE4259"/>
    <w:rsid w:val="67E678A8"/>
    <w:rsid w:val="67E876A9"/>
    <w:rsid w:val="67F17976"/>
    <w:rsid w:val="6826119A"/>
    <w:rsid w:val="683D4585"/>
    <w:rsid w:val="684063EC"/>
    <w:rsid w:val="685D25C6"/>
    <w:rsid w:val="685E79EF"/>
    <w:rsid w:val="68625EBB"/>
    <w:rsid w:val="68833034"/>
    <w:rsid w:val="68A14D7A"/>
    <w:rsid w:val="68A46BBF"/>
    <w:rsid w:val="68C53A50"/>
    <w:rsid w:val="68D4762E"/>
    <w:rsid w:val="6904663D"/>
    <w:rsid w:val="69356DAA"/>
    <w:rsid w:val="69425741"/>
    <w:rsid w:val="695607F2"/>
    <w:rsid w:val="69C84EF1"/>
    <w:rsid w:val="6A3C0828"/>
    <w:rsid w:val="6A6E151B"/>
    <w:rsid w:val="6A717EE6"/>
    <w:rsid w:val="6B06224C"/>
    <w:rsid w:val="6B3D078E"/>
    <w:rsid w:val="6B840181"/>
    <w:rsid w:val="6B887DE4"/>
    <w:rsid w:val="6C11395F"/>
    <w:rsid w:val="6C4171FB"/>
    <w:rsid w:val="6C766C97"/>
    <w:rsid w:val="6C7C47DB"/>
    <w:rsid w:val="6C8B5B92"/>
    <w:rsid w:val="6CC07193"/>
    <w:rsid w:val="6CE70534"/>
    <w:rsid w:val="6D0D6BB7"/>
    <w:rsid w:val="6D243E79"/>
    <w:rsid w:val="6D4313CB"/>
    <w:rsid w:val="6D644462"/>
    <w:rsid w:val="6D6C4617"/>
    <w:rsid w:val="6D720156"/>
    <w:rsid w:val="6D8A592C"/>
    <w:rsid w:val="6E3D07CF"/>
    <w:rsid w:val="6E824E3F"/>
    <w:rsid w:val="6E8F6669"/>
    <w:rsid w:val="6E912A54"/>
    <w:rsid w:val="6EA65D37"/>
    <w:rsid w:val="6EB2353A"/>
    <w:rsid w:val="6ED34545"/>
    <w:rsid w:val="6ED926BA"/>
    <w:rsid w:val="6F265233"/>
    <w:rsid w:val="6F5B0986"/>
    <w:rsid w:val="6F9E5D0C"/>
    <w:rsid w:val="6FA8388C"/>
    <w:rsid w:val="6FA866FC"/>
    <w:rsid w:val="6FCB7A36"/>
    <w:rsid w:val="702428E1"/>
    <w:rsid w:val="702E477C"/>
    <w:rsid w:val="70392375"/>
    <w:rsid w:val="70885F42"/>
    <w:rsid w:val="70A07B66"/>
    <w:rsid w:val="70C83F48"/>
    <w:rsid w:val="70CB62AA"/>
    <w:rsid w:val="70E02ACA"/>
    <w:rsid w:val="710D4708"/>
    <w:rsid w:val="711436BA"/>
    <w:rsid w:val="71236939"/>
    <w:rsid w:val="7131269E"/>
    <w:rsid w:val="71441C42"/>
    <w:rsid w:val="716A75ED"/>
    <w:rsid w:val="71A53037"/>
    <w:rsid w:val="71AD6D83"/>
    <w:rsid w:val="71B244AA"/>
    <w:rsid w:val="71C13079"/>
    <w:rsid w:val="71C17FF0"/>
    <w:rsid w:val="71F23CFC"/>
    <w:rsid w:val="71F25A91"/>
    <w:rsid w:val="72254C79"/>
    <w:rsid w:val="72297933"/>
    <w:rsid w:val="724E1644"/>
    <w:rsid w:val="72941E4D"/>
    <w:rsid w:val="72BA4E6F"/>
    <w:rsid w:val="72C62134"/>
    <w:rsid w:val="72E57804"/>
    <w:rsid w:val="72E637CB"/>
    <w:rsid w:val="731D01D4"/>
    <w:rsid w:val="733D54D4"/>
    <w:rsid w:val="738C646D"/>
    <w:rsid w:val="73976B25"/>
    <w:rsid w:val="74B270A4"/>
    <w:rsid w:val="74CE5F41"/>
    <w:rsid w:val="74FC6BEC"/>
    <w:rsid w:val="750C497C"/>
    <w:rsid w:val="753406F1"/>
    <w:rsid w:val="75AF445F"/>
    <w:rsid w:val="75B0087E"/>
    <w:rsid w:val="75D017E0"/>
    <w:rsid w:val="75FA0A67"/>
    <w:rsid w:val="7613677B"/>
    <w:rsid w:val="76156015"/>
    <w:rsid w:val="761A0360"/>
    <w:rsid w:val="761D50D2"/>
    <w:rsid w:val="76210130"/>
    <w:rsid w:val="762C01C8"/>
    <w:rsid w:val="764325BE"/>
    <w:rsid w:val="765C1E85"/>
    <w:rsid w:val="76637662"/>
    <w:rsid w:val="766449F2"/>
    <w:rsid w:val="767773CA"/>
    <w:rsid w:val="767E63AC"/>
    <w:rsid w:val="76961F7F"/>
    <w:rsid w:val="76B854AD"/>
    <w:rsid w:val="76CD229D"/>
    <w:rsid w:val="76F7785A"/>
    <w:rsid w:val="77310A38"/>
    <w:rsid w:val="774268FD"/>
    <w:rsid w:val="77E2527D"/>
    <w:rsid w:val="7806078E"/>
    <w:rsid w:val="78264F9F"/>
    <w:rsid w:val="78360F0E"/>
    <w:rsid w:val="78516ABE"/>
    <w:rsid w:val="7864662B"/>
    <w:rsid w:val="786A5EE3"/>
    <w:rsid w:val="78741B3B"/>
    <w:rsid w:val="78BD7E9F"/>
    <w:rsid w:val="78DF4AD4"/>
    <w:rsid w:val="78F53768"/>
    <w:rsid w:val="790217D0"/>
    <w:rsid w:val="791A04B5"/>
    <w:rsid w:val="791A5511"/>
    <w:rsid w:val="791C7F7C"/>
    <w:rsid w:val="79281B06"/>
    <w:rsid w:val="792C4591"/>
    <w:rsid w:val="793E1797"/>
    <w:rsid w:val="79470ECD"/>
    <w:rsid w:val="79620298"/>
    <w:rsid w:val="79623D29"/>
    <w:rsid w:val="796772E1"/>
    <w:rsid w:val="797B3EDB"/>
    <w:rsid w:val="79B15DAF"/>
    <w:rsid w:val="7A371153"/>
    <w:rsid w:val="7A587BA8"/>
    <w:rsid w:val="7A5E25DD"/>
    <w:rsid w:val="7A631CCD"/>
    <w:rsid w:val="7A6F2377"/>
    <w:rsid w:val="7AA4772B"/>
    <w:rsid w:val="7ABB7371"/>
    <w:rsid w:val="7AD851F3"/>
    <w:rsid w:val="7AE17D49"/>
    <w:rsid w:val="7B40575C"/>
    <w:rsid w:val="7B536F75"/>
    <w:rsid w:val="7B557B99"/>
    <w:rsid w:val="7B6E65A4"/>
    <w:rsid w:val="7B7449F2"/>
    <w:rsid w:val="7B892580"/>
    <w:rsid w:val="7B973CCB"/>
    <w:rsid w:val="7BB428CE"/>
    <w:rsid w:val="7BC46BD7"/>
    <w:rsid w:val="7BCB1888"/>
    <w:rsid w:val="7BDB64E4"/>
    <w:rsid w:val="7BE94817"/>
    <w:rsid w:val="7BEB4985"/>
    <w:rsid w:val="7C3D3757"/>
    <w:rsid w:val="7C5210C0"/>
    <w:rsid w:val="7C872807"/>
    <w:rsid w:val="7C932639"/>
    <w:rsid w:val="7C9C54AD"/>
    <w:rsid w:val="7CA046EF"/>
    <w:rsid w:val="7CA43DBE"/>
    <w:rsid w:val="7CA93CA3"/>
    <w:rsid w:val="7CF32B9E"/>
    <w:rsid w:val="7D206335"/>
    <w:rsid w:val="7D2558A5"/>
    <w:rsid w:val="7D5E505D"/>
    <w:rsid w:val="7D97445F"/>
    <w:rsid w:val="7D9966CE"/>
    <w:rsid w:val="7DB6499C"/>
    <w:rsid w:val="7DCD22D3"/>
    <w:rsid w:val="7DCF4336"/>
    <w:rsid w:val="7DD31C4A"/>
    <w:rsid w:val="7DE535F8"/>
    <w:rsid w:val="7E0A67A1"/>
    <w:rsid w:val="7E0B3630"/>
    <w:rsid w:val="7E2A617D"/>
    <w:rsid w:val="7E5970FC"/>
    <w:rsid w:val="7EAA2906"/>
    <w:rsid w:val="7EC26574"/>
    <w:rsid w:val="7EDD5372"/>
    <w:rsid w:val="7EF70C73"/>
    <w:rsid w:val="7F1E3F1F"/>
    <w:rsid w:val="7F34581A"/>
    <w:rsid w:val="7F352C08"/>
    <w:rsid w:val="7F3840B3"/>
    <w:rsid w:val="7F565C4D"/>
    <w:rsid w:val="7F5B4E6A"/>
    <w:rsid w:val="7F686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Theme="minorHAnsi" w:hAnsiTheme="minorHAnsi" w:eastAsiaTheme="minorEastAsia" w:cstheme="minorBidi"/>
      <w:sz w:val="22"/>
      <w:szCs w:val="22"/>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5"/>
    <w:qFormat/>
    <w:uiPriority w:val="0"/>
    <w:pPr>
      <w:widowControl w:val="0"/>
      <w:spacing w:after="0" w:line="240" w:lineRule="auto"/>
      <w:jc w:val="both"/>
    </w:pPr>
    <w:rPr>
      <w:rFonts w:ascii="Times New Roman" w:hAnsi="Times New Roman" w:eastAsia="仿宋_GB2312" w:cs="Times New Roman"/>
      <w:sz w:val="32"/>
      <w:szCs w:val="20"/>
    </w:rPr>
  </w:style>
  <w:style w:type="paragraph" w:styleId="3">
    <w:name w:val="toc 5"/>
    <w:basedOn w:val="1"/>
    <w:next w:val="1"/>
    <w:unhideWhenUsed/>
    <w:qFormat/>
    <w:uiPriority w:val="39"/>
    <w:pPr>
      <w:ind w:left="1280"/>
    </w:pPr>
    <w:rPr>
      <w:rFonts w:cs="Calibri"/>
      <w:sz w:val="20"/>
    </w:rPr>
  </w:style>
  <w:style w:type="paragraph" w:styleId="4">
    <w:name w:val="table of authorities"/>
    <w:basedOn w:val="1"/>
    <w:next w:val="1"/>
    <w:qFormat/>
    <w:uiPriority w:val="0"/>
    <w:pPr>
      <w:ind w:left="420" w:leftChars="200"/>
    </w:pPr>
  </w:style>
  <w:style w:type="paragraph" w:styleId="5">
    <w:name w:val="Normal Indent"/>
    <w:basedOn w:val="1"/>
    <w:next w:val="1"/>
    <w:qFormat/>
    <w:uiPriority w:val="99"/>
  </w:style>
  <w:style w:type="paragraph" w:styleId="6">
    <w:name w:val="Balloon Text"/>
    <w:basedOn w:val="1"/>
    <w:link w:val="28"/>
    <w:semiHidden/>
    <w:unhideWhenUsed/>
    <w:qFormat/>
    <w:uiPriority w:val="99"/>
    <w:pPr>
      <w:spacing w:after="0" w:line="240" w:lineRule="auto"/>
    </w:pPr>
    <w:rPr>
      <w:rFonts w:ascii="宋体" w:eastAsia="宋体"/>
      <w:sz w:val="18"/>
      <w:szCs w:val="18"/>
    </w:rPr>
  </w:style>
  <w:style w:type="paragraph" w:styleId="7">
    <w:name w:val="footer"/>
    <w:basedOn w:val="1"/>
    <w:next w:val="8"/>
    <w:link w:val="23"/>
    <w:unhideWhenUsed/>
    <w:qFormat/>
    <w:uiPriority w:val="99"/>
    <w:pPr>
      <w:tabs>
        <w:tab w:val="center" w:pos="4320"/>
        <w:tab w:val="right" w:pos="8640"/>
      </w:tabs>
      <w:spacing w:after="0" w:line="240" w:lineRule="auto"/>
    </w:pPr>
  </w:style>
  <w:style w:type="paragraph" w:customStyle="1" w:styleId="8">
    <w:name w:val="索引 51"/>
    <w:basedOn w:val="1"/>
    <w:next w:val="1"/>
    <w:qFormat/>
    <w:uiPriority w:val="0"/>
    <w:pPr>
      <w:ind w:left="1680"/>
    </w:pPr>
  </w:style>
  <w:style w:type="paragraph" w:styleId="9">
    <w:name w:val="header"/>
    <w:basedOn w:val="1"/>
    <w:link w:val="22"/>
    <w:unhideWhenUsed/>
    <w:qFormat/>
    <w:uiPriority w:val="99"/>
    <w:pPr>
      <w:tabs>
        <w:tab w:val="center" w:pos="4320"/>
        <w:tab w:val="right" w:pos="8640"/>
      </w:tabs>
      <w:spacing w:after="0" w:line="240" w:lineRule="auto"/>
    </w:pPr>
  </w:style>
  <w:style w:type="paragraph" w:styleId="10">
    <w:name w:val="index 7"/>
    <w:basedOn w:val="1"/>
    <w:next w:val="1"/>
    <w:semiHidden/>
    <w:unhideWhenUsed/>
    <w:qFormat/>
    <w:uiPriority w:val="99"/>
    <w:pPr>
      <w:spacing w:after="0" w:line="240" w:lineRule="auto"/>
      <w:ind w:left="1540" w:hanging="220"/>
    </w:pPr>
  </w:style>
  <w:style w:type="paragraph" w:styleId="11">
    <w:name w:val="Message Header"/>
    <w:basedOn w:val="1"/>
    <w:next w:val="1"/>
    <w:qFormat/>
    <w:uiPriority w:val="0"/>
    <w:pPr>
      <w:widowControl w:val="0"/>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both"/>
    </w:pPr>
    <w:rPr>
      <w:rFonts w:ascii="Cambria" w:hAnsi="Cambria" w:eastAsia="宋体" w:cs="Times New Roman"/>
      <w:kern w:val="2"/>
      <w:sz w:val="24"/>
      <w:szCs w:val="24"/>
    </w:rPr>
  </w:style>
  <w:style w:type="paragraph" w:styleId="12">
    <w:name w:val="Body Text First Indent"/>
    <w:basedOn w:val="2"/>
    <w:unhideWhenUsed/>
    <w:qFormat/>
    <w:uiPriority w:val="99"/>
    <w:pPr>
      <w:spacing w:after="120"/>
      <w:ind w:firstLine="420" w:firstLineChars="100"/>
    </w:pPr>
    <w:rPr>
      <w:szCs w:val="21"/>
    </w:r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FollowedHyperlink"/>
    <w:basedOn w:val="15"/>
    <w:semiHidden/>
    <w:unhideWhenUsed/>
    <w:qFormat/>
    <w:uiPriority w:val="99"/>
    <w:rPr>
      <w:color w:val="800080"/>
      <w:u w:val="single"/>
    </w:rPr>
  </w:style>
  <w:style w:type="character" w:styleId="17">
    <w:name w:val="Emphasis"/>
    <w:basedOn w:val="15"/>
    <w:qFormat/>
    <w:uiPriority w:val="20"/>
    <w:rPr>
      <w:i/>
      <w:iCs/>
    </w:rPr>
  </w:style>
  <w:style w:type="character" w:styleId="18">
    <w:name w:val="Hyperlink"/>
    <w:basedOn w:val="15"/>
    <w:unhideWhenUsed/>
    <w:qFormat/>
    <w:uiPriority w:val="99"/>
    <w:rPr>
      <w:color w:val="0000FF" w:themeColor="hyperlink"/>
      <w:u w:val="single"/>
      <w14:textFill>
        <w14:solidFill>
          <w14:schemeClr w14:val="hlink"/>
        </w14:solidFill>
      </w14:textFill>
    </w:rPr>
  </w:style>
  <w:style w:type="paragraph" w:customStyle="1" w:styleId="19">
    <w:name w:val="Default"/>
    <w:qFormat/>
    <w:uiPriority w:val="0"/>
    <w:pPr>
      <w:widowControl w:val="0"/>
      <w:autoSpaceDE w:val="0"/>
      <w:autoSpaceDN w:val="0"/>
      <w:adjustRightInd w:val="0"/>
      <w:spacing w:after="200" w:line="276" w:lineRule="auto"/>
    </w:pPr>
    <w:rPr>
      <w:rFonts w:ascii="仿宋_GB2312" w:hAnsi="Calibri" w:eastAsia="仿宋_GB2312" w:cs="仿宋_GB2312"/>
      <w:color w:val="000000"/>
      <w:sz w:val="24"/>
      <w:szCs w:val="24"/>
      <w:lang w:val="en-US" w:eastAsia="zh-CN" w:bidi="ar-SA"/>
    </w:rPr>
  </w:style>
  <w:style w:type="paragraph" w:customStyle="1" w:styleId="20">
    <w:name w:val="默认"/>
    <w:qFormat/>
    <w:uiPriority w:val="0"/>
    <w:pPr>
      <w:spacing w:after="200" w:line="276" w:lineRule="auto"/>
    </w:pPr>
    <w:rPr>
      <w:rFonts w:ascii="Helvetica" w:hAnsi="Helvetica" w:eastAsia="Helvetica" w:cs="Helvetica"/>
      <w:color w:val="000000"/>
      <w:sz w:val="22"/>
      <w:szCs w:val="22"/>
      <w:lang w:val="en-US" w:eastAsia="zh-CN" w:bidi="ar-SA"/>
    </w:rPr>
  </w:style>
  <w:style w:type="paragraph" w:customStyle="1" w:styleId="21">
    <w:name w:val="UserStyle_6"/>
    <w:basedOn w:val="1"/>
    <w:next w:val="1"/>
    <w:qFormat/>
    <w:uiPriority w:val="0"/>
    <w:pPr>
      <w:ind w:left="1680"/>
    </w:pPr>
  </w:style>
  <w:style w:type="character" w:customStyle="1" w:styleId="22">
    <w:name w:val="页眉 Char"/>
    <w:basedOn w:val="15"/>
    <w:link w:val="9"/>
    <w:qFormat/>
    <w:uiPriority w:val="99"/>
    <w:rPr>
      <w:sz w:val="22"/>
      <w:szCs w:val="22"/>
    </w:rPr>
  </w:style>
  <w:style w:type="character" w:customStyle="1" w:styleId="23">
    <w:name w:val="页脚 Char"/>
    <w:basedOn w:val="15"/>
    <w:link w:val="7"/>
    <w:qFormat/>
    <w:uiPriority w:val="99"/>
    <w:rPr>
      <w:sz w:val="22"/>
      <w:szCs w:val="22"/>
    </w:rPr>
  </w:style>
  <w:style w:type="paragraph" w:styleId="24">
    <w:name w:val="List Paragraph"/>
    <w:basedOn w:val="1"/>
    <w:unhideWhenUsed/>
    <w:qFormat/>
    <w:uiPriority w:val="99"/>
    <w:pPr>
      <w:ind w:left="720"/>
      <w:contextualSpacing/>
    </w:pPr>
  </w:style>
  <w:style w:type="character" w:customStyle="1" w:styleId="25">
    <w:name w:val="正文文本 Char"/>
    <w:basedOn w:val="15"/>
    <w:link w:val="2"/>
    <w:qFormat/>
    <w:uiPriority w:val="0"/>
    <w:rPr>
      <w:rFonts w:ascii="Times New Roman" w:hAnsi="Times New Roman" w:eastAsia="仿宋_GB2312" w:cs="Times New Roman"/>
      <w:sz w:val="32"/>
    </w:rPr>
  </w:style>
  <w:style w:type="character" w:customStyle="1" w:styleId="26">
    <w:name w:val="NormalCharacter"/>
    <w:qFormat/>
    <w:uiPriority w:val="0"/>
    <w:rPr>
      <w:rFonts w:ascii="Times New Roman" w:hAnsi="Times New Roman" w:eastAsia="宋体" w:cs="Times New Roman"/>
      <w:kern w:val="2"/>
      <w:sz w:val="21"/>
      <w:szCs w:val="22"/>
      <w:lang w:val="en-US" w:eastAsia="zh-CN" w:bidi="ar-SA"/>
    </w:rPr>
  </w:style>
  <w:style w:type="paragraph" w:customStyle="1" w:styleId="27">
    <w:name w:val="NormalIndent"/>
    <w:basedOn w:val="1"/>
    <w:next w:val="1"/>
    <w:qFormat/>
    <w:uiPriority w:val="0"/>
    <w:pPr>
      <w:widowControl w:val="0"/>
      <w:ind w:firstLine="420" w:firstLineChars="200"/>
      <w:jc w:val="both"/>
      <w:textAlignment w:val="baseline"/>
    </w:pPr>
    <w:rPr>
      <w:rFonts w:ascii="Calibri" w:hAnsi="Calibri" w:eastAsia="方正仿宋_GBK" w:cs="Times New Roman"/>
      <w:kern w:val="2"/>
      <w:sz w:val="32"/>
      <w:szCs w:val="20"/>
    </w:rPr>
  </w:style>
  <w:style w:type="character" w:customStyle="1" w:styleId="28">
    <w:name w:val="批注框文本 Char"/>
    <w:basedOn w:val="15"/>
    <w:link w:val="6"/>
    <w:semiHidden/>
    <w:qFormat/>
    <w:uiPriority w:val="99"/>
    <w:rPr>
      <w:rFonts w:ascii="宋体" w:eastAsia="宋体"/>
      <w:sz w:val="18"/>
      <w:szCs w:val="18"/>
    </w:rPr>
  </w:style>
  <w:style w:type="character" w:customStyle="1" w:styleId="29">
    <w:name w:val="font131"/>
    <w:basedOn w:val="15"/>
    <w:qFormat/>
    <w:uiPriority w:val="0"/>
    <w:rPr>
      <w:rFonts w:hint="eastAsia" w:ascii="宋体" w:hAnsi="宋体" w:eastAsia="宋体" w:cs="宋体"/>
      <w:color w:val="000000"/>
      <w:sz w:val="24"/>
      <w:szCs w:val="24"/>
      <w:u w:val="none"/>
    </w:rPr>
  </w:style>
  <w:style w:type="character" w:customStyle="1" w:styleId="30">
    <w:name w:val="font141"/>
    <w:basedOn w:val="15"/>
    <w:qFormat/>
    <w:uiPriority w:val="0"/>
    <w:rPr>
      <w:rFonts w:hint="default" w:ascii="Times New Roman" w:hAnsi="Times New Roman" w:cs="Times New Roman"/>
      <w:color w:val="000000"/>
      <w:sz w:val="24"/>
      <w:szCs w:val="24"/>
      <w:u w:val="none"/>
    </w:rPr>
  </w:style>
  <w:style w:type="character" w:customStyle="1" w:styleId="31">
    <w:name w:val="font351"/>
    <w:basedOn w:val="15"/>
    <w:qFormat/>
    <w:uiPriority w:val="0"/>
    <w:rPr>
      <w:rFonts w:hint="default" w:ascii="Times New Roman" w:hAnsi="Times New Roman" w:cs="Times New Roman"/>
      <w:color w:val="000000"/>
      <w:sz w:val="40"/>
      <w:szCs w:val="40"/>
      <w:u w:val="none"/>
    </w:rPr>
  </w:style>
  <w:style w:type="character" w:customStyle="1" w:styleId="32">
    <w:name w:val="font201"/>
    <w:basedOn w:val="15"/>
    <w:qFormat/>
    <w:uiPriority w:val="0"/>
    <w:rPr>
      <w:rFonts w:hint="eastAsia" w:ascii="宋体" w:hAnsi="宋体" w:eastAsia="宋体" w:cs="宋体"/>
      <w:color w:val="000000"/>
      <w:sz w:val="40"/>
      <w:szCs w:val="40"/>
      <w:u w:val="none"/>
    </w:rPr>
  </w:style>
  <w:style w:type="character" w:customStyle="1" w:styleId="33">
    <w:name w:val="font312"/>
    <w:basedOn w:val="15"/>
    <w:qFormat/>
    <w:uiPriority w:val="0"/>
    <w:rPr>
      <w:rFonts w:ascii="方正黑体_GBK" w:hAnsi="方正黑体_GBK" w:eastAsia="方正黑体_GBK" w:cs="方正黑体_GBK"/>
      <w:color w:val="000000"/>
      <w:sz w:val="24"/>
      <w:szCs w:val="24"/>
      <w:u w:val="none"/>
    </w:rPr>
  </w:style>
  <w:style w:type="character" w:customStyle="1" w:styleId="34">
    <w:name w:val="font91"/>
    <w:basedOn w:val="15"/>
    <w:qFormat/>
    <w:uiPriority w:val="0"/>
    <w:rPr>
      <w:rFonts w:hint="eastAsia" w:ascii="宋体" w:hAnsi="宋体" w:eastAsia="宋体" w:cs="宋体"/>
      <w:b/>
      <w:color w:val="000000"/>
      <w:sz w:val="24"/>
      <w:szCs w:val="24"/>
      <w:u w:val="none"/>
    </w:rPr>
  </w:style>
  <w:style w:type="character" w:customStyle="1" w:styleId="35">
    <w:name w:val="font331"/>
    <w:basedOn w:val="15"/>
    <w:qFormat/>
    <w:uiPriority w:val="0"/>
    <w:rPr>
      <w:rFonts w:hint="default" w:ascii="Times New Roman" w:hAnsi="Times New Roman" w:cs="Times New Roman"/>
      <w:b/>
      <w:color w:val="000000"/>
      <w:sz w:val="24"/>
      <w:szCs w:val="24"/>
      <w:u w:val="none"/>
    </w:rPr>
  </w:style>
  <w:style w:type="character" w:customStyle="1" w:styleId="36">
    <w:name w:val="font301"/>
    <w:basedOn w:val="15"/>
    <w:qFormat/>
    <w:uiPriority w:val="0"/>
    <w:rPr>
      <w:rFonts w:hint="eastAsia" w:ascii="宋体" w:hAnsi="宋体" w:eastAsia="宋体" w:cs="宋体"/>
      <w:color w:val="000000"/>
      <w:sz w:val="24"/>
      <w:szCs w:val="24"/>
      <w:u w:val="none"/>
    </w:rPr>
  </w:style>
  <w:style w:type="character" w:customStyle="1" w:styleId="37">
    <w:name w:val="font22"/>
    <w:basedOn w:val="15"/>
    <w:qFormat/>
    <w:uiPriority w:val="0"/>
    <w:rPr>
      <w:rFonts w:ascii="方正书宋_GBK" w:hAnsi="方正书宋_GBK" w:eastAsia="方正书宋_GBK" w:cs="方正书宋_GBK"/>
      <w:color w:val="000000"/>
      <w:sz w:val="24"/>
      <w:szCs w:val="24"/>
      <w:u w:val="none"/>
    </w:rPr>
  </w:style>
  <w:style w:type="character" w:customStyle="1" w:styleId="38">
    <w:name w:val="font341"/>
    <w:basedOn w:val="15"/>
    <w:qFormat/>
    <w:uiPriority w:val="0"/>
    <w:rPr>
      <w:rFonts w:hint="default" w:ascii="Times New Roman" w:hAnsi="Times New Roman" w:cs="Times New Roman"/>
      <w:color w:val="000000"/>
      <w:sz w:val="24"/>
      <w:szCs w:val="24"/>
      <w:u w:val="none"/>
    </w:rPr>
  </w:style>
  <w:style w:type="character" w:customStyle="1" w:styleId="39">
    <w:name w:val="font61"/>
    <w:basedOn w:val="15"/>
    <w:qFormat/>
    <w:uiPriority w:val="0"/>
    <w:rPr>
      <w:rFonts w:hint="eastAsia" w:ascii="宋体" w:hAnsi="宋体" w:eastAsia="宋体" w:cs="宋体"/>
      <w:color w:val="000000"/>
      <w:sz w:val="22"/>
      <w:szCs w:val="22"/>
      <w:u w:val="none"/>
    </w:rPr>
  </w:style>
  <w:style w:type="character" w:customStyle="1" w:styleId="40">
    <w:name w:val="font321"/>
    <w:basedOn w:val="15"/>
    <w:qFormat/>
    <w:uiPriority w:val="0"/>
    <w:rPr>
      <w:rFonts w:hint="default" w:ascii="Times New Roman" w:hAnsi="Times New Roman" w:cs="Times New Roman"/>
      <w:color w:val="000000"/>
      <w:sz w:val="22"/>
      <w:szCs w:val="22"/>
      <w:u w:val="none"/>
    </w:rPr>
  </w:style>
  <w:style w:type="character" w:customStyle="1" w:styleId="41">
    <w:name w:val="font191"/>
    <w:basedOn w:val="15"/>
    <w:qFormat/>
    <w:uiPriority w:val="0"/>
    <w:rPr>
      <w:rFonts w:hint="eastAsia" w:ascii="宋体" w:hAnsi="宋体" w:eastAsia="宋体" w:cs="宋体"/>
      <w:color w:val="000000"/>
      <w:sz w:val="24"/>
      <w:szCs w:val="24"/>
      <w:u w:val="none"/>
    </w:rPr>
  </w:style>
  <w:style w:type="character" w:customStyle="1" w:styleId="42">
    <w:name w:val="font81"/>
    <w:basedOn w:val="15"/>
    <w:qFormat/>
    <w:uiPriority w:val="0"/>
    <w:rPr>
      <w:rFonts w:hint="default" w:ascii="Times New Roman" w:hAnsi="Times New Roman" w:cs="Times New Roman"/>
      <w:color w:val="000000"/>
      <w:sz w:val="24"/>
      <w:szCs w:val="24"/>
      <w:u w:val="none"/>
    </w:rPr>
  </w:style>
  <w:style w:type="character" w:customStyle="1" w:styleId="43">
    <w:name w:val="font12"/>
    <w:basedOn w:val="15"/>
    <w:qFormat/>
    <w:uiPriority w:val="0"/>
    <w:rPr>
      <w:rFonts w:hint="eastAsia" w:ascii="宋体" w:hAnsi="宋体" w:eastAsia="宋体" w:cs="宋体"/>
      <w:color w:val="000000"/>
      <w:sz w:val="24"/>
      <w:szCs w:val="24"/>
      <w:u w:val="none"/>
    </w:rPr>
  </w:style>
  <w:style w:type="character" w:customStyle="1" w:styleId="44">
    <w:name w:val="font231"/>
    <w:basedOn w:val="15"/>
    <w:qFormat/>
    <w:uiPriority w:val="0"/>
    <w:rPr>
      <w:rFonts w:hint="default" w:ascii="Times New Roman" w:hAnsi="Times New Roman" w:cs="Times New Roman"/>
      <w:b/>
      <w:color w:val="000000"/>
      <w:sz w:val="22"/>
      <w:szCs w:val="22"/>
      <w:u w:val="none"/>
    </w:rPr>
  </w:style>
  <w:style w:type="character" w:customStyle="1" w:styleId="45">
    <w:name w:val="font181"/>
    <w:basedOn w:val="15"/>
    <w:qFormat/>
    <w:uiPriority w:val="0"/>
    <w:rPr>
      <w:rFonts w:hint="eastAsia" w:ascii="宋体" w:hAnsi="宋体" w:eastAsia="宋体" w:cs="宋体"/>
      <w:b/>
      <w:color w:val="000000"/>
      <w:sz w:val="22"/>
      <w:szCs w:val="22"/>
      <w:u w:val="none"/>
    </w:rPr>
  </w:style>
  <w:style w:type="character" w:customStyle="1" w:styleId="46">
    <w:name w:val="font222"/>
    <w:basedOn w:val="15"/>
    <w:qFormat/>
    <w:uiPriority w:val="0"/>
    <w:rPr>
      <w:rFonts w:hint="eastAsia" w:ascii="宋体" w:hAnsi="宋体" w:eastAsia="宋体" w:cs="宋体"/>
      <w:color w:val="000000"/>
      <w:sz w:val="28"/>
      <w:szCs w:val="28"/>
      <w:u w:val="none"/>
    </w:rPr>
  </w:style>
  <w:style w:type="character" w:customStyle="1" w:styleId="47">
    <w:name w:val="font51"/>
    <w:basedOn w:val="15"/>
    <w:qFormat/>
    <w:uiPriority w:val="0"/>
    <w:rPr>
      <w:rFonts w:hint="default" w:ascii="Times New Roman" w:hAnsi="Times New Roman" w:cs="Times New Roman"/>
      <w:color w:val="000000"/>
      <w:sz w:val="28"/>
      <w:szCs w:val="28"/>
      <w:u w:val="none"/>
    </w:rPr>
  </w:style>
  <w:style w:type="character" w:customStyle="1" w:styleId="48">
    <w:name w:val="font41"/>
    <w:basedOn w:val="15"/>
    <w:qFormat/>
    <w:uiPriority w:val="0"/>
    <w:rPr>
      <w:rFonts w:hint="eastAsia" w:ascii="宋体" w:hAnsi="宋体" w:eastAsia="宋体" w:cs="宋体"/>
      <w:color w:val="000000"/>
      <w:sz w:val="24"/>
      <w:szCs w:val="24"/>
      <w:u w:val="none"/>
    </w:rPr>
  </w:style>
  <w:style w:type="character" w:customStyle="1" w:styleId="49">
    <w:name w:val="font31"/>
    <w:basedOn w:val="15"/>
    <w:qFormat/>
    <w:uiPriority w:val="0"/>
    <w:rPr>
      <w:rFonts w:hint="default" w:ascii="Times New Roman" w:hAnsi="Times New Roman" w:cs="Times New Roman"/>
      <w:color w:val="000000"/>
      <w:sz w:val="24"/>
      <w:szCs w:val="24"/>
      <w:u w:val="none"/>
    </w:rPr>
  </w:style>
  <w:style w:type="character" w:customStyle="1" w:styleId="50">
    <w:name w:val="font101"/>
    <w:basedOn w:val="15"/>
    <w:qFormat/>
    <w:uiPriority w:val="0"/>
    <w:rPr>
      <w:rFonts w:hint="eastAsia" w:ascii="宋体" w:hAnsi="宋体" w:eastAsia="宋体" w:cs="宋体"/>
      <w:color w:val="000000"/>
      <w:sz w:val="24"/>
      <w:szCs w:val="24"/>
      <w:u w:val="none"/>
    </w:rPr>
  </w:style>
  <w:style w:type="character" w:customStyle="1" w:styleId="51">
    <w:name w:val="font151"/>
    <w:basedOn w:val="15"/>
    <w:qFormat/>
    <w:uiPriority w:val="0"/>
    <w:rPr>
      <w:rFonts w:hint="default" w:ascii="Times New Roman" w:hAnsi="Times New Roman" w:cs="Times New Roman"/>
      <w:color w:val="000000"/>
      <w:sz w:val="24"/>
      <w:szCs w:val="24"/>
      <w:u w:val="none"/>
    </w:rPr>
  </w:style>
  <w:style w:type="paragraph" w:customStyle="1" w:styleId="52">
    <w:name w:val="UserStyle_0"/>
    <w:qFormat/>
    <w:uiPriority w:val="0"/>
    <w:pPr>
      <w:spacing w:after="200" w:line="540" w:lineRule="exact"/>
    </w:pPr>
    <w:rPr>
      <w:rFonts w:asciiTheme="minorHAnsi" w:hAnsiTheme="minorHAnsi" w:eastAsiaTheme="minorEastAsia" w:cstheme="minorBidi"/>
      <w:color w:val="000000"/>
      <w:kern w:val="2"/>
      <w:sz w:val="21"/>
      <w:szCs w:val="24"/>
      <w:lang w:val="en-US" w:eastAsia="zh-CN" w:bidi="ar-SA"/>
    </w:rPr>
  </w:style>
  <w:style w:type="character" w:customStyle="1" w:styleId="53">
    <w:name w:val="font121"/>
    <w:basedOn w:val="15"/>
    <w:qFormat/>
    <w:uiPriority w:val="0"/>
    <w:rPr>
      <w:rFonts w:ascii="方正黑体_GBK" w:hAnsi="方正黑体_GBK" w:eastAsia="方正黑体_GBK" w:cs="方正黑体_GBK"/>
      <w:b/>
      <w:color w:val="000000"/>
      <w:sz w:val="24"/>
      <w:szCs w:val="24"/>
      <w:u w:val="none"/>
    </w:rPr>
  </w:style>
  <w:style w:type="character" w:customStyle="1" w:styleId="54">
    <w:name w:val="font311"/>
    <w:basedOn w:val="15"/>
    <w:qFormat/>
    <w:uiPriority w:val="0"/>
    <w:rPr>
      <w:rFonts w:hint="eastAsia" w:ascii="宋体" w:hAnsi="宋体" w:eastAsia="宋体" w:cs="宋体"/>
      <w:color w:val="000000"/>
      <w:sz w:val="24"/>
      <w:szCs w:val="24"/>
      <w:u w:val="none"/>
    </w:rPr>
  </w:style>
  <w:style w:type="character" w:customStyle="1" w:styleId="55">
    <w:name w:val="font112"/>
    <w:basedOn w:val="15"/>
    <w:qFormat/>
    <w:uiPriority w:val="0"/>
    <w:rPr>
      <w:rFonts w:ascii="方正书宋_GBK" w:hAnsi="方正书宋_GBK" w:eastAsia="方正书宋_GBK" w:cs="方正书宋_GBK"/>
      <w:color w:val="000000"/>
      <w:sz w:val="24"/>
      <w:szCs w:val="24"/>
      <w:u w:val="none"/>
    </w:rPr>
  </w:style>
  <w:style w:type="character" w:customStyle="1" w:styleId="56">
    <w:name w:val="font32"/>
    <w:basedOn w:val="15"/>
    <w:qFormat/>
    <w:uiPriority w:val="0"/>
    <w:rPr>
      <w:rFonts w:hint="default" w:ascii="Times New Roman" w:hAnsi="Times New Roman" w:cs="Times New Roman"/>
      <w:color w:val="000000"/>
      <w:sz w:val="24"/>
      <w:szCs w:val="24"/>
      <w:u w:val="none"/>
    </w:rPr>
  </w:style>
  <w:style w:type="character" w:customStyle="1" w:styleId="57">
    <w:name w:val="font241"/>
    <w:basedOn w:val="15"/>
    <w:qFormat/>
    <w:uiPriority w:val="0"/>
    <w:rPr>
      <w:rFonts w:hint="eastAsia" w:ascii="宋体" w:hAnsi="宋体" w:eastAsia="宋体" w:cs="宋体"/>
      <w:color w:val="000000"/>
      <w:sz w:val="22"/>
      <w:szCs w:val="22"/>
      <w:u w:val="none"/>
    </w:rPr>
  </w:style>
  <w:style w:type="character" w:customStyle="1" w:styleId="58">
    <w:name w:val="font11"/>
    <w:basedOn w:val="15"/>
    <w:qFormat/>
    <w:uiPriority w:val="0"/>
    <w:rPr>
      <w:rFonts w:hint="default" w:ascii="Times New Roman" w:hAnsi="Times New Roman" w:cs="Times New Roman"/>
      <w:color w:val="000000"/>
      <w:sz w:val="22"/>
      <w:szCs w:val="22"/>
      <w:u w:val="none"/>
    </w:rPr>
  </w:style>
  <w:style w:type="character" w:customStyle="1" w:styleId="59">
    <w:name w:val="font281"/>
    <w:basedOn w:val="15"/>
    <w:qFormat/>
    <w:uiPriority w:val="0"/>
    <w:rPr>
      <w:rFonts w:hint="eastAsia" w:ascii="宋体" w:hAnsi="宋体" w:eastAsia="宋体" w:cs="宋体"/>
      <w:color w:val="000000"/>
      <w:sz w:val="24"/>
      <w:szCs w:val="24"/>
      <w:u w:val="none"/>
    </w:rPr>
  </w:style>
  <w:style w:type="character" w:customStyle="1" w:styleId="60">
    <w:name w:val="font161"/>
    <w:basedOn w:val="15"/>
    <w:qFormat/>
    <w:uiPriority w:val="0"/>
    <w:rPr>
      <w:rFonts w:hint="default" w:ascii="Times New Roman" w:hAnsi="Times New Roman" w:cs="Times New Roman"/>
      <w:color w:val="000000"/>
      <w:sz w:val="24"/>
      <w:szCs w:val="24"/>
      <w:u w:val="none"/>
    </w:rPr>
  </w:style>
  <w:style w:type="character" w:customStyle="1" w:styleId="61">
    <w:name w:val="font271"/>
    <w:basedOn w:val="15"/>
    <w:qFormat/>
    <w:uiPriority w:val="0"/>
    <w:rPr>
      <w:rFonts w:hint="eastAsia" w:ascii="宋体" w:hAnsi="宋体" w:eastAsia="宋体" w:cs="宋体"/>
      <w:color w:val="171A1D"/>
      <w:sz w:val="21"/>
      <w:szCs w:val="21"/>
      <w:u w:val="none"/>
    </w:rPr>
  </w:style>
  <w:style w:type="character" w:customStyle="1" w:styleId="62">
    <w:name w:val="font171"/>
    <w:basedOn w:val="15"/>
    <w:qFormat/>
    <w:uiPriority w:val="0"/>
    <w:rPr>
      <w:rFonts w:hint="default" w:ascii="Times New Roman" w:hAnsi="Times New Roman" w:cs="Times New Roman"/>
      <w:b/>
      <w:color w:val="000000"/>
      <w:sz w:val="22"/>
      <w:szCs w:val="22"/>
      <w:u w:val="none"/>
    </w:rPr>
  </w:style>
  <w:style w:type="character" w:customStyle="1" w:styleId="63">
    <w:name w:val="font211"/>
    <w:basedOn w:val="15"/>
    <w:qFormat/>
    <w:uiPriority w:val="0"/>
    <w:rPr>
      <w:rFonts w:hint="eastAsia" w:ascii="宋体" w:hAnsi="宋体" w:eastAsia="宋体" w:cs="宋体"/>
      <w:color w:val="000000"/>
      <w:sz w:val="28"/>
      <w:szCs w:val="28"/>
      <w:u w:val="none"/>
    </w:rPr>
  </w:style>
  <w:style w:type="character" w:customStyle="1" w:styleId="64">
    <w:name w:val="font71"/>
    <w:basedOn w:val="15"/>
    <w:qFormat/>
    <w:uiPriority w:val="0"/>
    <w:rPr>
      <w:rFonts w:hint="default" w:ascii="Times New Roman" w:hAnsi="Times New Roman" w:cs="Times New Roman"/>
      <w:b/>
      <w:color w:val="000000"/>
      <w:sz w:val="24"/>
      <w:szCs w:val="24"/>
      <w:u w:val="none"/>
    </w:rPr>
  </w:style>
  <w:style w:type="character" w:customStyle="1" w:styleId="65">
    <w:name w:val="font21"/>
    <w:basedOn w:val="15"/>
    <w:qFormat/>
    <w:uiPriority w:val="0"/>
    <w:rPr>
      <w:rFonts w:hint="default" w:ascii="Times New Roman" w:hAnsi="Times New Roman" w:cs="Times New Roman"/>
      <w:color w:val="000000"/>
      <w:sz w:val="24"/>
      <w:szCs w:val="24"/>
      <w:u w:val="none"/>
    </w:rPr>
  </w:style>
  <w:style w:type="paragraph" w:customStyle="1" w:styleId="66">
    <w:name w:val="msonormal"/>
    <w:basedOn w:val="1"/>
    <w:qFormat/>
    <w:uiPriority w:val="0"/>
    <w:pPr>
      <w:spacing w:before="100" w:beforeAutospacing="1" w:after="100" w:afterAutospacing="1" w:line="240" w:lineRule="auto"/>
    </w:pPr>
    <w:rPr>
      <w:rFonts w:ascii="宋体" w:hAnsi="宋体" w:eastAsia="宋体" w:cs="宋体"/>
      <w:sz w:val="24"/>
      <w:szCs w:val="24"/>
    </w:rPr>
  </w:style>
  <w:style w:type="paragraph" w:customStyle="1" w:styleId="67">
    <w:name w:val="font5"/>
    <w:basedOn w:val="1"/>
    <w:qFormat/>
    <w:uiPriority w:val="0"/>
    <w:pPr>
      <w:spacing w:before="100" w:beforeAutospacing="1" w:after="100" w:afterAutospacing="1" w:line="240" w:lineRule="auto"/>
    </w:pPr>
    <w:rPr>
      <w:rFonts w:ascii="Times New Roman" w:hAnsi="Times New Roman" w:eastAsia="宋体" w:cs="Times New Roman"/>
      <w:color w:val="000000"/>
      <w:sz w:val="24"/>
      <w:szCs w:val="24"/>
    </w:rPr>
  </w:style>
  <w:style w:type="paragraph" w:customStyle="1" w:styleId="68">
    <w:name w:val="font6"/>
    <w:basedOn w:val="1"/>
    <w:qFormat/>
    <w:uiPriority w:val="0"/>
    <w:pPr>
      <w:spacing w:before="100" w:beforeAutospacing="1" w:after="100" w:afterAutospacing="1" w:line="240" w:lineRule="auto"/>
    </w:pPr>
    <w:rPr>
      <w:rFonts w:ascii="Times New Roman" w:hAnsi="Times New Roman" w:eastAsia="宋体" w:cs="Times New Roman"/>
      <w:b/>
      <w:bCs/>
      <w:color w:val="000000"/>
      <w:sz w:val="24"/>
      <w:szCs w:val="24"/>
    </w:rPr>
  </w:style>
  <w:style w:type="paragraph" w:customStyle="1" w:styleId="69">
    <w:name w:val="font7"/>
    <w:basedOn w:val="1"/>
    <w:qFormat/>
    <w:uiPriority w:val="0"/>
    <w:pPr>
      <w:spacing w:before="100" w:beforeAutospacing="1" w:after="100" w:afterAutospacing="1" w:line="240" w:lineRule="auto"/>
    </w:pPr>
    <w:rPr>
      <w:rFonts w:ascii="宋体" w:hAnsi="宋体" w:eastAsia="宋体" w:cs="宋体"/>
      <w:color w:val="000000"/>
      <w:sz w:val="24"/>
      <w:szCs w:val="24"/>
    </w:rPr>
  </w:style>
  <w:style w:type="paragraph" w:customStyle="1" w:styleId="70">
    <w:name w:val="font8"/>
    <w:basedOn w:val="1"/>
    <w:qFormat/>
    <w:uiPriority w:val="0"/>
    <w:pPr>
      <w:spacing w:before="100" w:beforeAutospacing="1" w:after="100" w:afterAutospacing="1" w:line="240" w:lineRule="auto"/>
    </w:pPr>
    <w:rPr>
      <w:rFonts w:ascii="宋体" w:hAnsi="宋体" w:eastAsia="宋体" w:cs="宋体"/>
      <w:b/>
      <w:bCs/>
      <w:color w:val="000000"/>
      <w:sz w:val="24"/>
      <w:szCs w:val="24"/>
    </w:rPr>
  </w:style>
  <w:style w:type="paragraph" w:customStyle="1" w:styleId="71">
    <w:name w:val="font9"/>
    <w:basedOn w:val="1"/>
    <w:qFormat/>
    <w:uiPriority w:val="0"/>
    <w:pPr>
      <w:spacing w:before="100" w:beforeAutospacing="1" w:after="100" w:afterAutospacing="1" w:line="240" w:lineRule="auto"/>
    </w:pPr>
    <w:rPr>
      <w:rFonts w:ascii="方正黑体_GBK" w:hAnsi="宋体" w:eastAsia="方正黑体_GBK" w:cs="宋体"/>
      <w:b/>
      <w:bCs/>
      <w:color w:val="000000"/>
      <w:sz w:val="24"/>
      <w:szCs w:val="24"/>
    </w:rPr>
  </w:style>
  <w:style w:type="paragraph" w:customStyle="1" w:styleId="72">
    <w:name w:val="font10"/>
    <w:basedOn w:val="1"/>
    <w:qFormat/>
    <w:uiPriority w:val="0"/>
    <w:pPr>
      <w:spacing w:before="100" w:beforeAutospacing="1" w:after="100" w:afterAutospacing="1" w:line="240" w:lineRule="auto"/>
    </w:pPr>
    <w:rPr>
      <w:rFonts w:ascii="汉仪书宋二KW" w:hAnsi="宋体" w:eastAsia="汉仪书宋二KW" w:cs="宋体"/>
      <w:color w:val="000000"/>
      <w:sz w:val="24"/>
      <w:szCs w:val="24"/>
    </w:rPr>
  </w:style>
  <w:style w:type="paragraph" w:customStyle="1" w:styleId="73">
    <w:name w:val="xl67"/>
    <w:basedOn w:val="1"/>
    <w:qFormat/>
    <w:uiPriority w:val="0"/>
    <w:pPr>
      <w:spacing w:before="100" w:beforeAutospacing="1" w:after="100" w:afterAutospacing="1" w:line="240" w:lineRule="auto"/>
    </w:pPr>
    <w:rPr>
      <w:rFonts w:ascii="Times New Roman" w:hAnsi="Times New Roman" w:eastAsia="宋体" w:cs="Times New Roman"/>
      <w:sz w:val="24"/>
      <w:szCs w:val="24"/>
    </w:rPr>
  </w:style>
  <w:style w:type="paragraph" w:customStyle="1" w:styleId="74">
    <w:name w:val="xl68"/>
    <w:basedOn w:val="1"/>
    <w:qFormat/>
    <w:uiPriority w:val="0"/>
    <w:pPr>
      <w:spacing w:before="100" w:beforeAutospacing="1" w:after="100" w:afterAutospacing="1" w:line="240" w:lineRule="auto"/>
      <w:jc w:val="center"/>
    </w:pPr>
    <w:rPr>
      <w:rFonts w:ascii="Times New Roman" w:hAnsi="Times New Roman" w:eastAsia="宋体" w:cs="Times New Roman"/>
      <w:sz w:val="24"/>
      <w:szCs w:val="24"/>
    </w:rPr>
  </w:style>
  <w:style w:type="paragraph" w:customStyle="1" w:styleId="75">
    <w:name w:val="xl69"/>
    <w:basedOn w:val="1"/>
    <w:qFormat/>
    <w:uiPriority w:val="0"/>
    <w:pPr>
      <w:spacing w:before="100" w:beforeAutospacing="1" w:after="100" w:afterAutospacing="1" w:line="240" w:lineRule="auto"/>
    </w:pPr>
    <w:rPr>
      <w:rFonts w:ascii="Times New Roman" w:hAnsi="Times New Roman" w:eastAsia="宋体" w:cs="Times New Roman"/>
      <w:sz w:val="24"/>
      <w:szCs w:val="24"/>
    </w:rPr>
  </w:style>
  <w:style w:type="paragraph" w:customStyle="1" w:styleId="76">
    <w:name w:val="xl70"/>
    <w:basedOn w:val="1"/>
    <w:qFormat/>
    <w:uiPriority w:val="0"/>
    <w:pPr>
      <w:spacing w:before="100" w:beforeAutospacing="1" w:after="100" w:afterAutospacing="1" w:line="240" w:lineRule="auto"/>
    </w:pPr>
    <w:rPr>
      <w:rFonts w:ascii="Times New Roman" w:hAnsi="Times New Roman" w:eastAsia="宋体" w:cs="Times New Roman"/>
      <w:b/>
      <w:bCs/>
      <w:sz w:val="24"/>
      <w:szCs w:val="24"/>
    </w:rPr>
  </w:style>
  <w:style w:type="paragraph" w:customStyle="1" w:styleId="77">
    <w:name w:val="xl71"/>
    <w:basedOn w:val="1"/>
    <w:qFormat/>
    <w:uiPriority w:val="0"/>
    <w:pPr>
      <w:shd w:val="clear" w:color="000000" w:fill="00B0F0"/>
      <w:spacing w:before="100" w:beforeAutospacing="1" w:after="100" w:afterAutospacing="1" w:line="240" w:lineRule="auto"/>
    </w:pPr>
    <w:rPr>
      <w:rFonts w:ascii="Times New Roman" w:hAnsi="Times New Roman" w:eastAsia="宋体" w:cs="Times New Roman"/>
      <w:sz w:val="24"/>
      <w:szCs w:val="24"/>
    </w:rPr>
  </w:style>
  <w:style w:type="paragraph" w:customStyle="1" w:styleId="78">
    <w:name w:val="xl72"/>
    <w:basedOn w:val="1"/>
    <w:qFormat/>
    <w:uiPriority w:val="0"/>
    <w:pPr>
      <w:spacing w:before="100" w:beforeAutospacing="1" w:after="100" w:afterAutospacing="1" w:line="240" w:lineRule="auto"/>
      <w:jc w:val="center"/>
    </w:pPr>
    <w:rPr>
      <w:rFonts w:ascii="Times New Roman" w:hAnsi="Times New Roman" w:eastAsia="宋体" w:cs="Times New Roman"/>
      <w:sz w:val="24"/>
      <w:szCs w:val="24"/>
    </w:rPr>
  </w:style>
  <w:style w:type="paragraph" w:customStyle="1" w:styleId="79">
    <w:name w:val="xl73"/>
    <w:basedOn w:val="1"/>
    <w:qFormat/>
    <w:uiPriority w:val="0"/>
    <w:pPr>
      <w:spacing w:before="100" w:beforeAutospacing="1" w:after="100" w:afterAutospacing="1" w:line="240" w:lineRule="auto"/>
    </w:pPr>
    <w:rPr>
      <w:rFonts w:ascii="Times New Roman" w:hAnsi="Times New Roman" w:eastAsia="宋体" w:cs="Times New Roman"/>
      <w:sz w:val="24"/>
      <w:szCs w:val="24"/>
    </w:rPr>
  </w:style>
  <w:style w:type="paragraph" w:customStyle="1" w:styleId="80">
    <w:name w:val="xl74"/>
    <w:basedOn w:val="1"/>
    <w:qFormat/>
    <w:uiPriority w:val="0"/>
    <w:pPr>
      <w:spacing w:before="100" w:beforeAutospacing="1" w:after="100" w:afterAutospacing="1" w:line="240" w:lineRule="auto"/>
      <w:jc w:val="both"/>
    </w:pPr>
    <w:rPr>
      <w:rFonts w:ascii="Times New Roman" w:hAnsi="Times New Roman" w:eastAsia="宋体" w:cs="Times New Roman"/>
      <w:sz w:val="24"/>
      <w:szCs w:val="24"/>
    </w:rPr>
  </w:style>
  <w:style w:type="paragraph" w:customStyle="1" w:styleId="81">
    <w:name w:val="xl75"/>
    <w:basedOn w:val="1"/>
    <w:qFormat/>
    <w:uiPriority w:val="0"/>
    <w:pPr>
      <w:shd w:val="clear" w:color="000000" w:fill="FFFFFF"/>
      <w:spacing w:before="100" w:beforeAutospacing="1" w:after="100" w:afterAutospacing="1" w:line="240" w:lineRule="auto"/>
    </w:pPr>
    <w:rPr>
      <w:rFonts w:ascii="Times New Roman" w:hAnsi="Times New Roman" w:eastAsia="宋体" w:cs="Times New Roman"/>
      <w:sz w:val="24"/>
      <w:szCs w:val="24"/>
    </w:rPr>
  </w:style>
  <w:style w:type="paragraph" w:customStyle="1" w:styleId="82">
    <w:name w:val="xl76"/>
    <w:basedOn w:val="1"/>
    <w:qFormat/>
    <w:uiPriority w:val="0"/>
    <w:pPr>
      <w:shd w:val="clear" w:color="000000" w:fill="FFFFFF"/>
      <w:spacing w:before="100" w:beforeAutospacing="1" w:after="100" w:afterAutospacing="1" w:line="240" w:lineRule="auto"/>
      <w:jc w:val="center"/>
    </w:pPr>
    <w:rPr>
      <w:rFonts w:ascii="Times New Roman" w:hAnsi="Times New Roman" w:eastAsia="宋体" w:cs="Times New Roman"/>
      <w:sz w:val="24"/>
      <w:szCs w:val="24"/>
    </w:rPr>
  </w:style>
  <w:style w:type="paragraph" w:customStyle="1" w:styleId="83">
    <w:name w:val="xl77"/>
    <w:basedOn w:val="1"/>
    <w:qFormat/>
    <w:uiPriority w:val="0"/>
    <w:pPr>
      <w:spacing w:before="100" w:beforeAutospacing="1" w:after="100" w:afterAutospacing="1" w:line="240" w:lineRule="auto"/>
      <w:jc w:val="center"/>
    </w:pPr>
    <w:rPr>
      <w:rFonts w:ascii="Times New Roman" w:hAnsi="Times New Roman" w:eastAsia="宋体" w:cs="Times New Roman"/>
      <w:sz w:val="24"/>
      <w:szCs w:val="24"/>
    </w:rPr>
  </w:style>
  <w:style w:type="paragraph" w:customStyle="1" w:styleId="84">
    <w:name w:val="xl7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宋体" w:cs="Times New Roman"/>
      <w:b/>
      <w:bCs/>
      <w:sz w:val="24"/>
      <w:szCs w:val="24"/>
    </w:rPr>
  </w:style>
  <w:style w:type="paragraph" w:customStyle="1" w:styleId="85">
    <w:name w:val="xl7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both"/>
    </w:pPr>
    <w:rPr>
      <w:rFonts w:ascii="Times New Roman" w:hAnsi="Times New Roman" w:eastAsia="宋体" w:cs="Times New Roman"/>
      <w:sz w:val="24"/>
      <w:szCs w:val="24"/>
    </w:rPr>
  </w:style>
  <w:style w:type="paragraph" w:customStyle="1" w:styleId="86">
    <w:name w:val="xl80"/>
    <w:basedOn w:val="1"/>
    <w:qFormat/>
    <w:uiPriority w:val="0"/>
    <w:pPr>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line="240" w:lineRule="auto"/>
      <w:jc w:val="center"/>
    </w:pPr>
    <w:rPr>
      <w:rFonts w:ascii="Times New Roman" w:hAnsi="Times New Roman" w:eastAsia="宋体" w:cs="Times New Roman"/>
      <w:b/>
      <w:bCs/>
      <w:sz w:val="24"/>
      <w:szCs w:val="24"/>
    </w:rPr>
  </w:style>
  <w:style w:type="paragraph" w:customStyle="1" w:styleId="87">
    <w:name w:val="xl81"/>
    <w:basedOn w:val="1"/>
    <w:qFormat/>
    <w:uiPriority w:val="0"/>
    <w:pPr>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line="240" w:lineRule="auto"/>
      <w:jc w:val="both"/>
    </w:pPr>
    <w:rPr>
      <w:rFonts w:ascii="Times New Roman" w:hAnsi="Times New Roman" w:eastAsia="宋体" w:cs="Times New Roman"/>
      <w:b/>
      <w:bCs/>
      <w:sz w:val="24"/>
      <w:szCs w:val="24"/>
    </w:rPr>
  </w:style>
  <w:style w:type="paragraph" w:customStyle="1" w:styleId="88">
    <w:name w:val="xl82"/>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宋体" w:cs="Times New Roman"/>
      <w:sz w:val="24"/>
      <w:szCs w:val="24"/>
    </w:rPr>
  </w:style>
  <w:style w:type="paragraph" w:customStyle="1" w:styleId="89">
    <w:name w:val="xl8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eastAsia="宋体" w:cs="宋体"/>
      <w:sz w:val="24"/>
      <w:szCs w:val="24"/>
    </w:rPr>
  </w:style>
  <w:style w:type="paragraph" w:customStyle="1" w:styleId="90">
    <w:name w:val="xl8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sz w:val="24"/>
      <w:szCs w:val="24"/>
    </w:rPr>
  </w:style>
  <w:style w:type="paragraph" w:customStyle="1" w:styleId="91">
    <w:name w:val="xl8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both"/>
    </w:pPr>
    <w:rPr>
      <w:rFonts w:ascii="宋体" w:hAnsi="宋体" w:eastAsia="宋体" w:cs="宋体"/>
      <w:sz w:val="24"/>
      <w:szCs w:val="24"/>
    </w:rPr>
  </w:style>
  <w:style w:type="paragraph" w:customStyle="1" w:styleId="92">
    <w:name w:val="xl8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eastAsia="宋体" w:cs="Times New Roman"/>
      <w:sz w:val="24"/>
      <w:szCs w:val="24"/>
    </w:rPr>
  </w:style>
  <w:style w:type="paragraph" w:customStyle="1" w:styleId="93">
    <w:name w:val="xl8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eastAsia="宋体" w:cs="宋体"/>
      <w:sz w:val="24"/>
      <w:szCs w:val="24"/>
    </w:rPr>
  </w:style>
  <w:style w:type="paragraph" w:customStyle="1" w:styleId="94">
    <w:name w:val="xl8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sz w:val="24"/>
      <w:szCs w:val="24"/>
    </w:rPr>
  </w:style>
  <w:style w:type="paragraph" w:customStyle="1" w:styleId="95">
    <w:name w:val="xl8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eastAsia="宋体" w:cs="宋体"/>
      <w:sz w:val="24"/>
      <w:szCs w:val="24"/>
    </w:rPr>
  </w:style>
  <w:style w:type="paragraph" w:customStyle="1" w:styleId="96">
    <w:name w:val="xl9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pPr>
    <w:rPr>
      <w:rFonts w:ascii="宋体" w:hAnsi="宋体" w:eastAsia="宋体" w:cs="宋体"/>
      <w:sz w:val="24"/>
      <w:szCs w:val="24"/>
    </w:rPr>
  </w:style>
  <w:style w:type="paragraph" w:customStyle="1" w:styleId="97">
    <w:name w:val="xl9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sz w:val="24"/>
      <w:szCs w:val="24"/>
    </w:rPr>
  </w:style>
  <w:style w:type="paragraph" w:customStyle="1" w:styleId="98">
    <w:name w:val="xl9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both"/>
    </w:pPr>
    <w:rPr>
      <w:rFonts w:ascii="宋体" w:hAnsi="宋体" w:eastAsia="宋体" w:cs="宋体"/>
      <w:sz w:val="24"/>
      <w:szCs w:val="24"/>
    </w:rPr>
  </w:style>
  <w:style w:type="paragraph" w:customStyle="1" w:styleId="99">
    <w:name w:val="xl93"/>
    <w:basedOn w:val="1"/>
    <w:qFormat/>
    <w:uiPriority w:val="0"/>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center"/>
    </w:pPr>
    <w:rPr>
      <w:rFonts w:ascii="Times New Roman" w:hAnsi="Times New Roman" w:eastAsia="宋体" w:cs="Times New Roman"/>
      <w:sz w:val="24"/>
      <w:szCs w:val="24"/>
    </w:rPr>
  </w:style>
  <w:style w:type="paragraph" w:customStyle="1" w:styleId="100">
    <w:name w:val="xl9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方正书宋_GBK" w:hAnsi="方正书宋_GBK" w:eastAsia="宋体" w:cs="宋体"/>
      <w:sz w:val="24"/>
      <w:szCs w:val="24"/>
    </w:rPr>
  </w:style>
  <w:style w:type="paragraph" w:customStyle="1" w:styleId="101">
    <w:name w:val="xl95"/>
    <w:basedOn w:val="1"/>
    <w:qFormat/>
    <w:uiPriority w:val="0"/>
    <w:pPr>
      <w:pBdr>
        <w:top w:val="single" w:color="auto" w:sz="4" w:space="0"/>
        <w:bottom w:val="single" w:color="auto" w:sz="4" w:space="0"/>
        <w:right w:val="single" w:color="auto" w:sz="4" w:space="0"/>
      </w:pBdr>
      <w:spacing w:before="100" w:beforeAutospacing="1" w:after="100" w:afterAutospacing="1" w:line="240" w:lineRule="auto"/>
      <w:jc w:val="both"/>
    </w:pPr>
    <w:rPr>
      <w:rFonts w:ascii="宋体" w:hAnsi="宋体" w:eastAsia="宋体" w:cs="宋体"/>
      <w:sz w:val="24"/>
      <w:szCs w:val="24"/>
    </w:rPr>
  </w:style>
  <w:style w:type="paragraph" w:customStyle="1" w:styleId="102">
    <w:name w:val="xl9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eastAsia="宋体" w:cs="Times New Roman"/>
      <w:sz w:val="24"/>
      <w:szCs w:val="24"/>
    </w:rPr>
  </w:style>
  <w:style w:type="paragraph" w:customStyle="1" w:styleId="103">
    <w:name w:val="xl97"/>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sz w:val="24"/>
      <w:szCs w:val="24"/>
    </w:rPr>
  </w:style>
  <w:style w:type="paragraph" w:customStyle="1" w:styleId="104">
    <w:name w:val="xl9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both"/>
    </w:pPr>
    <w:rPr>
      <w:rFonts w:ascii="宋体" w:hAnsi="宋体" w:eastAsia="宋体" w:cs="宋体"/>
      <w:sz w:val="24"/>
      <w:szCs w:val="24"/>
    </w:rPr>
  </w:style>
  <w:style w:type="paragraph" w:customStyle="1" w:styleId="105">
    <w:name w:val="xl9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pPr>
    <w:rPr>
      <w:rFonts w:ascii="Times New Roman" w:hAnsi="Times New Roman" w:eastAsia="宋体" w:cs="Times New Roman"/>
      <w:b/>
      <w:bCs/>
      <w:sz w:val="24"/>
      <w:szCs w:val="24"/>
    </w:rPr>
  </w:style>
  <w:style w:type="paragraph" w:customStyle="1" w:styleId="106">
    <w:name w:val="xl10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Times New Roman" w:hAnsi="Times New Roman" w:eastAsia="宋体" w:cs="Times New Roman"/>
      <w:b/>
      <w:bCs/>
      <w:sz w:val="24"/>
      <w:szCs w:val="24"/>
    </w:rPr>
  </w:style>
  <w:style w:type="paragraph" w:customStyle="1" w:styleId="107">
    <w:name w:val="xl10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sz w:val="24"/>
      <w:szCs w:val="24"/>
    </w:rPr>
  </w:style>
  <w:style w:type="paragraph" w:customStyle="1" w:styleId="108">
    <w:name w:val="xl10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Times New Roman" w:hAnsi="Times New Roman" w:eastAsia="宋体" w:cs="Times New Roman"/>
      <w:sz w:val="24"/>
      <w:szCs w:val="24"/>
    </w:rPr>
  </w:style>
  <w:style w:type="paragraph" w:customStyle="1" w:styleId="109">
    <w:name w:val="xl10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宋体" w:cs="Times New Roman"/>
      <w:sz w:val="24"/>
      <w:szCs w:val="24"/>
    </w:rPr>
  </w:style>
  <w:style w:type="paragraph" w:customStyle="1" w:styleId="110">
    <w:name w:val="xl10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Times New Roman" w:hAnsi="Times New Roman" w:eastAsia="宋体" w:cs="Times New Roman"/>
      <w:sz w:val="24"/>
      <w:szCs w:val="24"/>
    </w:rPr>
  </w:style>
  <w:style w:type="paragraph" w:customStyle="1" w:styleId="111">
    <w:name w:val="xl10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宋体" w:cs="Times New Roman"/>
      <w:sz w:val="24"/>
      <w:szCs w:val="24"/>
    </w:rPr>
  </w:style>
  <w:style w:type="paragraph" w:customStyle="1" w:styleId="112">
    <w:name w:val="xl10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Times New Roman" w:hAnsi="Times New Roman" w:eastAsia="宋体" w:cs="Times New Roman"/>
      <w:sz w:val="24"/>
      <w:szCs w:val="24"/>
    </w:rPr>
  </w:style>
  <w:style w:type="paragraph" w:customStyle="1" w:styleId="113">
    <w:name w:val="xl10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Times New Roman" w:hAnsi="Times New Roman" w:eastAsia="宋体" w:cs="Times New Roman"/>
      <w:sz w:val="24"/>
      <w:szCs w:val="24"/>
    </w:rPr>
  </w:style>
  <w:style w:type="paragraph" w:customStyle="1" w:styleId="114">
    <w:name w:val="xl10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pPr>
    <w:rPr>
      <w:rFonts w:ascii="Times New Roman" w:hAnsi="Times New Roman" w:eastAsia="宋体" w:cs="Times New Roman"/>
      <w:sz w:val="24"/>
      <w:szCs w:val="24"/>
    </w:rPr>
  </w:style>
  <w:style w:type="paragraph" w:customStyle="1" w:styleId="115">
    <w:name w:val="xl109"/>
    <w:basedOn w:val="1"/>
    <w:qFormat/>
    <w:uiPriority w:val="0"/>
    <w:pPr>
      <w:pBdr>
        <w:top w:val="single" w:color="auto" w:sz="4" w:space="0"/>
        <w:left w:val="single" w:color="auto" w:sz="4" w:space="0"/>
        <w:right w:val="single" w:color="auto" w:sz="4" w:space="0"/>
      </w:pBdr>
      <w:spacing w:before="100" w:beforeAutospacing="1" w:after="100" w:afterAutospacing="1" w:line="240" w:lineRule="auto"/>
    </w:pPr>
    <w:rPr>
      <w:rFonts w:ascii="宋体" w:hAnsi="宋体" w:eastAsia="宋体" w:cs="宋体"/>
      <w:sz w:val="24"/>
      <w:szCs w:val="24"/>
    </w:rPr>
  </w:style>
  <w:style w:type="paragraph" w:customStyle="1" w:styleId="116">
    <w:name w:val="xl110"/>
    <w:basedOn w:val="1"/>
    <w:qFormat/>
    <w:uiPriority w:val="0"/>
    <w:pPr>
      <w:pBdr>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Times New Roman" w:hAnsi="Times New Roman" w:eastAsia="宋体" w:cs="Times New Roman"/>
      <w:sz w:val="24"/>
      <w:szCs w:val="24"/>
    </w:rPr>
  </w:style>
  <w:style w:type="paragraph" w:customStyle="1" w:styleId="117">
    <w:name w:val="xl111"/>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pPr>
    <w:rPr>
      <w:rFonts w:ascii="Times New Roman" w:hAnsi="Times New Roman" w:eastAsia="宋体" w:cs="Times New Roman"/>
      <w:sz w:val="24"/>
      <w:szCs w:val="24"/>
    </w:rPr>
  </w:style>
  <w:style w:type="paragraph" w:customStyle="1" w:styleId="118">
    <w:name w:val="xl112"/>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pPr>
    <w:rPr>
      <w:rFonts w:ascii="宋体" w:hAnsi="宋体" w:eastAsia="宋体" w:cs="宋体"/>
      <w:sz w:val="24"/>
      <w:szCs w:val="24"/>
    </w:rPr>
  </w:style>
  <w:style w:type="paragraph" w:customStyle="1" w:styleId="119">
    <w:name w:val="xl11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eastAsia="宋体" w:cs="Times New Roman"/>
      <w:sz w:val="24"/>
      <w:szCs w:val="24"/>
    </w:rPr>
  </w:style>
  <w:style w:type="paragraph" w:customStyle="1" w:styleId="120">
    <w:name w:val="xl114"/>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pPr>
    <w:rPr>
      <w:rFonts w:ascii="Times New Roman" w:hAnsi="Times New Roman" w:eastAsia="宋体" w:cs="Times New Roman"/>
      <w:sz w:val="24"/>
      <w:szCs w:val="24"/>
    </w:rPr>
  </w:style>
  <w:style w:type="paragraph" w:customStyle="1" w:styleId="121">
    <w:name w:val="xl11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eastAsia="宋体" w:cs="Times New Roman"/>
      <w:sz w:val="24"/>
      <w:szCs w:val="24"/>
    </w:rPr>
  </w:style>
  <w:style w:type="paragraph" w:customStyle="1" w:styleId="122">
    <w:name w:val="xl11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pPr>
    <w:rPr>
      <w:rFonts w:ascii="宋体" w:hAnsi="宋体" w:eastAsia="宋体" w:cs="宋体"/>
      <w:sz w:val="24"/>
      <w:szCs w:val="24"/>
    </w:rPr>
  </w:style>
  <w:style w:type="paragraph" w:customStyle="1" w:styleId="123">
    <w:name w:val="xl11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eastAsia="宋体" w:cs="宋体"/>
      <w:sz w:val="24"/>
      <w:szCs w:val="24"/>
    </w:rPr>
  </w:style>
  <w:style w:type="paragraph" w:customStyle="1" w:styleId="124">
    <w:name w:val="xl11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both"/>
    </w:pPr>
    <w:rPr>
      <w:rFonts w:ascii="宋体" w:hAnsi="宋体" w:eastAsia="宋体" w:cs="宋体"/>
      <w:sz w:val="24"/>
      <w:szCs w:val="24"/>
    </w:rPr>
  </w:style>
  <w:style w:type="paragraph" w:customStyle="1" w:styleId="125">
    <w:name w:val="xl11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汉仪书宋二KW" w:hAnsi="宋体" w:eastAsia="汉仪书宋二KW" w:cs="宋体"/>
      <w:sz w:val="24"/>
      <w:szCs w:val="24"/>
    </w:rPr>
  </w:style>
  <w:style w:type="paragraph" w:customStyle="1" w:styleId="126">
    <w:name w:val="xl120"/>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both"/>
    </w:pPr>
    <w:rPr>
      <w:rFonts w:ascii="汉仪书宋二KW" w:hAnsi="宋体" w:eastAsia="汉仪书宋二KW" w:cs="宋体"/>
      <w:sz w:val="24"/>
      <w:szCs w:val="24"/>
    </w:rPr>
  </w:style>
  <w:style w:type="paragraph" w:customStyle="1" w:styleId="127">
    <w:name w:val="xl121"/>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汉仪书宋二KW" w:hAnsi="宋体" w:eastAsia="汉仪书宋二KW" w:cs="宋体"/>
      <w:sz w:val="24"/>
      <w:szCs w:val="24"/>
    </w:rPr>
  </w:style>
  <w:style w:type="paragraph" w:customStyle="1" w:styleId="128">
    <w:name w:val="xl122"/>
    <w:basedOn w:val="1"/>
    <w:qFormat/>
    <w:uiPriority w:val="0"/>
    <w:pPr>
      <w:pBdr>
        <w:top w:val="single" w:color="auto" w:sz="4" w:space="0"/>
        <w:bottom w:val="single" w:color="auto" w:sz="4" w:space="0"/>
        <w:right w:val="single" w:color="auto" w:sz="4" w:space="0"/>
      </w:pBdr>
      <w:shd w:val="clear" w:color="000000" w:fill="FFFFFF"/>
      <w:spacing w:before="100" w:beforeAutospacing="1" w:after="100" w:afterAutospacing="1" w:line="240" w:lineRule="auto"/>
      <w:jc w:val="both"/>
    </w:pPr>
    <w:rPr>
      <w:rFonts w:ascii="宋体" w:hAnsi="宋体" w:eastAsia="宋体" w:cs="宋体"/>
      <w:sz w:val="24"/>
      <w:szCs w:val="24"/>
    </w:rPr>
  </w:style>
  <w:style w:type="paragraph" w:customStyle="1" w:styleId="129">
    <w:name w:val="xl123"/>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宋体" w:hAnsi="宋体" w:eastAsia="宋体" w:cs="宋体"/>
      <w:sz w:val="24"/>
      <w:szCs w:val="24"/>
    </w:rPr>
  </w:style>
  <w:style w:type="paragraph" w:customStyle="1" w:styleId="130">
    <w:name w:val="xl124"/>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both"/>
    </w:pPr>
    <w:rPr>
      <w:rFonts w:ascii="宋体" w:hAnsi="宋体" w:eastAsia="宋体" w:cs="宋体"/>
      <w:sz w:val="24"/>
      <w:szCs w:val="24"/>
    </w:rPr>
  </w:style>
  <w:style w:type="paragraph" w:customStyle="1" w:styleId="131">
    <w:name w:val="xl12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sz w:val="24"/>
      <w:szCs w:val="24"/>
    </w:rPr>
  </w:style>
  <w:style w:type="paragraph" w:customStyle="1" w:styleId="132">
    <w:name w:val="xl12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ascii="Times New Roman" w:hAnsi="Times New Roman" w:eastAsia="宋体" w:cs="Times New Roman"/>
      <w:sz w:val="24"/>
      <w:szCs w:val="24"/>
    </w:rPr>
  </w:style>
  <w:style w:type="paragraph" w:customStyle="1" w:styleId="133">
    <w:name w:val="xl12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Times New Roman" w:hAnsi="Times New Roman" w:eastAsia="宋体" w:cs="Times New Roman"/>
      <w:sz w:val="24"/>
      <w:szCs w:val="24"/>
    </w:rPr>
  </w:style>
  <w:style w:type="paragraph" w:customStyle="1" w:styleId="134">
    <w:name w:val="xl12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ascii="Times New Roman" w:hAnsi="Times New Roman" w:eastAsia="宋体" w:cs="Times New Roman"/>
      <w:sz w:val="24"/>
      <w:szCs w:val="24"/>
    </w:rPr>
  </w:style>
  <w:style w:type="paragraph" w:customStyle="1" w:styleId="135">
    <w:name w:val="xl129"/>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line="240" w:lineRule="auto"/>
      <w:jc w:val="center"/>
    </w:pPr>
    <w:rPr>
      <w:rFonts w:ascii="Times New Roman" w:hAnsi="Times New Roman" w:eastAsia="宋体" w:cs="Times New Roman"/>
      <w:sz w:val="24"/>
      <w:szCs w:val="24"/>
    </w:rPr>
  </w:style>
  <w:style w:type="paragraph" w:customStyle="1" w:styleId="136">
    <w:name w:val="xl130"/>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pPr>
    <w:rPr>
      <w:rFonts w:ascii="Times New Roman" w:hAnsi="Times New Roman" w:eastAsia="宋体" w:cs="Times New Roman"/>
      <w:sz w:val="24"/>
      <w:szCs w:val="24"/>
    </w:rPr>
  </w:style>
  <w:style w:type="paragraph" w:customStyle="1" w:styleId="137">
    <w:name w:val="xl131"/>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pPr>
    <w:rPr>
      <w:rFonts w:ascii="Times New Roman" w:hAnsi="Times New Roman" w:eastAsia="宋体" w:cs="Times New Roman"/>
      <w:sz w:val="24"/>
      <w:szCs w:val="24"/>
    </w:rPr>
  </w:style>
  <w:style w:type="paragraph" w:customStyle="1" w:styleId="138">
    <w:name w:val="xl132"/>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pPr>
    <w:rPr>
      <w:rFonts w:ascii="宋体" w:hAnsi="宋体" w:eastAsia="宋体" w:cs="宋体"/>
      <w:sz w:val="24"/>
      <w:szCs w:val="24"/>
    </w:rPr>
  </w:style>
  <w:style w:type="paragraph" w:customStyle="1" w:styleId="139">
    <w:name w:val="xl133"/>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both"/>
    </w:pPr>
    <w:rPr>
      <w:rFonts w:ascii="宋体" w:hAnsi="宋体" w:eastAsia="宋体" w:cs="宋体"/>
      <w:sz w:val="24"/>
      <w:szCs w:val="24"/>
    </w:rPr>
  </w:style>
  <w:style w:type="paragraph" w:customStyle="1" w:styleId="140">
    <w:name w:val="xl134"/>
    <w:basedOn w:val="1"/>
    <w:qFormat/>
    <w:uiPriority w:val="0"/>
    <w:pPr>
      <w:pBdr>
        <w:top w:val="single" w:color="auto" w:sz="4" w:space="0"/>
        <w:left w:val="single" w:color="auto" w:sz="4" w:space="0"/>
        <w:bottom w:val="single" w:color="auto" w:sz="4" w:space="0"/>
        <w:right w:val="single" w:color="auto" w:sz="4" w:space="0"/>
      </w:pBdr>
      <w:shd w:val="clear" w:color="000000" w:fill="92D050"/>
      <w:spacing w:before="100" w:beforeAutospacing="1" w:after="100" w:afterAutospacing="1" w:line="240" w:lineRule="auto"/>
      <w:jc w:val="center"/>
    </w:pPr>
    <w:rPr>
      <w:rFonts w:ascii="Times New Roman" w:hAnsi="Times New Roman" w:eastAsia="宋体" w:cs="Times New Roman"/>
      <w:sz w:val="24"/>
      <w:szCs w:val="24"/>
    </w:rPr>
  </w:style>
  <w:style w:type="paragraph" w:customStyle="1" w:styleId="141">
    <w:name w:val="xl135"/>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pPr>
    <w:rPr>
      <w:rFonts w:ascii="宋体" w:hAnsi="宋体" w:eastAsia="宋体" w:cs="宋体"/>
      <w:sz w:val="24"/>
      <w:szCs w:val="24"/>
    </w:rPr>
  </w:style>
  <w:style w:type="paragraph" w:customStyle="1" w:styleId="142">
    <w:name w:val="xl136"/>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pPr>
    <w:rPr>
      <w:rFonts w:ascii="Times New Roman" w:hAnsi="Times New Roman" w:eastAsia="宋体" w:cs="Times New Roman"/>
      <w:sz w:val="24"/>
      <w:szCs w:val="24"/>
    </w:rPr>
  </w:style>
  <w:style w:type="paragraph" w:customStyle="1" w:styleId="143">
    <w:name w:val="xl137"/>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pPr>
    <w:rPr>
      <w:rFonts w:ascii="Times New Roman" w:hAnsi="Times New Roman" w:eastAsia="宋体" w:cs="Times New Roman"/>
      <w:sz w:val="24"/>
      <w:szCs w:val="24"/>
    </w:rPr>
  </w:style>
  <w:style w:type="paragraph" w:customStyle="1" w:styleId="144">
    <w:name w:val="xl13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宋体" w:hAnsi="宋体" w:eastAsia="宋体" w:cs="宋体"/>
      <w:b/>
      <w:bCs/>
      <w:sz w:val="24"/>
      <w:szCs w:val="24"/>
    </w:rPr>
  </w:style>
  <w:style w:type="paragraph" w:customStyle="1" w:styleId="145">
    <w:name w:val="xl139"/>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eastAsia="宋体" w:cs="Times New Roman"/>
      <w:b/>
      <w:bCs/>
      <w:sz w:val="24"/>
      <w:szCs w:val="24"/>
    </w:rPr>
  </w:style>
  <w:style w:type="paragraph" w:customStyle="1" w:styleId="146">
    <w:name w:val="xl140"/>
    <w:basedOn w:val="1"/>
    <w:qFormat/>
    <w:uiPriority w:val="0"/>
    <w:pPr>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line="240" w:lineRule="auto"/>
      <w:jc w:val="center"/>
    </w:pPr>
    <w:rPr>
      <w:rFonts w:ascii="宋体" w:hAnsi="宋体" w:eastAsia="宋体" w:cs="宋体"/>
      <w:b/>
      <w:bCs/>
      <w:sz w:val="24"/>
      <w:szCs w:val="24"/>
    </w:rPr>
  </w:style>
  <w:style w:type="paragraph" w:customStyle="1" w:styleId="147">
    <w:name w:val="xl141"/>
    <w:basedOn w:val="1"/>
    <w:qFormat/>
    <w:uiPriority w:val="0"/>
    <w:pPr>
      <w:pBdr>
        <w:top w:val="single" w:color="auto" w:sz="4" w:space="0"/>
        <w:left w:val="single" w:color="auto" w:sz="4" w:space="0"/>
        <w:bottom w:val="single" w:color="auto" w:sz="4" w:space="0"/>
        <w:right w:val="single" w:color="auto" w:sz="4" w:space="0"/>
      </w:pBdr>
      <w:shd w:val="clear" w:color="000000" w:fill="A6A6A6"/>
      <w:spacing w:before="100" w:beforeAutospacing="1" w:after="100" w:afterAutospacing="1" w:line="240" w:lineRule="auto"/>
    </w:pPr>
    <w:rPr>
      <w:rFonts w:ascii="Times New Roman" w:hAnsi="Times New Roman" w:eastAsia="宋体" w:cs="Times New Roman"/>
      <w:b/>
      <w:bCs/>
      <w:sz w:val="24"/>
      <w:szCs w:val="24"/>
    </w:rPr>
  </w:style>
  <w:style w:type="paragraph" w:customStyle="1" w:styleId="148">
    <w:name w:val="xl142"/>
    <w:basedOn w:val="1"/>
    <w:qFormat/>
    <w:uiPriority w:val="0"/>
    <w:pPr>
      <w:pBdr>
        <w:left w:val="single" w:color="auto" w:sz="4" w:space="0"/>
        <w:bottom w:val="single" w:color="auto" w:sz="4" w:space="0"/>
        <w:right w:val="single" w:color="auto" w:sz="4" w:space="0"/>
      </w:pBdr>
      <w:spacing w:before="100" w:beforeAutospacing="1" w:after="100" w:afterAutospacing="1" w:line="240" w:lineRule="auto"/>
    </w:pPr>
    <w:rPr>
      <w:rFonts w:ascii="Times New Roman" w:hAnsi="Times New Roman" w:eastAsia="宋体" w:cs="Times New Roman"/>
      <w:sz w:val="24"/>
      <w:szCs w:val="24"/>
    </w:rPr>
  </w:style>
  <w:style w:type="paragraph" w:customStyle="1" w:styleId="149">
    <w:name w:val="xl143"/>
    <w:basedOn w:val="1"/>
    <w:qFormat/>
    <w:uiPriority w:val="0"/>
    <w:pPr>
      <w:pBdr>
        <w:top w:val="single" w:color="auto" w:sz="4" w:space="0"/>
        <w:left w:val="single" w:color="auto" w:sz="4" w:space="0"/>
        <w:right w:val="single" w:color="auto" w:sz="4" w:space="0"/>
      </w:pBdr>
      <w:spacing w:before="100" w:beforeAutospacing="1" w:after="100" w:afterAutospacing="1" w:line="240" w:lineRule="auto"/>
    </w:pPr>
    <w:rPr>
      <w:rFonts w:ascii="Times New Roman" w:hAnsi="Times New Roman" w:eastAsia="宋体" w:cs="Times New Roman"/>
      <w:sz w:val="24"/>
      <w:szCs w:val="24"/>
    </w:rPr>
  </w:style>
  <w:style w:type="paragraph" w:customStyle="1" w:styleId="150">
    <w:name w:val="xl144"/>
    <w:basedOn w:val="1"/>
    <w:qFormat/>
    <w:uiPriority w:val="0"/>
    <w:pPr>
      <w:pBdr>
        <w:top w:val="single" w:color="auto" w:sz="4" w:space="0"/>
        <w:left w:val="single" w:color="auto" w:sz="4" w:space="0"/>
        <w:right w:val="single" w:color="auto" w:sz="4" w:space="0"/>
      </w:pBdr>
      <w:spacing w:before="100" w:beforeAutospacing="1" w:after="100" w:afterAutospacing="1" w:line="240" w:lineRule="auto"/>
      <w:jc w:val="center"/>
    </w:pPr>
    <w:rPr>
      <w:rFonts w:ascii="Times New Roman" w:hAnsi="Times New Roman" w:eastAsia="宋体" w:cs="Times New Roman"/>
      <w:b/>
      <w:bCs/>
      <w:sz w:val="24"/>
      <w:szCs w:val="24"/>
    </w:rPr>
  </w:style>
  <w:style w:type="paragraph" w:customStyle="1" w:styleId="151">
    <w:name w:val="xl145"/>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宋体" w:cs="Times New Roman"/>
      <w:b/>
      <w:bCs/>
      <w:sz w:val="24"/>
      <w:szCs w:val="24"/>
    </w:rPr>
  </w:style>
  <w:style w:type="paragraph" w:customStyle="1" w:styleId="152">
    <w:name w:val="xl146"/>
    <w:basedOn w:val="1"/>
    <w:qFormat/>
    <w:uiPriority w:val="0"/>
    <w:pPr>
      <w:pBdr>
        <w:top w:val="single" w:color="auto" w:sz="4" w:space="0"/>
        <w:left w:val="single" w:color="auto" w:sz="4" w:space="0"/>
        <w:right w:val="single" w:color="auto" w:sz="4" w:space="0"/>
      </w:pBdr>
      <w:shd w:val="clear" w:color="000000" w:fill="FFFFFF"/>
      <w:spacing w:before="100" w:beforeAutospacing="1" w:after="100" w:afterAutospacing="1" w:line="240" w:lineRule="auto"/>
      <w:jc w:val="center"/>
    </w:pPr>
    <w:rPr>
      <w:rFonts w:ascii="Times New Roman" w:hAnsi="Times New Roman" w:eastAsia="宋体" w:cs="Times New Roman"/>
      <w:b/>
      <w:bCs/>
      <w:sz w:val="24"/>
      <w:szCs w:val="24"/>
    </w:rPr>
  </w:style>
  <w:style w:type="paragraph" w:customStyle="1" w:styleId="153">
    <w:name w:val="xl147"/>
    <w:basedOn w:val="1"/>
    <w:qFormat/>
    <w:uiPriority w:val="0"/>
    <w:pPr>
      <w:pBdr>
        <w:left w:val="single" w:color="auto" w:sz="4" w:space="0"/>
        <w:right w:val="single" w:color="auto" w:sz="4" w:space="0"/>
      </w:pBdr>
      <w:spacing w:before="100" w:beforeAutospacing="1" w:after="100" w:afterAutospacing="1" w:line="240" w:lineRule="auto"/>
      <w:jc w:val="center"/>
    </w:pPr>
    <w:rPr>
      <w:rFonts w:ascii="Times New Roman" w:hAnsi="Times New Roman" w:eastAsia="宋体" w:cs="Times New Roman"/>
      <w:b/>
      <w:bCs/>
      <w:sz w:val="24"/>
      <w:szCs w:val="24"/>
    </w:rPr>
  </w:style>
  <w:style w:type="paragraph" w:customStyle="1" w:styleId="154">
    <w:name w:val="xl148"/>
    <w:basedOn w:val="1"/>
    <w:qFormat/>
    <w:uiPriority w:val="0"/>
    <w:pPr>
      <w:pBdr>
        <w:left w:val="single" w:color="auto" w:sz="4" w:space="0"/>
        <w:right w:val="single" w:color="auto" w:sz="4" w:space="0"/>
      </w:pBdr>
      <w:shd w:val="clear" w:color="000000" w:fill="FFFFFF"/>
      <w:spacing w:before="100" w:beforeAutospacing="1" w:after="100" w:afterAutospacing="1" w:line="240" w:lineRule="auto"/>
      <w:jc w:val="center"/>
    </w:pPr>
    <w:rPr>
      <w:rFonts w:ascii="Times New Roman" w:hAnsi="Times New Roman" w:eastAsia="宋体" w:cs="Times New Roman"/>
      <w:b/>
      <w:bCs/>
      <w:sz w:val="24"/>
      <w:szCs w:val="24"/>
    </w:rPr>
  </w:style>
  <w:style w:type="paragraph" w:customStyle="1" w:styleId="155">
    <w:name w:val="xl149"/>
    <w:basedOn w:val="1"/>
    <w:qFormat/>
    <w:uiPriority w:val="0"/>
    <w:pPr>
      <w:pBdr>
        <w:left w:val="single" w:color="auto" w:sz="4" w:space="0"/>
        <w:bottom w:val="single" w:color="auto" w:sz="4" w:space="0"/>
        <w:right w:val="single" w:color="auto" w:sz="4" w:space="0"/>
      </w:pBdr>
      <w:spacing w:before="100" w:beforeAutospacing="1" w:after="100" w:afterAutospacing="1" w:line="240" w:lineRule="auto"/>
      <w:jc w:val="center"/>
    </w:pPr>
    <w:rPr>
      <w:rFonts w:ascii="Times New Roman" w:hAnsi="Times New Roman" w:eastAsia="宋体" w:cs="Times New Roman"/>
      <w:b/>
      <w:bCs/>
      <w:sz w:val="24"/>
      <w:szCs w:val="24"/>
    </w:rPr>
  </w:style>
  <w:style w:type="paragraph" w:customStyle="1" w:styleId="156">
    <w:name w:val="font13"/>
    <w:basedOn w:val="1"/>
    <w:qFormat/>
    <w:uiPriority w:val="0"/>
    <w:pPr>
      <w:spacing w:before="100" w:beforeAutospacing="1" w:after="100" w:afterAutospacing="1" w:line="240" w:lineRule="auto"/>
    </w:pPr>
    <w:rPr>
      <w:rFonts w:ascii="Times New Roman" w:hAnsi="Times New Roman" w:eastAsia="宋体" w:cs="Times New Roman"/>
      <w:color w:val="000000"/>
      <w:sz w:val="21"/>
      <w:szCs w:val="21"/>
    </w:rPr>
  </w:style>
  <w:style w:type="paragraph" w:customStyle="1" w:styleId="157">
    <w:name w:val="font14"/>
    <w:basedOn w:val="1"/>
    <w:qFormat/>
    <w:uiPriority w:val="0"/>
    <w:pPr>
      <w:spacing w:before="100" w:beforeAutospacing="1" w:after="100" w:afterAutospacing="1" w:line="240" w:lineRule="auto"/>
    </w:pPr>
    <w:rPr>
      <w:rFonts w:ascii="方正仿宋_GBK" w:hAnsi="宋体" w:eastAsia="方正仿宋_GBK" w:cs="宋体"/>
      <w:color w:val="000000"/>
      <w:sz w:val="24"/>
      <w:szCs w:val="24"/>
    </w:rPr>
  </w:style>
  <w:style w:type="paragraph" w:customStyle="1" w:styleId="158">
    <w:name w:val="font15"/>
    <w:basedOn w:val="1"/>
    <w:qFormat/>
    <w:uiPriority w:val="0"/>
    <w:pPr>
      <w:spacing w:before="100" w:beforeAutospacing="1" w:after="100" w:afterAutospacing="1" w:line="240" w:lineRule="auto"/>
    </w:pPr>
    <w:rPr>
      <w:rFonts w:ascii="方正仿宋_GBK" w:hAnsi="宋体" w:eastAsia="方正仿宋_GBK" w:cs="宋体"/>
      <w:b/>
      <w:bCs/>
      <w:color w:val="000000"/>
      <w:sz w:val="24"/>
      <w:szCs w:val="24"/>
    </w:rPr>
  </w:style>
  <w:style w:type="paragraph" w:customStyle="1" w:styleId="159">
    <w:name w:val="font16"/>
    <w:basedOn w:val="1"/>
    <w:qFormat/>
    <w:uiPriority w:val="0"/>
    <w:pPr>
      <w:spacing w:before="100" w:beforeAutospacing="1" w:after="100" w:afterAutospacing="1" w:line="240" w:lineRule="auto"/>
    </w:pPr>
    <w:rPr>
      <w:rFonts w:ascii="方正仿宋_GBK" w:hAnsi="宋体" w:eastAsia="方正仿宋_GBK" w:cs="宋体"/>
      <w:color w:val="000000"/>
      <w:sz w:val="21"/>
      <w:szCs w:val="21"/>
    </w:rPr>
  </w:style>
  <w:style w:type="paragraph" w:customStyle="1" w:styleId="160">
    <w:name w:val="font17"/>
    <w:basedOn w:val="1"/>
    <w:qFormat/>
    <w:uiPriority w:val="0"/>
    <w:pPr>
      <w:spacing w:before="100" w:beforeAutospacing="1" w:after="100" w:afterAutospacing="1" w:line="240" w:lineRule="auto"/>
    </w:pPr>
    <w:rPr>
      <w:rFonts w:ascii="方正仿宋_GBK" w:hAnsi="宋体" w:eastAsia="方正仿宋_GBK" w:cs="宋体"/>
      <w:b/>
      <w:bCs/>
      <w:color w:val="000000"/>
    </w:rPr>
  </w:style>
  <w:style w:type="paragraph" w:customStyle="1" w:styleId="161">
    <w:name w:val="font18"/>
    <w:basedOn w:val="1"/>
    <w:qFormat/>
    <w:uiPriority w:val="0"/>
    <w:pPr>
      <w:spacing w:before="100" w:beforeAutospacing="1" w:after="100" w:afterAutospacing="1" w:line="240" w:lineRule="auto"/>
    </w:pPr>
    <w:rPr>
      <w:rFonts w:ascii="方正仿宋_GBK" w:hAnsi="宋体" w:eastAsia="方正仿宋_GBK" w:cs="宋体"/>
      <w:color w:val="00000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EBAFAB-9DBF-4A15-B922-171E5CB38E34}">
  <ds:schemaRefs/>
</ds:datastoreItem>
</file>

<file path=docProps/app.xml><?xml version="1.0" encoding="utf-8"?>
<Properties xmlns="http://schemas.openxmlformats.org/officeDocument/2006/extended-properties" xmlns:vt="http://schemas.openxmlformats.org/officeDocument/2006/docPropsVTypes">
  <Template>Normal.dotm</Template>
  <Company>重庆三峰卡万塔环境产业有限公司</Company>
  <Pages>92</Pages>
  <Words>69281</Words>
  <Characters>77064</Characters>
  <Lines>580</Lines>
  <Paragraphs>163</Paragraphs>
  <TotalTime>320</TotalTime>
  <ScaleCrop>false</ScaleCrop>
  <LinksUpToDate>false</LinksUpToDate>
  <CharactersWithSpaces>77278</CharactersWithSpaces>
  <Application>WPS Office_11.8.2.9022_F1E327BC-269C-435d-A152-05C5408002CA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2023-12-23T11:25:00Z</dcterms:created>
  <dc:creator>Administrator</dc:creator>
  <cp:lastModifiedBy>NTKO</cp:lastModifiedBy>
  <cp:lastPrinted>2024-06-12T00:47:00Z</cp:lastPrinted>
  <dcterms:modified xsi:type="dcterms:W3CDTF">2025-03-14T01:30:26Z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4B2370997AAE4960A7670C280F7DF7FD_13</vt:lpwstr>
  </property>
</Properties>
</file>