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eastAsia="方正小标宋_GBK"/>
          <w:color w:val="000000" w:themeColor="text1"/>
          <w:sz w:val="44"/>
          <w:szCs w:val="44"/>
          <w14:textFill>
            <w14:solidFill>
              <w14:schemeClr w14:val="tx1"/>
            </w14:solidFill>
          </w14:textFill>
        </w:rPr>
      </w:pPr>
      <w:r>
        <w:rPr>
          <w:rFonts w:hint="eastAsia" w:eastAsia="方正小标宋_GBK"/>
          <w:color w:val="000000" w:themeColor="text1"/>
          <w:sz w:val="44"/>
          <w:szCs w:val="44"/>
          <w14:textFill>
            <w14:solidFill>
              <w14:schemeClr w14:val="tx1"/>
            </w14:solidFill>
          </w14:textFill>
        </w:rPr>
        <w:t xml:space="preserve"> </w:t>
      </w:r>
      <w:r>
        <w:rPr>
          <w:rFonts w:eastAsia="方正小标宋_GBK"/>
          <w:color w:val="000000" w:themeColor="text1"/>
          <w:sz w:val="44"/>
          <w:szCs w:val="44"/>
          <w14:textFill>
            <w14:solidFill>
              <w14:schemeClr w14:val="tx1"/>
            </w14:solidFill>
          </w14:textFill>
        </w:rPr>
        <w:t>重庆市大渡口区2021年国民经济和社会发展</w:t>
      </w:r>
    </w:p>
    <w:p>
      <w:pPr>
        <w:spacing w:line="594" w:lineRule="exact"/>
        <w:jc w:val="center"/>
        <w:rPr>
          <w:rFonts w:eastAsia="方正小标宋_GBK"/>
          <w:color w:val="000000" w:themeColor="text1"/>
          <w:sz w:val="44"/>
          <w:szCs w:val="44"/>
          <w14:textFill>
            <w14:solidFill>
              <w14:schemeClr w14:val="tx1"/>
            </w14:solidFill>
          </w14:textFill>
        </w:rPr>
      </w:pPr>
      <w:r>
        <w:rPr>
          <w:rFonts w:eastAsia="方正小标宋_GBK"/>
          <w:color w:val="000000" w:themeColor="text1"/>
          <w:sz w:val="44"/>
          <w:szCs w:val="44"/>
          <w14:textFill>
            <w14:solidFill>
              <w14:schemeClr w14:val="tx1"/>
            </w14:solidFill>
          </w14:textFill>
        </w:rPr>
        <w:t>计划执行情况及2022年计划草案的报告</w:t>
      </w:r>
    </w:p>
    <w:p>
      <w:pPr>
        <w:spacing w:line="594" w:lineRule="exact"/>
        <w:rPr>
          <w:rFonts w:eastAsia="方正小标宋_GBK"/>
          <w:color w:val="000000" w:themeColor="text1"/>
          <w:sz w:val="44"/>
          <w:szCs w:val="44"/>
          <w14:textFill>
            <w14:solidFill>
              <w14:schemeClr w14:val="tx1"/>
            </w14:solidFill>
          </w14:textFill>
        </w:rPr>
      </w:pPr>
    </w:p>
    <w:p>
      <w:pPr>
        <w:spacing w:line="594" w:lineRule="exact"/>
        <w:ind w:firstLine="640" w:firstLineChars="200"/>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一、2021年国民经济和社会发展计划执行情况</w:t>
      </w:r>
    </w:p>
    <w:p>
      <w:pPr>
        <w:pStyle w:val="10"/>
        <w:widowControl w:val="0"/>
        <w:spacing w:before="0" w:beforeAutospacing="0" w:after="0" w:afterAutospacing="0" w:line="594" w:lineRule="exact"/>
        <w:ind w:firstLine="640" w:firstLineChars="200"/>
        <w:jc w:val="both"/>
        <w:textAlignment w:val="baseline"/>
        <w:rPr>
          <w:rFonts w:ascii="Times New Roman" w:hAnsi="Times New Roman" w:eastAsia="方正仿宋_GBK" w:cs="Times New Roman"/>
          <w:sz w:val="32"/>
          <w:szCs w:val="32"/>
        </w:rPr>
      </w:pPr>
      <w:r>
        <w:rPr>
          <w:rFonts w:hint="eastAsia" w:ascii="Times New Roman" w:hAnsi="Times New Roman" w:eastAsia="方正仿宋_GBK" w:cs="Times New Roman"/>
          <w:bCs/>
          <w:color w:val="000000" w:themeColor="text1"/>
          <w:sz w:val="32"/>
          <w:szCs w:val="32"/>
          <w14:textFill>
            <w14:solidFill>
              <w14:schemeClr w14:val="tx1"/>
            </w14:solidFill>
          </w14:textFill>
        </w:rPr>
        <w:t>一年来</w:t>
      </w:r>
      <w:r>
        <w:rPr>
          <w:rFonts w:ascii="Times New Roman" w:hAnsi="Times New Roman" w:eastAsia="方正仿宋_GBK" w:cs="Times New Roman"/>
          <w:bCs/>
          <w:color w:val="000000" w:themeColor="text1"/>
          <w:sz w:val="32"/>
          <w:szCs w:val="32"/>
          <w14:textFill>
            <w14:solidFill>
              <w14:schemeClr w14:val="tx1"/>
            </w14:solidFill>
          </w14:textFill>
        </w:rPr>
        <w:t>，在区委坚强领导下，在区人大、区政协监督支持下，</w:t>
      </w:r>
      <w:r>
        <w:rPr>
          <w:rFonts w:ascii="Times New Roman" w:hAnsi="Times New Roman" w:eastAsia="方正仿宋_GBK" w:cs="Times New Roman"/>
          <w:color w:val="000000" w:themeColor="text1"/>
          <w:sz w:val="32"/>
          <w:szCs w:val="32"/>
          <w14:textFill>
            <w14:solidFill>
              <w14:schemeClr w14:val="tx1"/>
            </w14:solidFill>
          </w14:textFill>
        </w:rPr>
        <w:t>全区上下坚持以</w:t>
      </w:r>
      <w:r>
        <w:rPr>
          <w:rFonts w:ascii="Times New Roman" w:hAnsi="Times New Roman" w:eastAsia="方正仿宋_GBK" w:cs="Times New Roman"/>
          <w:sz w:val="32"/>
          <w:szCs w:val="32"/>
        </w:rPr>
        <w:t>习近平新时代中国特色社会主义思想为指导，</w:t>
      </w:r>
      <w:r>
        <w:rPr>
          <w:rFonts w:ascii="Times New Roman" w:hAnsi="Times New Roman" w:eastAsia="方正仿宋_GBK" w:cs="Times New Roman"/>
          <w:bCs/>
          <w:color w:val="000000" w:themeColor="text1"/>
          <w:sz w:val="32"/>
          <w:szCs w:val="32"/>
          <w14:textFill>
            <w14:solidFill>
              <w14:schemeClr w14:val="tx1"/>
            </w14:solidFill>
          </w14:textFill>
        </w:rPr>
        <w:t>全面落实习近平总书记对重庆作出的重要指示要求，</w:t>
      </w:r>
      <w:r>
        <w:rPr>
          <w:rFonts w:ascii="Times New Roman" w:hAnsi="Times New Roman" w:eastAsia="方正仿宋_GBK" w:cs="Times New Roman"/>
          <w:sz w:val="32"/>
          <w:szCs w:val="32"/>
        </w:rPr>
        <w:t>认真贯彻落实党中央国务院、市委市政府和区委的决策部署，持续巩固拓展疫情防控和经济社会发展成果，聚焦主要目标、重大战略和重大项目狠抓落实，以实干实效庆祝中国共产党成立100周年，高质量发展取得新进展，融入新发展格局</w:t>
      </w:r>
      <w:r>
        <w:rPr>
          <w:rFonts w:hint="eastAsia" w:ascii="Times New Roman" w:hAnsi="Times New Roman" w:eastAsia="方正仿宋_GBK" w:cs="Times New Roman"/>
          <w:sz w:val="32"/>
          <w:szCs w:val="32"/>
        </w:rPr>
        <w:t>呈现</w:t>
      </w:r>
      <w:r>
        <w:rPr>
          <w:rFonts w:ascii="Times New Roman" w:hAnsi="Times New Roman" w:eastAsia="方正仿宋_GBK" w:cs="Times New Roman"/>
          <w:sz w:val="32"/>
          <w:szCs w:val="32"/>
        </w:rPr>
        <w:t>新气象，“十四五”实现良好开局。</w:t>
      </w:r>
    </w:p>
    <w:p>
      <w:pPr>
        <w:spacing w:line="594" w:lineRule="exact"/>
        <w:ind w:firstLine="643" w:firstLineChars="200"/>
        <w:rPr>
          <w:rFonts w:eastAsia="方正楷体_GBK"/>
          <w:b/>
          <w:color w:val="000000" w:themeColor="text1"/>
          <w:sz w:val="32"/>
          <w:szCs w:val="32"/>
          <w14:textFill>
            <w14:solidFill>
              <w14:schemeClr w14:val="tx1"/>
            </w14:solidFill>
          </w14:textFill>
        </w:rPr>
      </w:pPr>
      <w:r>
        <w:rPr>
          <w:rFonts w:eastAsia="方正楷体_GBK"/>
          <w:b/>
          <w:color w:val="000000" w:themeColor="text1"/>
          <w:sz w:val="32"/>
          <w:szCs w:val="32"/>
          <w14:textFill>
            <w14:solidFill>
              <w14:schemeClr w14:val="tx1"/>
            </w14:solidFill>
          </w14:textFill>
        </w:rPr>
        <w:t>（一）国民经济和社会发展主要指标完成情况</w:t>
      </w:r>
    </w:p>
    <w:p>
      <w:pPr>
        <w:spacing w:line="594"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区十三届人大五次会议批准的2021年计划报告32项指标中，完成29项，完成率90.6%，其中约束性指标8项，完成6项；预期性指标24项，完成23项。GDP等重要经济指标高于预期目标，经济恢复态势更加稳健，社会民生保障更加有力，计划总体执行情况良好。</w:t>
      </w:r>
    </w:p>
    <w:p>
      <w:pPr>
        <w:spacing w:line="594" w:lineRule="exact"/>
        <w:ind w:firstLine="640" w:firstLineChars="200"/>
        <w:rPr>
          <w:rFonts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经济质效稳步提升。全年地区生产总值有望突破300亿元、增长8%以上，</w:t>
      </w:r>
      <w:r>
        <w:rPr>
          <w:rFonts w:eastAsia="方正仿宋_GBK"/>
          <w:sz w:val="32"/>
          <w:szCs w:val="32"/>
        </w:rPr>
        <w:t>高于2020年</w:t>
      </w:r>
      <w:r>
        <w:rPr>
          <w:rFonts w:eastAsia="方正仿宋_GBK"/>
          <w:color w:val="000000" w:themeColor="text1"/>
          <w:sz w:val="32"/>
          <w:szCs w:val="32"/>
          <w14:textFill>
            <w14:solidFill>
              <w14:schemeClr w14:val="tx1"/>
            </w14:solidFill>
          </w14:textFill>
        </w:rPr>
        <w:t>5</w:t>
      </w:r>
      <w:r>
        <w:rPr>
          <w:rFonts w:eastAsia="方正仿宋_GBK"/>
          <w:sz w:val="32"/>
          <w:szCs w:val="32"/>
        </w:rPr>
        <w:t>个百分点，两年平均增速呈现恢复性增长态势</w:t>
      </w:r>
      <w:r>
        <w:rPr>
          <w:rFonts w:eastAsia="方正仿宋_GBK"/>
          <w:color w:val="000000" w:themeColor="text1"/>
          <w:sz w:val="32"/>
          <w:szCs w:val="32"/>
          <w14:textFill>
            <w14:solidFill>
              <w14:schemeClr w14:val="tx1"/>
            </w14:solidFill>
          </w14:textFill>
        </w:rPr>
        <w:t>。产业结构持续优化，战略性新兴制造业产值占规上工业总产值比重达60%，</w:t>
      </w:r>
      <w:r>
        <w:rPr>
          <w:rFonts w:eastAsia="方正仿宋_GBK"/>
          <w:sz w:val="32"/>
          <w:szCs w:val="32"/>
        </w:rPr>
        <w:t>服务业增加值占GDP比重达</w:t>
      </w:r>
      <w:r>
        <w:rPr>
          <w:rFonts w:eastAsia="方正仿宋_GBK"/>
          <w:color w:val="000000" w:themeColor="text1"/>
          <w:sz w:val="32"/>
          <w:szCs w:val="32"/>
          <w14:textFill>
            <w14:solidFill>
              <w14:schemeClr w14:val="tx1"/>
            </w14:solidFill>
          </w14:textFill>
        </w:rPr>
        <w:t>55.6</w:t>
      </w:r>
      <w:r>
        <w:rPr>
          <w:rFonts w:eastAsia="方正仿宋_GBK"/>
          <w:sz w:val="32"/>
          <w:szCs w:val="32"/>
        </w:rPr>
        <w:t>%</w:t>
      </w:r>
      <w:r>
        <w:rPr>
          <w:rFonts w:eastAsia="方正仿宋_GBK"/>
          <w:color w:val="000000" w:themeColor="text1"/>
          <w:sz w:val="32"/>
          <w:szCs w:val="32"/>
          <w14:textFill>
            <w14:solidFill>
              <w14:schemeClr w14:val="tx1"/>
            </w14:solidFill>
          </w14:textFill>
        </w:rPr>
        <w:t>，成功纳入</w:t>
      </w:r>
      <w:r>
        <w:rPr>
          <w:rFonts w:eastAsia="方正仿宋_GBK"/>
          <w:sz w:val="32"/>
          <w:szCs w:val="32"/>
        </w:rPr>
        <w:t>国家首批产业转型升级示范区</w:t>
      </w:r>
      <w:r>
        <w:rPr>
          <w:rFonts w:eastAsia="方正仿宋_GBK"/>
          <w:color w:val="000000" w:themeColor="text1"/>
          <w:sz w:val="32"/>
          <w:szCs w:val="32"/>
          <w14:textFill>
            <w14:solidFill>
              <w14:schemeClr w14:val="tx1"/>
            </w14:solidFill>
          </w14:textFill>
        </w:rPr>
        <w:t>。</w:t>
      </w:r>
    </w:p>
    <w:p>
      <w:pPr>
        <w:spacing w:line="594" w:lineRule="exact"/>
        <w:ind w:firstLine="640" w:firstLineChars="200"/>
        <w:rPr>
          <w:rFonts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工业经济快速增长。全年工业总产值</w:t>
      </w:r>
      <w:r>
        <w:rPr>
          <w:rFonts w:hint="eastAsia" w:eastAsia="方正仿宋_GBK"/>
          <w:color w:val="000000" w:themeColor="text1"/>
          <w:sz w:val="32"/>
          <w:szCs w:val="32"/>
          <w14:textFill>
            <w14:solidFill>
              <w14:schemeClr w14:val="tx1"/>
            </w14:solidFill>
          </w14:textFill>
        </w:rPr>
        <w:t>突破350</w:t>
      </w:r>
      <w:r>
        <w:rPr>
          <w:rFonts w:eastAsia="方正仿宋_GBK"/>
          <w:color w:val="000000" w:themeColor="text1"/>
          <w:sz w:val="32"/>
          <w:szCs w:val="32"/>
          <w14:textFill>
            <w14:solidFill>
              <w14:schemeClr w14:val="tx1"/>
            </w14:solidFill>
          </w14:textFill>
        </w:rPr>
        <w:t>亿元、增长</w:t>
      </w:r>
      <w:r>
        <w:rPr>
          <w:rFonts w:hint="eastAsia" w:eastAsia="方正仿宋_GBK"/>
          <w:color w:val="000000" w:themeColor="text1"/>
          <w:sz w:val="32"/>
          <w:szCs w:val="32"/>
          <w14:textFill>
            <w14:solidFill>
              <w14:schemeClr w14:val="tx1"/>
            </w14:solidFill>
          </w14:textFill>
        </w:rPr>
        <w:t>35</w:t>
      </w:r>
      <w:r>
        <w:rPr>
          <w:rFonts w:eastAsia="方正仿宋_GBK"/>
          <w:color w:val="000000" w:themeColor="text1"/>
          <w:sz w:val="32"/>
          <w:szCs w:val="32"/>
          <w14:textFill>
            <w14:solidFill>
              <w14:schemeClr w14:val="tx1"/>
            </w14:solidFill>
          </w14:textFill>
        </w:rPr>
        <w:t>%；规上工业增加值增长23%，</w:t>
      </w:r>
      <w:r>
        <w:rPr>
          <w:rFonts w:eastAsia="方正仿宋_GBK"/>
          <w:sz w:val="32"/>
          <w:szCs w:val="32"/>
        </w:rPr>
        <w:t>居全市第一，</w:t>
      </w:r>
      <w:r>
        <w:rPr>
          <w:rFonts w:eastAsia="方正仿宋_GBK"/>
          <w:color w:val="000000" w:themeColor="text1"/>
          <w:sz w:val="32"/>
          <w:szCs w:val="32"/>
          <w14:textFill>
            <w14:solidFill>
              <w14:schemeClr w14:val="tx1"/>
            </w14:solidFill>
          </w14:textFill>
        </w:rPr>
        <w:t>工业对经济增长的贡献率达60%，工业经济基础持续巩固。</w:t>
      </w:r>
    </w:p>
    <w:p>
      <w:pPr>
        <w:spacing w:line="594" w:lineRule="exact"/>
        <w:ind w:firstLine="640" w:firstLineChars="200"/>
        <w:rPr>
          <w:rFonts w:eastAsia="方正仿宋_GBK"/>
          <w:sz w:val="32"/>
          <w:szCs w:val="32"/>
        </w:rPr>
      </w:pPr>
      <w:r>
        <w:rPr>
          <w:rFonts w:hint="eastAsia" w:ascii="方正仿宋_GBK"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发展动能不断增强。国家双创示范基地建设扎实推进，认定国家高新技术企业33家，规上工业高技术企业实现产值138亿元、增长80%。数字</w:t>
      </w:r>
      <w:r>
        <w:rPr>
          <w:rFonts w:hint="eastAsia" w:eastAsia="方正仿宋_GBK"/>
          <w:color w:val="000000" w:themeColor="text1"/>
          <w:sz w:val="32"/>
          <w:szCs w:val="32"/>
          <w14:textFill>
            <w14:solidFill>
              <w14:schemeClr w14:val="tx1"/>
            </w14:solidFill>
          </w14:textFill>
        </w:rPr>
        <w:t>产业</w:t>
      </w:r>
      <w:r>
        <w:rPr>
          <w:rFonts w:eastAsia="方正仿宋_GBK"/>
          <w:color w:val="000000" w:themeColor="text1"/>
          <w:sz w:val="32"/>
          <w:szCs w:val="32"/>
          <w14:textFill>
            <w14:solidFill>
              <w14:schemeClr w14:val="tx1"/>
            </w14:solidFill>
          </w14:textFill>
        </w:rPr>
        <w:t>增加值占</w:t>
      </w:r>
      <w:r>
        <w:rPr>
          <w:rFonts w:hint="eastAsia" w:eastAsia="方正仿宋_GBK"/>
          <w:color w:val="000000" w:themeColor="text1"/>
          <w:sz w:val="32"/>
          <w:szCs w:val="32"/>
          <w14:textFill>
            <w14:solidFill>
              <w14:schemeClr w14:val="tx1"/>
            </w14:solidFill>
          </w14:textFill>
        </w:rPr>
        <w:t>GDP</w:t>
      </w:r>
      <w:r>
        <w:rPr>
          <w:rFonts w:eastAsia="方正仿宋_GBK"/>
          <w:color w:val="000000" w:themeColor="text1"/>
          <w:sz w:val="32"/>
          <w:szCs w:val="32"/>
          <w14:textFill>
            <w14:solidFill>
              <w14:schemeClr w14:val="tx1"/>
            </w14:solidFill>
          </w14:textFill>
        </w:rPr>
        <w:t>比重达7%。投资效益稳步提升，</w:t>
      </w:r>
      <w:r>
        <w:rPr>
          <w:rFonts w:hint="eastAsia" w:eastAsia="方正仿宋_GBK"/>
          <w:color w:val="000000" w:themeColor="text1"/>
          <w:sz w:val="32"/>
          <w:szCs w:val="32"/>
          <w14:textFill>
            <w14:solidFill>
              <w14:schemeClr w14:val="tx1"/>
            </w14:solidFill>
          </w14:textFill>
        </w:rPr>
        <w:t>实现全社会</w:t>
      </w:r>
      <w:r>
        <w:rPr>
          <w:rFonts w:eastAsia="方正仿宋_GBK"/>
          <w:color w:val="000000" w:themeColor="text1"/>
          <w:sz w:val="32"/>
          <w:szCs w:val="32"/>
          <w14:textFill>
            <w14:solidFill>
              <w14:schemeClr w14:val="tx1"/>
            </w14:solidFill>
          </w14:textFill>
        </w:rPr>
        <w:t>固定资产投资</w:t>
      </w:r>
      <w:r>
        <w:rPr>
          <w:rFonts w:eastAsia="方正仿宋_GBK"/>
          <w:sz w:val="32"/>
          <w:szCs w:val="32"/>
        </w:rPr>
        <w:t>24</w:t>
      </w:r>
      <w:r>
        <w:rPr>
          <w:rFonts w:hint="eastAsia" w:eastAsia="方正仿宋_GBK"/>
          <w:sz w:val="32"/>
          <w:szCs w:val="32"/>
        </w:rPr>
        <w:t>1</w:t>
      </w:r>
      <w:r>
        <w:rPr>
          <w:rFonts w:eastAsia="方正仿宋_GBK"/>
          <w:sz w:val="32"/>
          <w:szCs w:val="32"/>
        </w:rPr>
        <w:t>亿元、</w:t>
      </w:r>
      <w:r>
        <w:rPr>
          <w:rFonts w:eastAsia="方正仿宋_GBK"/>
          <w:color w:val="000000" w:themeColor="text1"/>
          <w:sz w:val="32"/>
          <w:szCs w:val="32"/>
          <w14:textFill>
            <w14:solidFill>
              <w14:schemeClr w14:val="tx1"/>
            </w14:solidFill>
          </w14:textFill>
        </w:rPr>
        <w:t>增长6%。消费市场持续恢复，社会消费品零售总额增长11%。开放型经济取得新突破，进出口总额超过</w:t>
      </w:r>
      <w:r>
        <w:rPr>
          <w:rFonts w:eastAsia="方正仿宋_GBK"/>
          <w:sz w:val="32"/>
          <w:szCs w:val="32"/>
        </w:rPr>
        <w:t>32亿元、增长45%以上。</w:t>
      </w:r>
    </w:p>
    <w:p>
      <w:pPr>
        <w:spacing w:line="594" w:lineRule="exact"/>
        <w:ind w:firstLine="640" w:firstLineChars="200"/>
        <w:rPr>
          <w:rFonts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社会民生持续改善。公办园在园幼儿人数占比达53.2%，学前三年教育普惠率达93%。城乡居民基本养老保险、医疗保险参保率均保持在95%以上，新增城镇就业13054人，全区居民人均可支配收入4.6万元、增长9%。</w:t>
      </w:r>
    </w:p>
    <w:p>
      <w:pPr>
        <w:spacing w:line="600" w:lineRule="exact"/>
        <w:jc w:val="center"/>
        <w:rPr>
          <w:rFonts w:eastAsia="方正黑体_GBK"/>
          <w:color w:val="000000" w:themeColor="text1"/>
          <w:sz w:val="28"/>
          <w:szCs w:val="28"/>
          <w14:textFill>
            <w14:solidFill>
              <w14:schemeClr w14:val="tx1"/>
            </w14:solidFill>
          </w14:textFill>
        </w:rPr>
      </w:pPr>
      <w:r>
        <w:rPr>
          <w:rFonts w:eastAsia="方正黑体_GBK"/>
          <w:color w:val="000000" w:themeColor="text1"/>
          <w:sz w:val="28"/>
          <w:szCs w:val="28"/>
          <w14:textFill>
            <w14:solidFill>
              <w14:schemeClr w14:val="tx1"/>
            </w14:solidFill>
          </w14:textFill>
        </w:rPr>
        <w:t>表1：2021年国民经济和社会发展计划目标完成情况</w:t>
      </w:r>
    </w:p>
    <w:tbl>
      <w:tblPr>
        <w:tblStyle w:val="12"/>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687"/>
        <w:gridCol w:w="2439"/>
        <w:gridCol w:w="1166"/>
        <w:gridCol w:w="1089"/>
        <w:gridCol w:w="1569"/>
        <w:gridCol w:w="156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63" w:hRule="atLeast"/>
          <w:tblHeader/>
          <w:jc w:val="center"/>
        </w:trPr>
        <w:tc>
          <w:tcPr>
            <w:tcW w:w="687" w:type="dxa"/>
            <w:vAlign w:val="center"/>
          </w:tcPr>
          <w:p>
            <w:pPr>
              <w:spacing w:line="320" w:lineRule="exact"/>
              <w:jc w:val="center"/>
              <w:rPr>
                <w:rFonts w:eastAsia="方正黑体_GBK"/>
                <w:kern w:val="0"/>
                <w:sz w:val="24"/>
                <w:szCs w:val="24"/>
              </w:rPr>
            </w:pPr>
            <w:r>
              <w:rPr>
                <w:rFonts w:eastAsia="方正黑体_GBK"/>
                <w:kern w:val="0"/>
                <w:sz w:val="24"/>
                <w:szCs w:val="24"/>
              </w:rPr>
              <w:t>序号</w:t>
            </w:r>
          </w:p>
        </w:tc>
        <w:tc>
          <w:tcPr>
            <w:tcW w:w="2439" w:type="dxa"/>
            <w:vAlign w:val="center"/>
          </w:tcPr>
          <w:p>
            <w:pPr>
              <w:spacing w:line="320" w:lineRule="exact"/>
              <w:jc w:val="center"/>
              <w:rPr>
                <w:rFonts w:eastAsia="方正黑体_GBK"/>
                <w:kern w:val="0"/>
                <w:sz w:val="24"/>
                <w:szCs w:val="24"/>
              </w:rPr>
            </w:pPr>
            <w:r>
              <w:rPr>
                <w:rFonts w:eastAsia="方正黑体_GBK"/>
                <w:kern w:val="0"/>
                <w:sz w:val="24"/>
                <w:szCs w:val="24"/>
              </w:rPr>
              <w:t>指标名称</w:t>
            </w:r>
          </w:p>
        </w:tc>
        <w:tc>
          <w:tcPr>
            <w:tcW w:w="1166" w:type="dxa"/>
            <w:vAlign w:val="center"/>
          </w:tcPr>
          <w:p>
            <w:pPr>
              <w:spacing w:line="320" w:lineRule="exact"/>
              <w:jc w:val="center"/>
              <w:rPr>
                <w:rFonts w:eastAsia="方正黑体_GBK"/>
                <w:kern w:val="0"/>
                <w:sz w:val="24"/>
                <w:szCs w:val="24"/>
              </w:rPr>
            </w:pPr>
            <w:r>
              <w:rPr>
                <w:rFonts w:eastAsia="方正黑体_GBK"/>
                <w:kern w:val="0"/>
                <w:sz w:val="24"/>
                <w:szCs w:val="24"/>
              </w:rPr>
              <w:t>单位</w:t>
            </w:r>
          </w:p>
        </w:tc>
        <w:tc>
          <w:tcPr>
            <w:tcW w:w="1089" w:type="dxa"/>
            <w:vAlign w:val="center"/>
          </w:tcPr>
          <w:p>
            <w:pPr>
              <w:spacing w:line="320" w:lineRule="exact"/>
              <w:jc w:val="center"/>
              <w:rPr>
                <w:rFonts w:eastAsia="方正黑体_GBK"/>
                <w:kern w:val="0"/>
                <w:sz w:val="24"/>
                <w:szCs w:val="24"/>
              </w:rPr>
            </w:pPr>
            <w:r>
              <w:rPr>
                <w:rFonts w:eastAsia="方正黑体_GBK"/>
                <w:kern w:val="0"/>
                <w:sz w:val="24"/>
                <w:szCs w:val="24"/>
              </w:rPr>
              <w:t>指标属性</w:t>
            </w:r>
          </w:p>
        </w:tc>
        <w:tc>
          <w:tcPr>
            <w:tcW w:w="1569" w:type="dxa"/>
            <w:vAlign w:val="center"/>
          </w:tcPr>
          <w:p>
            <w:pPr>
              <w:spacing w:line="320" w:lineRule="exact"/>
              <w:jc w:val="center"/>
              <w:rPr>
                <w:rFonts w:eastAsia="方正黑体_GBK"/>
                <w:kern w:val="0"/>
                <w:sz w:val="24"/>
                <w:szCs w:val="24"/>
              </w:rPr>
            </w:pPr>
            <w:r>
              <w:rPr>
                <w:rFonts w:eastAsia="方正黑体_GBK"/>
                <w:kern w:val="0"/>
                <w:sz w:val="24"/>
                <w:szCs w:val="24"/>
              </w:rPr>
              <w:t>2021年目标</w:t>
            </w:r>
          </w:p>
        </w:tc>
        <w:tc>
          <w:tcPr>
            <w:tcW w:w="1569" w:type="dxa"/>
            <w:vAlign w:val="center"/>
          </w:tcPr>
          <w:p>
            <w:pPr>
              <w:spacing w:line="320" w:lineRule="exact"/>
              <w:jc w:val="center"/>
              <w:rPr>
                <w:rFonts w:eastAsia="方正黑体_GBK"/>
                <w:kern w:val="0"/>
                <w:sz w:val="24"/>
                <w:szCs w:val="24"/>
              </w:rPr>
            </w:pPr>
            <w:r>
              <w:rPr>
                <w:rFonts w:eastAsia="方正黑体_GBK"/>
                <w:kern w:val="0"/>
                <w:sz w:val="24"/>
                <w:szCs w:val="24"/>
              </w:rPr>
              <w:t>2021年</w:t>
            </w:r>
          </w:p>
          <w:p>
            <w:pPr>
              <w:spacing w:line="320" w:lineRule="exact"/>
              <w:jc w:val="center"/>
              <w:rPr>
                <w:rFonts w:eastAsia="方正黑体_GBK"/>
                <w:kern w:val="0"/>
                <w:sz w:val="24"/>
                <w:szCs w:val="24"/>
              </w:rPr>
            </w:pPr>
            <w:r>
              <w:rPr>
                <w:rFonts w:eastAsia="方正黑体_GBK"/>
                <w:kern w:val="0"/>
                <w:sz w:val="24"/>
                <w:szCs w:val="24"/>
              </w:rPr>
              <w:t>预计完成</w:t>
            </w:r>
          </w:p>
        </w:tc>
        <w:tc>
          <w:tcPr>
            <w:tcW w:w="859" w:type="dxa"/>
            <w:vAlign w:val="center"/>
          </w:tcPr>
          <w:p>
            <w:pPr>
              <w:spacing w:line="320" w:lineRule="exact"/>
              <w:jc w:val="center"/>
              <w:rPr>
                <w:rFonts w:eastAsia="方正黑体_GBK"/>
                <w:kern w:val="0"/>
                <w:sz w:val="24"/>
                <w:szCs w:val="24"/>
              </w:rPr>
            </w:pPr>
            <w:r>
              <w:rPr>
                <w:rFonts w:eastAsia="方正黑体_GBK"/>
                <w:kern w:val="0"/>
                <w:sz w:val="24"/>
                <w:szCs w:val="24"/>
              </w:rPr>
              <w:t>是否达到预期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68"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1</w:t>
            </w:r>
          </w:p>
        </w:tc>
        <w:tc>
          <w:tcPr>
            <w:tcW w:w="2439" w:type="dxa"/>
            <w:vAlign w:val="center"/>
          </w:tcPr>
          <w:p>
            <w:pPr>
              <w:spacing w:line="300" w:lineRule="exact"/>
              <w:jc w:val="left"/>
              <w:rPr>
                <w:rFonts w:eastAsia="方正仿宋_GBK"/>
                <w:kern w:val="0"/>
                <w:szCs w:val="21"/>
              </w:rPr>
            </w:pPr>
            <w:r>
              <w:rPr>
                <w:rFonts w:eastAsia="方正仿宋_GBK"/>
                <w:kern w:val="0"/>
                <w:szCs w:val="21"/>
              </w:rPr>
              <w:t>地区生产总值增速</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6</w:t>
            </w:r>
          </w:p>
        </w:tc>
        <w:tc>
          <w:tcPr>
            <w:tcW w:w="1569" w:type="dxa"/>
            <w:vAlign w:val="center"/>
          </w:tcPr>
          <w:p>
            <w:pPr>
              <w:spacing w:line="300" w:lineRule="exact"/>
              <w:jc w:val="center"/>
              <w:rPr>
                <w:rFonts w:eastAsia="方正仿宋_GBK"/>
                <w:kern w:val="0"/>
                <w:szCs w:val="21"/>
              </w:rPr>
            </w:pPr>
            <w:r>
              <w:rPr>
                <w:rFonts w:eastAsia="方正仿宋_GBK"/>
                <w:kern w:val="0"/>
                <w:szCs w:val="21"/>
              </w:rPr>
              <w:t>8以上</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2</w:t>
            </w:r>
          </w:p>
        </w:tc>
        <w:tc>
          <w:tcPr>
            <w:tcW w:w="2439" w:type="dxa"/>
            <w:vAlign w:val="center"/>
          </w:tcPr>
          <w:p>
            <w:pPr>
              <w:spacing w:line="300" w:lineRule="exact"/>
              <w:jc w:val="left"/>
              <w:rPr>
                <w:rFonts w:eastAsia="方正仿宋_GBK"/>
                <w:kern w:val="0"/>
                <w:szCs w:val="21"/>
              </w:rPr>
            </w:pPr>
            <w:r>
              <w:rPr>
                <w:rFonts w:eastAsia="方正仿宋_GBK"/>
                <w:kern w:val="0"/>
                <w:szCs w:val="21"/>
              </w:rPr>
              <w:t>人均地区生产总值</w:t>
            </w:r>
          </w:p>
        </w:tc>
        <w:tc>
          <w:tcPr>
            <w:tcW w:w="1166" w:type="dxa"/>
            <w:vAlign w:val="center"/>
          </w:tcPr>
          <w:p>
            <w:pPr>
              <w:spacing w:line="300" w:lineRule="exact"/>
              <w:jc w:val="center"/>
              <w:rPr>
                <w:rFonts w:eastAsia="方正仿宋_GBK"/>
                <w:kern w:val="0"/>
                <w:szCs w:val="21"/>
              </w:rPr>
            </w:pPr>
            <w:r>
              <w:rPr>
                <w:rFonts w:eastAsia="方正仿宋_GBK"/>
                <w:kern w:val="0"/>
                <w:szCs w:val="21"/>
              </w:rPr>
              <w:t>（万元）</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7.4</w:t>
            </w:r>
          </w:p>
          <w:p>
            <w:pPr>
              <w:pStyle w:val="5"/>
              <w:spacing w:line="200" w:lineRule="exact"/>
              <w:jc w:val="center"/>
              <w:rPr>
                <w:color w:val="000000" w:themeColor="text1"/>
                <w14:textFill>
                  <w14:solidFill>
                    <w14:schemeClr w14:val="tx1"/>
                  </w14:solidFill>
                </w14:textFill>
              </w:rPr>
            </w:pPr>
            <w:r>
              <w:rPr>
                <w:rFonts w:eastAsia="方正仿宋_GBK"/>
                <w:color w:val="000000" w:themeColor="text1"/>
                <w:kern w:val="0"/>
                <w:sz w:val="15"/>
                <w:szCs w:val="15"/>
                <w14:textFill>
                  <w14:solidFill>
                    <w14:schemeClr w14:val="tx1"/>
                  </w14:solidFill>
                </w14:textFill>
              </w:rPr>
              <w:t>（按七人普前人口口径计算）</w:t>
            </w:r>
          </w:p>
        </w:tc>
        <w:tc>
          <w:tcPr>
            <w:tcW w:w="1569" w:type="dxa"/>
            <w:vAlign w:val="center"/>
          </w:tcPr>
          <w:p>
            <w:pPr>
              <w:spacing w:line="300" w:lineRule="exact"/>
              <w:jc w:val="center"/>
            </w:pPr>
            <w:r>
              <w:t>8</w:t>
            </w:r>
          </w:p>
          <w:p>
            <w:pPr>
              <w:spacing w:line="200" w:lineRule="exact"/>
              <w:jc w:val="center"/>
              <w:rPr>
                <w:rFonts w:eastAsia="方正仿宋_GBK"/>
                <w:kern w:val="0"/>
                <w:sz w:val="15"/>
                <w:szCs w:val="15"/>
              </w:rPr>
            </w:pPr>
            <w:r>
              <w:rPr>
                <w:rFonts w:eastAsia="方正仿宋_GBK"/>
                <w:kern w:val="0"/>
                <w:sz w:val="15"/>
                <w:szCs w:val="15"/>
              </w:rPr>
              <w:t>（按七人普前人口口径计算）</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57" w:hRule="atLeast"/>
          <w:jc w:val="center"/>
        </w:trPr>
        <w:tc>
          <w:tcPr>
            <w:tcW w:w="9378" w:type="dxa"/>
            <w:gridSpan w:val="7"/>
            <w:vAlign w:val="center"/>
          </w:tcPr>
          <w:p>
            <w:pPr>
              <w:spacing w:line="300" w:lineRule="exact"/>
              <w:jc w:val="center"/>
              <w:rPr>
                <w:rFonts w:eastAsia="方正楷体_GBK"/>
                <w:color w:val="000000" w:themeColor="text1"/>
                <w:kern w:val="0"/>
                <w:szCs w:val="21"/>
                <w14:textFill>
                  <w14:solidFill>
                    <w14:schemeClr w14:val="tx1"/>
                  </w14:solidFill>
                </w14:textFill>
              </w:rPr>
            </w:pPr>
            <w:r>
              <w:rPr>
                <w:rFonts w:eastAsia="方正楷体_GBK"/>
                <w:color w:val="000000" w:themeColor="text1"/>
                <w:kern w:val="0"/>
                <w:szCs w:val="21"/>
                <w14:textFill>
                  <w14:solidFill>
                    <w14:schemeClr w14:val="tx1"/>
                  </w14:solidFill>
                </w14:textFill>
              </w:rPr>
              <w:t>一、建设高质量产业之区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04"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3</w:t>
            </w:r>
          </w:p>
        </w:tc>
        <w:tc>
          <w:tcPr>
            <w:tcW w:w="2439" w:type="dxa"/>
            <w:vAlign w:val="center"/>
          </w:tcPr>
          <w:p>
            <w:pPr>
              <w:spacing w:line="300" w:lineRule="exact"/>
              <w:jc w:val="left"/>
              <w:rPr>
                <w:rFonts w:eastAsia="方正仿宋_GBK"/>
                <w:kern w:val="0"/>
                <w:szCs w:val="21"/>
              </w:rPr>
            </w:pPr>
            <w:r>
              <w:rPr>
                <w:rFonts w:eastAsia="方正仿宋_GBK"/>
                <w:kern w:val="0"/>
                <w:szCs w:val="21"/>
              </w:rPr>
              <w:t>全员劳动生产率</w:t>
            </w:r>
          </w:p>
        </w:tc>
        <w:tc>
          <w:tcPr>
            <w:tcW w:w="1166" w:type="dxa"/>
            <w:vAlign w:val="center"/>
          </w:tcPr>
          <w:p>
            <w:pPr>
              <w:spacing w:line="300" w:lineRule="exact"/>
              <w:jc w:val="center"/>
              <w:rPr>
                <w:rFonts w:eastAsia="方正仿宋_GBK"/>
                <w:kern w:val="0"/>
                <w:szCs w:val="21"/>
              </w:rPr>
            </w:pPr>
            <w:r>
              <w:rPr>
                <w:rFonts w:eastAsia="方正仿宋_GBK"/>
                <w:kern w:val="0"/>
                <w:szCs w:val="21"/>
              </w:rPr>
              <w:t>（万元/人）</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15.5</w:t>
            </w:r>
          </w:p>
          <w:p>
            <w:pPr>
              <w:pStyle w:val="5"/>
              <w:spacing w:line="200" w:lineRule="exact"/>
              <w:jc w:val="center"/>
              <w:rPr>
                <w:color w:val="000000" w:themeColor="text1"/>
                <w14:textFill>
                  <w14:solidFill>
                    <w14:schemeClr w14:val="tx1"/>
                  </w14:solidFill>
                </w14:textFill>
              </w:rPr>
            </w:pPr>
            <w:r>
              <w:rPr>
                <w:rFonts w:eastAsia="方正仿宋_GBK"/>
                <w:color w:val="000000" w:themeColor="text1"/>
                <w:kern w:val="0"/>
                <w:sz w:val="15"/>
                <w:szCs w:val="15"/>
                <w14:textFill>
                  <w14:solidFill>
                    <w14:schemeClr w14:val="tx1"/>
                  </w14:solidFill>
                </w14:textFill>
              </w:rPr>
              <w:t>（按七人普前人口口径计算）</w:t>
            </w:r>
          </w:p>
        </w:tc>
        <w:tc>
          <w:tcPr>
            <w:tcW w:w="1569" w:type="dxa"/>
            <w:vAlign w:val="center"/>
          </w:tcPr>
          <w:p>
            <w:pPr>
              <w:spacing w:line="300" w:lineRule="exact"/>
              <w:jc w:val="center"/>
              <w:rPr>
                <w:szCs w:val="22"/>
              </w:rPr>
            </w:pPr>
            <w:r>
              <w:rPr>
                <w:szCs w:val="22"/>
              </w:rPr>
              <w:t>15.9</w:t>
            </w:r>
          </w:p>
          <w:p>
            <w:pPr>
              <w:spacing w:line="240" w:lineRule="exact"/>
              <w:jc w:val="center"/>
            </w:pPr>
            <w:r>
              <w:rPr>
                <w:rFonts w:eastAsia="方正仿宋_GBK"/>
                <w:kern w:val="0"/>
                <w:sz w:val="15"/>
                <w:szCs w:val="15"/>
              </w:rPr>
              <w:t>（按七人普前人口口径计算）</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16"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4</w:t>
            </w:r>
          </w:p>
        </w:tc>
        <w:tc>
          <w:tcPr>
            <w:tcW w:w="2439" w:type="dxa"/>
            <w:vAlign w:val="center"/>
          </w:tcPr>
          <w:p>
            <w:pPr>
              <w:spacing w:line="300" w:lineRule="exact"/>
              <w:jc w:val="left"/>
              <w:rPr>
                <w:rFonts w:eastAsia="方正仿宋_GBK"/>
                <w:kern w:val="0"/>
                <w:szCs w:val="21"/>
              </w:rPr>
            </w:pPr>
            <w:r>
              <w:rPr>
                <w:rFonts w:eastAsia="方正仿宋_GBK"/>
                <w:kern w:val="0"/>
                <w:szCs w:val="21"/>
              </w:rPr>
              <w:t>规上工业增加值增速</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10</w:t>
            </w:r>
          </w:p>
        </w:tc>
        <w:tc>
          <w:tcPr>
            <w:tcW w:w="1569" w:type="dxa"/>
            <w:vAlign w:val="center"/>
          </w:tcPr>
          <w:p>
            <w:pPr>
              <w:spacing w:line="300" w:lineRule="exact"/>
              <w:jc w:val="center"/>
              <w:rPr>
                <w:rFonts w:eastAsia="方正仿宋_GBK"/>
                <w:kern w:val="0"/>
                <w:szCs w:val="21"/>
              </w:rPr>
            </w:pPr>
            <w:r>
              <w:rPr>
                <w:rFonts w:eastAsia="方正仿宋_GBK"/>
                <w:kern w:val="0"/>
                <w:szCs w:val="21"/>
              </w:rPr>
              <w:t>23</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20"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5</w:t>
            </w:r>
          </w:p>
        </w:tc>
        <w:tc>
          <w:tcPr>
            <w:tcW w:w="2439" w:type="dxa"/>
            <w:vAlign w:val="center"/>
          </w:tcPr>
          <w:p>
            <w:pPr>
              <w:spacing w:line="300" w:lineRule="exact"/>
              <w:jc w:val="left"/>
              <w:rPr>
                <w:rFonts w:eastAsia="方正仿宋_GBK"/>
                <w:kern w:val="0"/>
                <w:szCs w:val="21"/>
              </w:rPr>
            </w:pPr>
            <w:r>
              <w:rPr>
                <w:rFonts w:eastAsia="方正仿宋_GBK"/>
                <w:kern w:val="0"/>
                <w:szCs w:val="21"/>
              </w:rPr>
              <w:t>固定资产投资增速</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6</w:t>
            </w:r>
          </w:p>
        </w:tc>
        <w:tc>
          <w:tcPr>
            <w:tcW w:w="1569" w:type="dxa"/>
            <w:vAlign w:val="center"/>
          </w:tcPr>
          <w:p>
            <w:pPr>
              <w:spacing w:line="300" w:lineRule="exact"/>
              <w:jc w:val="center"/>
              <w:rPr>
                <w:rFonts w:eastAsia="方正仿宋_GBK"/>
                <w:kern w:val="0"/>
                <w:szCs w:val="21"/>
              </w:rPr>
            </w:pPr>
            <w:r>
              <w:rPr>
                <w:rFonts w:eastAsia="方正仿宋_GBK"/>
                <w:kern w:val="0"/>
                <w:szCs w:val="21"/>
              </w:rPr>
              <w:t>6</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65"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6</w:t>
            </w:r>
          </w:p>
        </w:tc>
        <w:tc>
          <w:tcPr>
            <w:tcW w:w="2439" w:type="dxa"/>
            <w:vAlign w:val="center"/>
          </w:tcPr>
          <w:p>
            <w:pPr>
              <w:spacing w:line="300" w:lineRule="exact"/>
              <w:jc w:val="left"/>
              <w:rPr>
                <w:rFonts w:eastAsia="方正仿宋_GBK"/>
                <w:kern w:val="0"/>
                <w:szCs w:val="21"/>
              </w:rPr>
            </w:pPr>
            <w:r>
              <w:rPr>
                <w:rFonts w:eastAsia="方正仿宋_GBK"/>
                <w:kern w:val="0"/>
                <w:szCs w:val="21"/>
              </w:rPr>
              <w:t>社会消费品零售总额增速</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10</w:t>
            </w:r>
          </w:p>
        </w:tc>
        <w:tc>
          <w:tcPr>
            <w:tcW w:w="1569" w:type="dxa"/>
            <w:vAlign w:val="center"/>
          </w:tcPr>
          <w:p>
            <w:pPr>
              <w:spacing w:line="300" w:lineRule="exact"/>
              <w:jc w:val="center"/>
              <w:rPr>
                <w:rFonts w:eastAsia="方正仿宋_GBK"/>
                <w:kern w:val="0"/>
                <w:szCs w:val="21"/>
              </w:rPr>
            </w:pPr>
            <w:r>
              <w:rPr>
                <w:rFonts w:eastAsia="方正仿宋_GBK"/>
                <w:kern w:val="0"/>
                <w:szCs w:val="21"/>
              </w:rPr>
              <w:t>11</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04"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7</w:t>
            </w:r>
          </w:p>
        </w:tc>
        <w:tc>
          <w:tcPr>
            <w:tcW w:w="2439" w:type="dxa"/>
            <w:vAlign w:val="center"/>
          </w:tcPr>
          <w:p>
            <w:pPr>
              <w:spacing w:line="280" w:lineRule="exact"/>
              <w:jc w:val="left"/>
              <w:rPr>
                <w:rFonts w:eastAsia="方正仿宋_GBK"/>
                <w:kern w:val="0"/>
                <w:szCs w:val="21"/>
              </w:rPr>
            </w:pPr>
            <w:r>
              <w:rPr>
                <w:rFonts w:eastAsia="方正仿宋_GBK"/>
                <w:kern w:val="0"/>
                <w:szCs w:val="21"/>
              </w:rPr>
              <w:t>战略性新兴制造业产值占规上工业总产值比重</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53以上</w:t>
            </w:r>
          </w:p>
        </w:tc>
        <w:tc>
          <w:tcPr>
            <w:tcW w:w="1569" w:type="dxa"/>
            <w:vAlign w:val="center"/>
          </w:tcPr>
          <w:p>
            <w:pPr>
              <w:spacing w:line="300" w:lineRule="exact"/>
              <w:jc w:val="center"/>
              <w:rPr>
                <w:rFonts w:eastAsia="方正仿宋_GBK"/>
                <w:kern w:val="0"/>
                <w:szCs w:val="21"/>
              </w:rPr>
            </w:pPr>
            <w:r>
              <w:rPr>
                <w:rFonts w:eastAsia="方正仿宋_GBK"/>
                <w:kern w:val="0"/>
                <w:szCs w:val="21"/>
              </w:rPr>
              <w:t>60</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515"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8</w:t>
            </w:r>
          </w:p>
        </w:tc>
        <w:tc>
          <w:tcPr>
            <w:tcW w:w="2439" w:type="dxa"/>
            <w:vAlign w:val="center"/>
          </w:tcPr>
          <w:p>
            <w:pPr>
              <w:spacing w:line="300" w:lineRule="exact"/>
              <w:jc w:val="left"/>
              <w:rPr>
                <w:rFonts w:eastAsia="方正仿宋_GBK"/>
                <w:kern w:val="0"/>
                <w:szCs w:val="21"/>
              </w:rPr>
            </w:pPr>
            <w:r>
              <w:rPr>
                <w:rFonts w:eastAsia="方正仿宋_GBK"/>
                <w:kern w:val="0"/>
                <w:szCs w:val="21"/>
              </w:rPr>
              <w:t>服务业增加值增速</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6</w:t>
            </w:r>
          </w:p>
        </w:tc>
        <w:tc>
          <w:tcPr>
            <w:tcW w:w="1569" w:type="dxa"/>
            <w:vAlign w:val="center"/>
          </w:tcPr>
          <w:p>
            <w:pPr>
              <w:spacing w:line="300" w:lineRule="exact"/>
              <w:jc w:val="center"/>
              <w:rPr>
                <w:rFonts w:eastAsia="方正仿宋_GBK"/>
                <w:kern w:val="0"/>
                <w:szCs w:val="21"/>
              </w:rPr>
            </w:pPr>
            <w:r>
              <w:rPr>
                <w:rFonts w:eastAsia="方正仿宋_GBK"/>
                <w:kern w:val="0"/>
                <w:szCs w:val="21"/>
              </w:rPr>
              <w:t>6</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9</w:t>
            </w:r>
          </w:p>
        </w:tc>
        <w:tc>
          <w:tcPr>
            <w:tcW w:w="2439" w:type="dxa"/>
            <w:vAlign w:val="center"/>
          </w:tcPr>
          <w:p>
            <w:pPr>
              <w:spacing w:line="280" w:lineRule="exact"/>
              <w:jc w:val="left"/>
              <w:rPr>
                <w:rFonts w:eastAsia="方正仿宋_GBK"/>
                <w:kern w:val="0"/>
                <w:szCs w:val="21"/>
              </w:rPr>
            </w:pPr>
            <w:r>
              <w:rPr>
                <w:rFonts w:eastAsia="方正仿宋_GBK"/>
                <w:kern w:val="0"/>
                <w:szCs w:val="21"/>
              </w:rPr>
              <w:t>数字经济增加值占地区生产总值比重</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7</w:t>
            </w:r>
          </w:p>
        </w:tc>
        <w:tc>
          <w:tcPr>
            <w:tcW w:w="1569" w:type="dxa"/>
            <w:vAlign w:val="center"/>
          </w:tcPr>
          <w:p>
            <w:pPr>
              <w:spacing w:line="300" w:lineRule="exact"/>
              <w:jc w:val="center"/>
              <w:rPr>
                <w:rFonts w:eastAsia="方正仿宋_GBK"/>
                <w:kern w:val="0"/>
                <w:szCs w:val="21"/>
              </w:rPr>
            </w:pPr>
            <w:r>
              <w:rPr>
                <w:rFonts w:eastAsia="方正仿宋_GBK"/>
                <w:kern w:val="0"/>
                <w:szCs w:val="21"/>
              </w:rPr>
              <w:t>7</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577"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10</w:t>
            </w:r>
          </w:p>
        </w:tc>
        <w:tc>
          <w:tcPr>
            <w:tcW w:w="2439" w:type="dxa"/>
            <w:vAlign w:val="center"/>
          </w:tcPr>
          <w:p>
            <w:pPr>
              <w:spacing w:line="280" w:lineRule="exact"/>
              <w:jc w:val="left"/>
              <w:rPr>
                <w:rFonts w:eastAsia="方正仿宋_GBK"/>
                <w:kern w:val="0"/>
                <w:szCs w:val="21"/>
              </w:rPr>
            </w:pPr>
            <w:r>
              <w:rPr>
                <w:rFonts w:eastAsia="方正仿宋_GBK"/>
                <w:kern w:val="0"/>
                <w:szCs w:val="21"/>
              </w:rPr>
              <w:t>文化产业增加值占地区生产总值比重</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4.2</w:t>
            </w:r>
          </w:p>
        </w:tc>
        <w:tc>
          <w:tcPr>
            <w:tcW w:w="1569" w:type="dxa"/>
            <w:vAlign w:val="center"/>
          </w:tcPr>
          <w:p>
            <w:pPr>
              <w:spacing w:line="300" w:lineRule="exact"/>
              <w:jc w:val="center"/>
              <w:rPr>
                <w:rFonts w:eastAsia="方正仿宋_GBK"/>
                <w:kern w:val="0"/>
                <w:szCs w:val="21"/>
              </w:rPr>
            </w:pPr>
            <w:r>
              <w:rPr>
                <w:rFonts w:eastAsia="方正仿宋_GBK"/>
                <w:kern w:val="0"/>
                <w:szCs w:val="21"/>
              </w:rPr>
              <w:t>4.6</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604"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11</w:t>
            </w:r>
          </w:p>
        </w:tc>
        <w:tc>
          <w:tcPr>
            <w:tcW w:w="2439" w:type="dxa"/>
            <w:vAlign w:val="center"/>
          </w:tcPr>
          <w:p>
            <w:pPr>
              <w:spacing w:line="280" w:lineRule="exact"/>
              <w:jc w:val="left"/>
              <w:rPr>
                <w:rFonts w:eastAsia="方正仿宋_GBK"/>
                <w:kern w:val="0"/>
                <w:szCs w:val="21"/>
              </w:rPr>
            </w:pPr>
            <w:r>
              <w:rPr>
                <w:rFonts w:eastAsia="方正仿宋_GBK"/>
                <w:kern w:val="0"/>
                <w:szCs w:val="21"/>
              </w:rPr>
              <w:t>研究与试验发展支出占地区生产总值比重</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4</w:t>
            </w:r>
          </w:p>
        </w:tc>
        <w:tc>
          <w:tcPr>
            <w:tcW w:w="1569" w:type="dxa"/>
            <w:vAlign w:val="center"/>
          </w:tcPr>
          <w:p>
            <w:pPr>
              <w:spacing w:line="300" w:lineRule="exact"/>
              <w:jc w:val="center"/>
              <w:rPr>
                <w:rFonts w:eastAsia="方正仿宋_GBK"/>
                <w:kern w:val="0"/>
                <w:szCs w:val="21"/>
              </w:rPr>
            </w:pPr>
            <w:r>
              <w:rPr>
                <w:rFonts w:eastAsia="方正仿宋_GBK"/>
                <w:kern w:val="0"/>
                <w:szCs w:val="21"/>
              </w:rPr>
              <w:t>4</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62"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12</w:t>
            </w:r>
          </w:p>
        </w:tc>
        <w:tc>
          <w:tcPr>
            <w:tcW w:w="2439" w:type="dxa"/>
            <w:vAlign w:val="center"/>
          </w:tcPr>
          <w:p>
            <w:pPr>
              <w:spacing w:line="300" w:lineRule="exact"/>
              <w:jc w:val="left"/>
              <w:rPr>
                <w:rFonts w:eastAsia="方正仿宋_GBK"/>
                <w:kern w:val="0"/>
                <w:szCs w:val="21"/>
              </w:rPr>
            </w:pPr>
            <w:r>
              <w:rPr>
                <w:rFonts w:eastAsia="方正仿宋_GBK"/>
                <w:kern w:val="0"/>
                <w:szCs w:val="21"/>
              </w:rPr>
              <w:t>万人发明专利拥有量</w:t>
            </w:r>
          </w:p>
        </w:tc>
        <w:tc>
          <w:tcPr>
            <w:tcW w:w="1166" w:type="dxa"/>
            <w:vAlign w:val="center"/>
          </w:tcPr>
          <w:p>
            <w:pPr>
              <w:spacing w:line="300" w:lineRule="exact"/>
              <w:jc w:val="center"/>
              <w:rPr>
                <w:rFonts w:eastAsia="方正仿宋_GBK"/>
                <w:kern w:val="0"/>
                <w:szCs w:val="21"/>
              </w:rPr>
            </w:pPr>
            <w:r>
              <w:rPr>
                <w:rFonts w:eastAsia="方正仿宋_GBK"/>
                <w:kern w:val="0"/>
                <w:szCs w:val="21"/>
              </w:rPr>
              <w:t>（件）</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19.1</w:t>
            </w:r>
          </w:p>
        </w:tc>
        <w:tc>
          <w:tcPr>
            <w:tcW w:w="1569" w:type="dxa"/>
            <w:vAlign w:val="center"/>
          </w:tcPr>
          <w:p>
            <w:pPr>
              <w:spacing w:line="300" w:lineRule="exact"/>
              <w:jc w:val="center"/>
              <w:rPr>
                <w:rFonts w:eastAsia="方正仿宋_GBK"/>
                <w:kern w:val="0"/>
                <w:szCs w:val="21"/>
              </w:rPr>
            </w:pPr>
            <w:r>
              <w:rPr>
                <w:rFonts w:eastAsia="方正仿宋_GBK"/>
                <w:kern w:val="0"/>
                <w:szCs w:val="21"/>
              </w:rPr>
              <w:t xml:space="preserve">19.1                                                                                                                                                                                                                                                                                                                                                                          </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92"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13</w:t>
            </w:r>
          </w:p>
        </w:tc>
        <w:tc>
          <w:tcPr>
            <w:tcW w:w="2439" w:type="dxa"/>
            <w:vAlign w:val="center"/>
          </w:tcPr>
          <w:p>
            <w:pPr>
              <w:spacing w:line="300" w:lineRule="exact"/>
              <w:jc w:val="left"/>
              <w:rPr>
                <w:rFonts w:eastAsia="方正仿宋_GBK"/>
                <w:kern w:val="0"/>
                <w:szCs w:val="21"/>
              </w:rPr>
            </w:pPr>
            <w:r>
              <w:rPr>
                <w:rFonts w:eastAsia="方正仿宋_GBK"/>
                <w:kern w:val="0"/>
                <w:szCs w:val="21"/>
              </w:rPr>
              <w:t>人民币存贷款余额增速</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12</w:t>
            </w:r>
          </w:p>
        </w:tc>
        <w:tc>
          <w:tcPr>
            <w:tcW w:w="1569" w:type="dxa"/>
            <w:vAlign w:val="center"/>
          </w:tcPr>
          <w:p>
            <w:pPr>
              <w:spacing w:line="300" w:lineRule="exact"/>
              <w:jc w:val="center"/>
              <w:rPr>
                <w:rFonts w:eastAsia="方正仿宋_GBK"/>
                <w:kern w:val="0"/>
                <w:szCs w:val="21"/>
              </w:rPr>
            </w:pPr>
            <w:r>
              <w:rPr>
                <w:rFonts w:hint="eastAsia" w:eastAsia="方正仿宋_GBK"/>
                <w:kern w:val="0"/>
                <w:szCs w:val="21"/>
              </w:rPr>
              <w:t>16</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78"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14</w:t>
            </w:r>
          </w:p>
        </w:tc>
        <w:tc>
          <w:tcPr>
            <w:tcW w:w="2439" w:type="dxa"/>
            <w:vAlign w:val="center"/>
          </w:tcPr>
          <w:p>
            <w:pPr>
              <w:spacing w:line="300" w:lineRule="exact"/>
              <w:jc w:val="left"/>
              <w:rPr>
                <w:rFonts w:eastAsia="方正仿宋_GBK"/>
                <w:kern w:val="0"/>
                <w:szCs w:val="21"/>
              </w:rPr>
            </w:pPr>
            <w:r>
              <w:rPr>
                <w:rFonts w:eastAsia="方正仿宋_GBK"/>
                <w:kern w:val="0"/>
                <w:szCs w:val="21"/>
              </w:rPr>
              <w:t>进出口总额增速</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6</w:t>
            </w:r>
          </w:p>
        </w:tc>
        <w:tc>
          <w:tcPr>
            <w:tcW w:w="1569" w:type="dxa"/>
            <w:vAlign w:val="center"/>
          </w:tcPr>
          <w:p>
            <w:pPr>
              <w:spacing w:line="300" w:lineRule="exact"/>
              <w:jc w:val="center"/>
              <w:rPr>
                <w:rFonts w:eastAsia="方正仿宋_GBK"/>
                <w:kern w:val="0"/>
                <w:szCs w:val="21"/>
              </w:rPr>
            </w:pPr>
            <w:r>
              <w:rPr>
                <w:rFonts w:eastAsia="方正仿宋_GBK"/>
                <w:kern w:val="0"/>
                <w:szCs w:val="21"/>
              </w:rPr>
              <w:t>45以上</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04"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15</w:t>
            </w:r>
          </w:p>
        </w:tc>
        <w:tc>
          <w:tcPr>
            <w:tcW w:w="2439" w:type="dxa"/>
            <w:vAlign w:val="center"/>
          </w:tcPr>
          <w:p>
            <w:pPr>
              <w:spacing w:line="300" w:lineRule="exact"/>
              <w:jc w:val="left"/>
              <w:rPr>
                <w:rFonts w:eastAsia="方正仿宋_GBK"/>
                <w:kern w:val="0"/>
                <w:szCs w:val="21"/>
              </w:rPr>
            </w:pPr>
            <w:r>
              <w:rPr>
                <w:rFonts w:eastAsia="方正仿宋_GBK"/>
                <w:kern w:val="0"/>
                <w:szCs w:val="21"/>
              </w:rPr>
              <w:t>实际利用外资</w:t>
            </w:r>
          </w:p>
        </w:tc>
        <w:tc>
          <w:tcPr>
            <w:tcW w:w="1166" w:type="dxa"/>
            <w:vAlign w:val="center"/>
          </w:tcPr>
          <w:p>
            <w:pPr>
              <w:spacing w:line="300" w:lineRule="exact"/>
              <w:jc w:val="center"/>
              <w:rPr>
                <w:rFonts w:eastAsia="方正仿宋_GBK"/>
                <w:kern w:val="0"/>
                <w:szCs w:val="21"/>
              </w:rPr>
            </w:pPr>
            <w:r>
              <w:rPr>
                <w:rFonts w:eastAsia="方正仿宋_GBK"/>
                <w:kern w:val="0"/>
                <w:szCs w:val="21"/>
              </w:rPr>
              <w:t>（万美元）</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 w:val="18"/>
                <w:szCs w:val="18"/>
              </w:rPr>
            </w:pPr>
            <w:r>
              <w:rPr>
                <w:rFonts w:eastAsia="方正仿宋_GBK"/>
                <w:kern w:val="0"/>
                <w:sz w:val="18"/>
                <w:szCs w:val="18"/>
              </w:rPr>
              <w:t>完成市级下达任务(10000万美元）</w:t>
            </w:r>
          </w:p>
        </w:tc>
        <w:tc>
          <w:tcPr>
            <w:tcW w:w="1569" w:type="dxa"/>
            <w:vAlign w:val="center"/>
          </w:tcPr>
          <w:p>
            <w:pPr>
              <w:spacing w:line="300" w:lineRule="exact"/>
              <w:jc w:val="center"/>
              <w:rPr>
                <w:rFonts w:eastAsia="方正仿宋_GBK"/>
                <w:kern w:val="0"/>
                <w:sz w:val="18"/>
                <w:szCs w:val="18"/>
              </w:rPr>
            </w:pPr>
            <w:r>
              <w:rPr>
                <w:rFonts w:eastAsia="方正仿宋_GBK"/>
                <w:kern w:val="0"/>
                <w:szCs w:val="21"/>
              </w:rPr>
              <w:t>319</w:t>
            </w:r>
          </w:p>
        </w:tc>
        <w:tc>
          <w:tcPr>
            <w:tcW w:w="859" w:type="dxa"/>
            <w:vAlign w:val="center"/>
          </w:tcPr>
          <w:p>
            <w:pPr>
              <w:spacing w:line="300" w:lineRule="exact"/>
              <w:jc w:val="center"/>
              <w:rPr>
                <w:rFonts w:eastAsia="方正仿宋_GBK"/>
                <w:kern w:val="0"/>
                <w:szCs w:val="21"/>
              </w:rPr>
            </w:pPr>
            <w:r>
              <w:rPr>
                <w:rFonts w:eastAsia="方正仿宋_GBK"/>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74"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16</w:t>
            </w:r>
          </w:p>
        </w:tc>
        <w:tc>
          <w:tcPr>
            <w:tcW w:w="2439" w:type="dxa"/>
            <w:vAlign w:val="center"/>
          </w:tcPr>
          <w:p>
            <w:pPr>
              <w:spacing w:line="300" w:lineRule="exact"/>
              <w:jc w:val="left"/>
              <w:rPr>
                <w:rFonts w:eastAsia="方正仿宋_GBK"/>
                <w:kern w:val="0"/>
                <w:szCs w:val="21"/>
              </w:rPr>
            </w:pPr>
            <w:r>
              <w:rPr>
                <w:rFonts w:eastAsia="方正仿宋_GBK"/>
                <w:kern w:val="0"/>
                <w:szCs w:val="21"/>
              </w:rPr>
              <w:t>民营经济市场主体</w:t>
            </w:r>
          </w:p>
        </w:tc>
        <w:tc>
          <w:tcPr>
            <w:tcW w:w="1166" w:type="dxa"/>
            <w:vAlign w:val="center"/>
          </w:tcPr>
          <w:p>
            <w:pPr>
              <w:spacing w:line="300" w:lineRule="exact"/>
              <w:jc w:val="center"/>
              <w:rPr>
                <w:rFonts w:eastAsia="方正仿宋_GBK"/>
                <w:kern w:val="0"/>
                <w:szCs w:val="21"/>
              </w:rPr>
            </w:pPr>
            <w:r>
              <w:rPr>
                <w:rFonts w:eastAsia="方正仿宋_GBK"/>
                <w:kern w:val="0"/>
                <w:szCs w:val="21"/>
              </w:rPr>
              <w:t>（家）</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 xml:space="preserve">34000 </w:t>
            </w:r>
          </w:p>
        </w:tc>
        <w:tc>
          <w:tcPr>
            <w:tcW w:w="1569" w:type="dxa"/>
            <w:vAlign w:val="center"/>
          </w:tcPr>
          <w:p>
            <w:pPr>
              <w:spacing w:line="300" w:lineRule="exact"/>
              <w:jc w:val="center"/>
              <w:rPr>
                <w:rFonts w:eastAsia="方正仿宋_GBK"/>
                <w:kern w:val="0"/>
                <w:szCs w:val="21"/>
              </w:rPr>
            </w:pPr>
            <w:r>
              <w:rPr>
                <w:rFonts w:hint="eastAsia" w:eastAsia="方正仿宋_GBK"/>
                <w:kern w:val="0"/>
                <w:szCs w:val="21"/>
              </w:rPr>
              <w:t>35000</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16"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17</w:t>
            </w:r>
          </w:p>
        </w:tc>
        <w:tc>
          <w:tcPr>
            <w:tcW w:w="2439" w:type="dxa"/>
            <w:vAlign w:val="center"/>
          </w:tcPr>
          <w:p>
            <w:pPr>
              <w:spacing w:line="300" w:lineRule="exact"/>
              <w:jc w:val="left"/>
              <w:rPr>
                <w:rFonts w:eastAsia="方正仿宋_GBK"/>
                <w:kern w:val="0"/>
                <w:szCs w:val="21"/>
              </w:rPr>
            </w:pPr>
            <w:r>
              <w:rPr>
                <w:rFonts w:eastAsia="方正仿宋_GBK"/>
                <w:kern w:val="0"/>
                <w:szCs w:val="21"/>
              </w:rPr>
              <w:t>民营经济增加值增速</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6</w:t>
            </w:r>
          </w:p>
        </w:tc>
        <w:tc>
          <w:tcPr>
            <w:tcW w:w="1569" w:type="dxa"/>
            <w:vAlign w:val="center"/>
          </w:tcPr>
          <w:p>
            <w:pPr>
              <w:spacing w:line="300" w:lineRule="exact"/>
              <w:jc w:val="center"/>
              <w:rPr>
                <w:rFonts w:eastAsia="方正仿宋_GBK"/>
                <w:kern w:val="0"/>
                <w:szCs w:val="21"/>
              </w:rPr>
            </w:pPr>
            <w:r>
              <w:rPr>
                <w:rFonts w:eastAsia="方正仿宋_GBK"/>
                <w:kern w:val="0"/>
                <w:szCs w:val="21"/>
              </w:rPr>
              <w:t>7.5</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293"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18</w:t>
            </w:r>
          </w:p>
        </w:tc>
        <w:tc>
          <w:tcPr>
            <w:tcW w:w="2439" w:type="dxa"/>
            <w:vAlign w:val="center"/>
          </w:tcPr>
          <w:p>
            <w:pPr>
              <w:spacing w:line="300" w:lineRule="exact"/>
              <w:jc w:val="left"/>
              <w:rPr>
                <w:rFonts w:eastAsia="方正仿宋_GBK"/>
                <w:kern w:val="0"/>
                <w:szCs w:val="21"/>
              </w:rPr>
            </w:pPr>
            <w:r>
              <w:rPr>
                <w:rFonts w:eastAsia="方正仿宋_GBK"/>
                <w:kern w:val="0"/>
                <w:szCs w:val="21"/>
              </w:rPr>
              <w:t>一般公共预算收入增速</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-10.6</w:t>
            </w:r>
          </w:p>
          <w:p>
            <w:pPr>
              <w:spacing w:line="300" w:lineRule="exact"/>
              <w:jc w:val="center"/>
              <w:rPr>
                <w:rFonts w:eastAsia="方正仿宋_GBK"/>
                <w:kern w:val="0"/>
                <w:szCs w:val="21"/>
              </w:rPr>
            </w:pPr>
            <w:r>
              <w:rPr>
                <w:rFonts w:eastAsia="方正仿宋_GBK"/>
                <w:kern w:val="0"/>
                <w:sz w:val="18"/>
                <w:szCs w:val="18"/>
              </w:rPr>
              <w:t>（调整后)</w:t>
            </w:r>
          </w:p>
        </w:tc>
        <w:tc>
          <w:tcPr>
            <w:tcW w:w="1569" w:type="dxa"/>
            <w:vAlign w:val="center"/>
          </w:tcPr>
          <w:p>
            <w:pPr>
              <w:spacing w:line="300" w:lineRule="exact"/>
              <w:jc w:val="center"/>
              <w:rPr>
                <w:rFonts w:eastAsia="方正仿宋_GBK"/>
                <w:kern w:val="0"/>
                <w:szCs w:val="21"/>
              </w:rPr>
            </w:pPr>
            <w:r>
              <w:rPr>
                <w:rFonts w:eastAsia="方正仿宋_GBK"/>
                <w:kern w:val="0"/>
                <w:szCs w:val="21"/>
              </w:rPr>
              <w:t>-10.</w:t>
            </w:r>
            <w:r>
              <w:rPr>
                <w:rFonts w:hint="eastAsia" w:eastAsia="方正仿宋_GBK"/>
                <w:kern w:val="0"/>
                <w:szCs w:val="21"/>
              </w:rPr>
              <w:t>1</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512" w:hRule="atLeast"/>
          <w:jc w:val="center"/>
        </w:trPr>
        <w:tc>
          <w:tcPr>
            <w:tcW w:w="9378" w:type="dxa"/>
            <w:gridSpan w:val="7"/>
            <w:vAlign w:val="center"/>
          </w:tcPr>
          <w:p>
            <w:pPr>
              <w:spacing w:line="300" w:lineRule="exact"/>
              <w:jc w:val="center"/>
              <w:rPr>
                <w:rFonts w:eastAsia="方正楷体_GBK"/>
                <w:kern w:val="0"/>
                <w:szCs w:val="21"/>
              </w:rPr>
            </w:pPr>
            <w:r>
              <w:rPr>
                <w:rFonts w:eastAsia="方正楷体_GBK"/>
                <w:kern w:val="0"/>
                <w:szCs w:val="21"/>
              </w:rPr>
              <w:t>二、建设高品质宜居之城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19</w:t>
            </w:r>
          </w:p>
        </w:tc>
        <w:tc>
          <w:tcPr>
            <w:tcW w:w="2439" w:type="dxa"/>
            <w:vAlign w:val="center"/>
          </w:tcPr>
          <w:p>
            <w:pPr>
              <w:spacing w:line="300" w:lineRule="exact"/>
              <w:jc w:val="left"/>
              <w:rPr>
                <w:rFonts w:eastAsia="方正仿宋_GBK"/>
                <w:kern w:val="0"/>
                <w:szCs w:val="21"/>
              </w:rPr>
            </w:pPr>
            <w:r>
              <w:rPr>
                <w:rFonts w:eastAsia="方正仿宋_GBK"/>
                <w:kern w:val="0"/>
                <w:szCs w:val="21"/>
              </w:rPr>
              <w:t>单位地区生产总值能源消耗降低</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约束性</w:t>
            </w:r>
          </w:p>
        </w:tc>
        <w:tc>
          <w:tcPr>
            <w:tcW w:w="1569" w:type="dxa"/>
            <w:vAlign w:val="center"/>
          </w:tcPr>
          <w:p>
            <w:pPr>
              <w:spacing w:line="300" w:lineRule="exact"/>
              <w:jc w:val="center"/>
              <w:rPr>
                <w:rFonts w:eastAsia="方正仿宋_GBK"/>
                <w:kern w:val="0"/>
                <w:sz w:val="18"/>
                <w:szCs w:val="18"/>
              </w:rPr>
            </w:pPr>
            <w:r>
              <w:rPr>
                <w:rFonts w:eastAsia="方正仿宋_GBK"/>
                <w:kern w:val="0"/>
                <w:sz w:val="18"/>
                <w:szCs w:val="18"/>
              </w:rPr>
              <w:t>完成市级下达任务</w:t>
            </w:r>
          </w:p>
        </w:tc>
        <w:tc>
          <w:tcPr>
            <w:tcW w:w="1569" w:type="dxa"/>
            <w:vAlign w:val="center"/>
          </w:tcPr>
          <w:p>
            <w:pPr>
              <w:spacing w:line="300" w:lineRule="exact"/>
              <w:jc w:val="center"/>
              <w:rPr>
                <w:rFonts w:eastAsia="方正仿宋_GBK"/>
                <w:kern w:val="0"/>
                <w:sz w:val="18"/>
                <w:szCs w:val="18"/>
              </w:rPr>
            </w:pPr>
            <w:r>
              <w:rPr>
                <w:rFonts w:eastAsia="方正仿宋_GBK"/>
                <w:kern w:val="0"/>
                <w:sz w:val="18"/>
                <w:szCs w:val="18"/>
              </w:rPr>
              <w:t>完成市级下达任务</w:t>
            </w:r>
          </w:p>
        </w:tc>
        <w:tc>
          <w:tcPr>
            <w:tcW w:w="859" w:type="dxa"/>
            <w:vAlign w:val="center"/>
          </w:tcPr>
          <w:p>
            <w:pPr>
              <w:spacing w:line="300" w:lineRule="exact"/>
              <w:jc w:val="center"/>
              <w:rPr>
                <w:rFonts w:eastAsia="方正仿宋_GBK"/>
                <w:kern w:val="0"/>
                <w:sz w:val="18"/>
                <w:szCs w:val="18"/>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20</w:t>
            </w:r>
          </w:p>
        </w:tc>
        <w:tc>
          <w:tcPr>
            <w:tcW w:w="2439" w:type="dxa"/>
            <w:vAlign w:val="center"/>
          </w:tcPr>
          <w:p>
            <w:pPr>
              <w:spacing w:line="300" w:lineRule="exact"/>
              <w:jc w:val="left"/>
              <w:rPr>
                <w:rFonts w:eastAsia="方正仿宋_GBK"/>
                <w:kern w:val="0"/>
                <w:szCs w:val="21"/>
              </w:rPr>
            </w:pPr>
            <w:r>
              <w:rPr>
                <w:rFonts w:eastAsia="方正仿宋_GBK"/>
                <w:kern w:val="0"/>
                <w:szCs w:val="21"/>
              </w:rPr>
              <w:t>单位地区生产总值二氧化碳排放降低</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约束性</w:t>
            </w:r>
          </w:p>
        </w:tc>
        <w:tc>
          <w:tcPr>
            <w:tcW w:w="1569" w:type="dxa"/>
            <w:vAlign w:val="center"/>
          </w:tcPr>
          <w:p>
            <w:pPr>
              <w:spacing w:line="300" w:lineRule="exact"/>
              <w:jc w:val="center"/>
              <w:rPr>
                <w:rFonts w:eastAsia="方正仿宋_GBK"/>
                <w:kern w:val="0"/>
                <w:sz w:val="18"/>
                <w:szCs w:val="18"/>
              </w:rPr>
            </w:pPr>
            <w:r>
              <w:rPr>
                <w:rFonts w:eastAsia="方正仿宋_GBK"/>
                <w:kern w:val="0"/>
                <w:sz w:val="18"/>
                <w:szCs w:val="18"/>
              </w:rPr>
              <w:t>完成市级下达任务</w:t>
            </w:r>
          </w:p>
        </w:tc>
        <w:tc>
          <w:tcPr>
            <w:tcW w:w="1569" w:type="dxa"/>
            <w:vAlign w:val="center"/>
          </w:tcPr>
          <w:p>
            <w:pPr>
              <w:spacing w:line="300" w:lineRule="exact"/>
              <w:jc w:val="center"/>
              <w:rPr>
                <w:rFonts w:eastAsia="方正仿宋_GBK"/>
                <w:kern w:val="0"/>
                <w:sz w:val="18"/>
                <w:szCs w:val="18"/>
              </w:rPr>
            </w:pPr>
            <w:r>
              <w:rPr>
                <w:rFonts w:eastAsia="方正仿宋_GBK"/>
                <w:kern w:val="0"/>
                <w:sz w:val="18"/>
                <w:szCs w:val="18"/>
              </w:rPr>
              <w:t>完成市级下达任务</w:t>
            </w:r>
          </w:p>
        </w:tc>
        <w:tc>
          <w:tcPr>
            <w:tcW w:w="859" w:type="dxa"/>
            <w:vAlign w:val="center"/>
          </w:tcPr>
          <w:p>
            <w:pPr>
              <w:spacing w:line="300" w:lineRule="exact"/>
              <w:jc w:val="center"/>
              <w:rPr>
                <w:rFonts w:eastAsia="方正仿宋_GBK"/>
                <w:kern w:val="0"/>
                <w:sz w:val="18"/>
                <w:szCs w:val="18"/>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05"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21</w:t>
            </w:r>
          </w:p>
        </w:tc>
        <w:tc>
          <w:tcPr>
            <w:tcW w:w="2439" w:type="dxa"/>
            <w:vAlign w:val="center"/>
          </w:tcPr>
          <w:p>
            <w:pPr>
              <w:spacing w:line="300" w:lineRule="exact"/>
              <w:jc w:val="left"/>
              <w:rPr>
                <w:rFonts w:eastAsia="方正仿宋_GBK"/>
                <w:kern w:val="0"/>
                <w:szCs w:val="21"/>
              </w:rPr>
            </w:pPr>
            <w:r>
              <w:rPr>
                <w:rFonts w:eastAsia="方正仿宋_GBK"/>
                <w:kern w:val="0"/>
                <w:szCs w:val="21"/>
              </w:rPr>
              <w:t>国家考核断面水质优良率</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约束性</w:t>
            </w:r>
          </w:p>
        </w:tc>
        <w:tc>
          <w:tcPr>
            <w:tcW w:w="1569" w:type="dxa"/>
            <w:vAlign w:val="center"/>
          </w:tcPr>
          <w:p>
            <w:pPr>
              <w:spacing w:line="300" w:lineRule="exact"/>
              <w:jc w:val="center"/>
              <w:rPr>
                <w:rFonts w:eastAsia="方正仿宋_GBK"/>
                <w:kern w:val="0"/>
                <w:szCs w:val="21"/>
              </w:rPr>
            </w:pPr>
            <w:r>
              <w:rPr>
                <w:rFonts w:eastAsia="方正仿宋_GBK"/>
                <w:kern w:val="0"/>
                <w:szCs w:val="21"/>
              </w:rPr>
              <w:t>100</w:t>
            </w:r>
          </w:p>
        </w:tc>
        <w:tc>
          <w:tcPr>
            <w:tcW w:w="1569" w:type="dxa"/>
            <w:vAlign w:val="center"/>
          </w:tcPr>
          <w:p>
            <w:pPr>
              <w:spacing w:line="300" w:lineRule="exact"/>
              <w:jc w:val="center"/>
              <w:rPr>
                <w:rFonts w:eastAsia="方正仿宋_GBK"/>
                <w:kern w:val="0"/>
                <w:szCs w:val="21"/>
              </w:rPr>
            </w:pPr>
            <w:r>
              <w:rPr>
                <w:rFonts w:eastAsia="方正仿宋_GBK"/>
                <w:kern w:val="0"/>
                <w:szCs w:val="21"/>
              </w:rPr>
              <w:t>100</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33"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22</w:t>
            </w:r>
          </w:p>
        </w:tc>
        <w:tc>
          <w:tcPr>
            <w:tcW w:w="2439" w:type="dxa"/>
            <w:vAlign w:val="center"/>
          </w:tcPr>
          <w:p>
            <w:pPr>
              <w:spacing w:line="300" w:lineRule="exact"/>
              <w:jc w:val="left"/>
              <w:rPr>
                <w:rFonts w:eastAsia="方正仿宋_GBK"/>
                <w:kern w:val="0"/>
                <w:szCs w:val="21"/>
              </w:rPr>
            </w:pPr>
            <w:r>
              <w:rPr>
                <w:rFonts w:eastAsia="方正仿宋_GBK"/>
                <w:kern w:val="0"/>
                <w:szCs w:val="21"/>
              </w:rPr>
              <w:t>环境空气质量优良天数</w:t>
            </w:r>
          </w:p>
        </w:tc>
        <w:tc>
          <w:tcPr>
            <w:tcW w:w="1166" w:type="dxa"/>
            <w:vAlign w:val="center"/>
          </w:tcPr>
          <w:p>
            <w:pPr>
              <w:spacing w:line="300" w:lineRule="exact"/>
              <w:jc w:val="center"/>
              <w:rPr>
                <w:rFonts w:eastAsia="方正仿宋_GBK"/>
                <w:kern w:val="0"/>
                <w:szCs w:val="21"/>
              </w:rPr>
            </w:pPr>
            <w:r>
              <w:rPr>
                <w:rFonts w:eastAsia="方正仿宋_GBK"/>
                <w:kern w:val="0"/>
                <w:szCs w:val="21"/>
              </w:rPr>
              <w:t>（天）</w:t>
            </w:r>
          </w:p>
        </w:tc>
        <w:tc>
          <w:tcPr>
            <w:tcW w:w="1089" w:type="dxa"/>
            <w:vAlign w:val="center"/>
          </w:tcPr>
          <w:p>
            <w:pPr>
              <w:spacing w:line="300" w:lineRule="exact"/>
              <w:jc w:val="center"/>
              <w:rPr>
                <w:rFonts w:eastAsia="方正仿宋_GBK"/>
                <w:kern w:val="0"/>
                <w:szCs w:val="21"/>
              </w:rPr>
            </w:pPr>
            <w:r>
              <w:rPr>
                <w:rFonts w:eastAsia="方正仿宋_GBK"/>
                <w:kern w:val="0"/>
                <w:szCs w:val="21"/>
              </w:rPr>
              <w:t>约束性</w:t>
            </w:r>
          </w:p>
        </w:tc>
        <w:tc>
          <w:tcPr>
            <w:tcW w:w="1569" w:type="dxa"/>
            <w:vAlign w:val="center"/>
          </w:tcPr>
          <w:p>
            <w:pPr>
              <w:spacing w:line="300" w:lineRule="exact"/>
              <w:jc w:val="center"/>
              <w:rPr>
                <w:rFonts w:eastAsia="方正仿宋_GBK"/>
                <w:kern w:val="0"/>
                <w:szCs w:val="21"/>
              </w:rPr>
            </w:pPr>
            <w:r>
              <w:rPr>
                <w:rFonts w:eastAsia="方正仿宋_GBK"/>
                <w:kern w:val="0"/>
                <w:szCs w:val="21"/>
              </w:rPr>
              <w:t>≥320</w:t>
            </w:r>
          </w:p>
        </w:tc>
        <w:tc>
          <w:tcPr>
            <w:tcW w:w="1569" w:type="dxa"/>
            <w:vAlign w:val="center"/>
          </w:tcPr>
          <w:p>
            <w:pPr>
              <w:spacing w:line="300" w:lineRule="exact"/>
              <w:jc w:val="center"/>
              <w:rPr>
                <w:rFonts w:eastAsia="方正仿宋_GBK"/>
                <w:kern w:val="0"/>
                <w:szCs w:val="21"/>
              </w:rPr>
            </w:pPr>
            <w:r>
              <w:rPr>
                <w:rFonts w:eastAsia="方正仿宋_GBK"/>
                <w:kern w:val="0"/>
                <w:szCs w:val="21"/>
              </w:rPr>
              <w:t>29</w:t>
            </w:r>
            <w:r>
              <w:rPr>
                <w:rFonts w:hint="eastAsia" w:eastAsia="方正仿宋_GBK"/>
                <w:kern w:val="0"/>
                <w:szCs w:val="21"/>
              </w:rPr>
              <w:t>4</w:t>
            </w:r>
          </w:p>
        </w:tc>
        <w:tc>
          <w:tcPr>
            <w:tcW w:w="859" w:type="dxa"/>
            <w:vAlign w:val="center"/>
          </w:tcPr>
          <w:p>
            <w:pPr>
              <w:spacing w:line="300" w:lineRule="exact"/>
              <w:jc w:val="center"/>
              <w:rPr>
                <w:rFonts w:eastAsia="方正仿宋_GBK"/>
                <w:kern w:val="0"/>
                <w:szCs w:val="21"/>
              </w:rPr>
            </w:pPr>
            <w:r>
              <w:rPr>
                <w:rFonts w:eastAsia="方正仿宋_GBK"/>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33"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23</w:t>
            </w:r>
          </w:p>
        </w:tc>
        <w:tc>
          <w:tcPr>
            <w:tcW w:w="2439" w:type="dxa"/>
            <w:vAlign w:val="center"/>
          </w:tcPr>
          <w:p>
            <w:pPr>
              <w:spacing w:line="300" w:lineRule="exact"/>
              <w:jc w:val="left"/>
              <w:rPr>
                <w:rFonts w:eastAsia="方正仿宋_GBK"/>
                <w:kern w:val="0"/>
                <w:szCs w:val="21"/>
              </w:rPr>
            </w:pPr>
            <w:r>
              <w:rPr>
                <w:rFonts w:eastAsia="方正仿宋_GBK"/>
                <w:kern w:val="0"/>
                <w:szCs w:val="21"/>
              </w:rPr>
              <w:t>森林覆盖率</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约束性</w:t>
            </w:r>
          </w:p>
        </w:tc>
        <w:tc>
          <w:tcPr>
            <w:tcW w:w="1569" w:type="dxa"/>
            <w:vAlign w:val="center"/>
          </w:tcPr>
          <w:p>
            <w:pPr>
              <w:spacing w:line="300" w:lineRule="exact"/>
              <w:jc w:val="center"/>
              <w:rPr>
                <w:rFonts w:eastAsia="方正仿宋_GBK"/>
                <w:kern w:val="0"/>
                <w:szCs w:val="21"/>
              </w:rPr>
            </w:pPr>
            <w:r>
              <w:rPr>
                <w:rFonts w:eastAsia="方正仿宋_GBK"/>
                <w:kern w:val="0"/>
                <w:szCs w:val="21"/>
              </w:rPr>
              <w:t>≥40</w:t>
            </w:r>
          </w:p>
        </w:tc>
        <w:tc>
          <w:tcPr>
            <w:tcW w:w="1569" w:type="dxa"/>
            <w:vAlign w:val="center"/>
          </w:tcPr>
          <w:p>
            <w:pPr>
              <w:spacing w:line="300" w:lineRule="exact"/>
              <w:jc w:val="center"/>
              <w:rPr>
                <w:rFonts w:eastAsia="方正仿宋_GBK"/>
                <w:kern w:val="0"/>
                <w:szCs w:val="21"/>
              </w:rPr>
            </w:pPr>
            <w:r>
              <w:rPr>
                <w:rFonts w:eastAsia="方正仿宋_GBK"/>
                <w:kern w:val="0"/>
                <w:szCs w:val="21"/>
              </w:rPr>
              <w:t>33</w:t>
            </w:r>
          </w:p>
        </w:tc>
        <w:tc>
          <w:tcPr>
            <w:tcW w:w="859" w:type="dxa"/>
            <w:vAlign w:val="center"/>
          </w:tcPr>
          <w:p>
            <w:pPr>
              <w:spacing w:line="300" w:lineRule="exact"/>
              <w:jc w:val="center"/>
              <w:rPr>
                <w:rFonts w:eastAsia="方正仿宋_GBK"/>
                <w:kern w:val="0"/>
                <w:szCs w:val="21"/>
              </w:rPr>
            </w:pPr>
            <w:r>
              <w:rPr>
                <w:rFonts w:eastAsia="方正仿宋_GBK"/>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516"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24</w:t>
            </w:r>
          </w:p>
        </w:tc>
        <w:tc>
          <w:tcPr>
            <w:tcW w:w="2439" w:type="dxa"/>
            <w:vAlign w:val="center"/>
          </w:tcPr>
          <w:p>
            <w:pPr>
              <w:spacing w:line="300" w:lineRule="exact"/>
              <w:jc w:val="left"/>
              <w:rPr>
                <w:rFonts w:eastAsia="方正仿宋_GBK"/>
                <w:kern w:val="0"/>
                <w:szCs w:val="21"/>
              </w:rPr>
            </w:pPr>
            <w:r>
              <w:rPr>
                <w:rFonts w:eastAsia="方正仿宋_GBK"/>
                <w:kern w:val="0"/>
                <w:szCs w:val="21"/>
              </w:rPr>
              <w:t>人均公园绿地面积</w:t>
            </w:r>
          </w:p>
        </w:tc>
        <w:tc>
          <w:tcPr>
            <w:tcW w:w="1166" w:type="dxa"/>
            <w:vAlign w:val="center"/>
          </w:tcPr>
          <w:p>
            <w:pPr>
              <w:spacing w:line="300" w:lineRule="exact"/>
              <w:jc w:val="center"/>
              <w:rPr>
                <w:rFonts w:eastAsia="方正仿宋_GBK"/>
                <w:kern w:val="0"/>
                <w:szCs w:val="21"/>
              </w:rPr>
            </w:pPr>
            <w:r>
              <w:rPr>
                <w:rFonts w:eastAsia="方正仿宋_GBK"/>
                <w:kern w:val="0"/>
                <w:szCs w:val="21"/>
              </w:rPr>
              <w:t>（平方米）</w:t>
            </w:r>
          </w:p>
        </w:tc>
        <w:tc>
          <w:tcPr>
            <w:tcW w:w="1089" w:type="dxa"/>
            <w:vAlign w:val="center"/>
          </w:tcPr>
          <w:p>
            <w:pPr>
              <w:spacing w:line="300" w:lineRule="exact"/>
              <w:jc w:val="center"/>
              <w:rPr>
                <w:rFonts w:eastAsia="方正仿宋_GBK"/>
                <w:kern w:val="0"/>
                <w:szCs w:val="21"/>
              </w:rPr>
            </w:pPr>
            <w:r>
              <w:rPr>
                <w:rFonts w:eastAsia="方正仿宋_GBK"/>
                <w:kern w:val="0"/>
                <w:szCs w:val="21"/>
              </w:rPr>
              <w:t>约束性</w:t>
            </w:r>
          </w:p>
        </w:tc>
        <w:tc>
          <w:tcPr>
            <w:tcW w:w="1569" w:type="dxa"/>
            <w:vAlign w:val="center"/>
          </w:tcPr>
          <w:p>
            <w:pPr>
              <w:spacing w:line="300" w:lineRule="exact"/>
              <w:jc w:val="center"/>
              <w:rPr>
                <w:rFonts w:eastAsia="方正仿宋_GBK"/>
                <w:kern w:val="0"/>
                <w:szCs w:val="21"/>
              </w:rPr>
            </w:pPr>
            <w:r>
              <w:rPr>
                <w:rFonts w:eastAsia="方正仿宋_GBK"/>
                <w:kern w:val="0"/>
                <w:szCs w:val="21"/>
              </w:rPr>
              <w:t>≥16.1</w:t>
            </w:r>
          </w:p>
        </w:tc>
        <w:tc>
          <w:tcPr>
            <w:tcW w:w="1569" w:type="dxa"/>
            <w:vAlign w:val="center"/>
          </w:tcPr>
          <w:p>
            <w:pPr>
              <w:spacing w:line="300" w:lineRule="exact"/>
              <w:jc w:val="center"/>
              <w:rPr>
                <w:rFonts w:eastAsia="方正仿宋_GBK"/>
                <w:kern w:val="0"/>
                <w:szCs w:val="21"/>
              </w:rPr>
            </w:pPr>
            <w:r>
              <w:rPr>
                <w:rFonts w:eastAsia="方正仿宋_GBK"/>
                <w:kern w:val="0"/>
                <w:szCs w:val="21"/>
              </w:rPr>
              <w:t>24.33</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581"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25</w:t>
            </w:r>
          </w:p>
        </w:tc>
        <w:tc>
          <w:tcPr>
            <w:tcW w:w="2439" w:type="dxa"/>
            <w:vAlign w:val="center"/>
          </w:tcPr>
          <w:p>
            <w:pPr>
              <w:spacing w:line="300" w:lineRule="exact"/>
              <w:jc w:val="left"/>
              <w:rPr>
                <w:rFonts w:eastAsia="方正仿宋_GBK"/>
                <w:kern w:val="0"/>
                <w:szCs w:val="21"/>
              </w:rPr>
            </w:pPr>
            <w:r>
              <w:rPr>
                <w:rFonts w:eastAsia="方正仿宋_GBK"/>
                <w:kern w:val="0"/>
                <w:szCs w:val="21"/>
              </w:rPr>
              <w:t>建成区路网密度</w:t>
            </w:r>
          </w:p>
        </w:tc>
        <w:tc>
          <w:tcPr>
            <w:tcW w:w="1166" w:type="dxa"/>
            <w:vAlign w:val="center"/>
          </w:tcPr>
          <w:p>
            <w:pPr>
              <w:spacing w:line="280" w:lineRule="exact"/>
              <w:jc w:val="center"/>
              <w:rPr>
                <w:rFonts w:eastAsia="方正仿宋_GBK"/>
                <w:kern w:val="0"/>
                <w:szCs w:val="21"/>
              </w:rPr>
            </w:pPr>
            <w:r>
              <w:rPr>
                <w:rFonts w:eastAsia="方正仿宋_GBK"/>
                <w:kern w:val="0"/>
                <w:szCs w:val="21"/>
              </w:rPr>
              <w:t>（公里/</w:t>
            </w:r>
          </w:p>
          <w:p>
            <w:pPr>
              <w:spacing w:line="280" w:lineRule="exact"/>
              <w:jc w:val="center"/>
              <w:rPr>
                <w:rFonts w:eastAsia="方正仿宋_GBK"/>
                <w:kern w:val="0"/>
                <w:szCs w:val="21"/>
              </w:rPr>
            </w:pPr>
            <w:r>
              <w:rPr>
                <w:rFonts w:eastAsia="方正仿宋_GBK"/>
                <w:kern w:val="0"/>
                <w:szCs w:val="21"/>
              </w:rPr>
              <w:t>平方公里）</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6</w:t>
            </w:r>
          </w:p>
        </w:tc>
        <w:tc>
          <w:tcPr>
            <w:tcW w:w="1569" w:type="dxa"/>
            <w:vAlign w:val="center"/>
          </w:tcPr>
          <w:p>
            <w:pPr>
              <w:spacing w:line="300" w:lineRule="exact"/>
              <w:jc w:val="center"/>
              <w:rPr>
                <w:rFonts w:eastAsia="方正仿宋_GBK"/>
                <w:kern w:val="0"/>
                <w:szCs w:val="21"/>
              </w:rPr>
            </w:pPr>
            <w:r>
              <w:rPr>
                <w:rFonts w:eastAsia="方正仿宋_GBK"/>
                <w:kern w:val="0"/>
                <w:szCs w:val="21"/>
              </w:rPr>
              <w:t>6.19</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88"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26</w:t>
            </w:r>
          </w:p>
        </w:tc>
        <w:tc>
          <w:tcPr>
            <w:tcW w:w="2439" w:type="dxa"/>
            <w:vAlign w:val="center"/>
          </w:tcPr>
          <w:p>
            <w:pPr>
              <w:spacing w:line="300" w:lineRule="exact"/>
              <w:jc w:val="left"/>
              <w:rPr>
                <w:rFonts w:eastAsia="方正仿宋_GBK"/>
                <w:kern w:val="0"/>
                <w:szCs w:val="21"/>
              </w:rPr>
            </w:pPr>
            <w:r>
              <w:rPr>
                <w:rFonts w:eastAsia="方正仿宋_GBK"/>
                <w:kern w:val="0"/>
                <w:szCs w:val="21"/>
              </w:rPr>
              <w:t>全区居民人均可支配收入增速</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6</w:t>
            </w:r>
          </w:p>
        </w:tc>
        <w:tc>
          <w:tcPr>
            <w:tcW w:w="1569" w:type="dxa"/>
            <w:vAlign w:val="center"/>
          </w:tcPr>
          <w:p>
            <w:pPr>
              <w:spacing w:line="300" w:lineRule="exact"/>
              <w:jc w:val="center"/>
              <w:rPr>
                <w:rFonts w:eastAsia="方正仿宋_GBK"/>
                <w:kern w:val="0"/>
                <w:szCs w:val="21"/>
              </w:rPr>
            </w:pPr>
            <w:r>
              <w:rPr>
                <w:rFonts w:eastAsia="方正仿宋_GBK"/>
                <w:kern w:val="0"/>
                <w:szCs w:val="21"/>
              </w:rPr>
              <w:t>9</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02"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27</w:t>
            </w:r>
          </w:p>
        </w:tc>
        <w:tc>
          <w:tcPr>
            <w:tcW w:w="2439" w:type="dxa"/>
            <w:vAlign w:val="center"/>
          </w:tcPr>
          <w:p>
            <w:pPr>
              <w:spacing w:line="300" w:lineRule="exact"/>
              <w:jc w:val="left"/>
              <w:rPr>
                <w:rFonts w:eastAsia="方正仿宋_GBK"/>
                <w:kern w:val="0"/>
                <w:szCs w:val="21"/>
              </w:rPr>
            </w:pPr>
            <w:r>
              <w:rPr>
                <w:rFonts w:eastAsia="方正仿宋_GBK"/>
                <w:kern w:val="0"/>
                <w:szCs w:val="21"/>
              </w:rPr>
              <w:t>城镇新增就业人数</w:t>
            </w:r>
          </w:p>
        </w:tc>
        <w:tc>
          <w:tcPr>
            <w:tcW w:w="1166" w:type="dxa"/>
            <w:vAlign w:val="center"/>
          </w:tcPr>
          <w:p>
            <w:pPr>
              <w:spacing w:line="300" w:lineRule="exact"/>
              <w:jc w:val="center"/>
              <w:rPr>
                <w:rFonts w:eastAsia="方正仿宋_GBK"/>
                <w:kern w:val="0"/>
                <w:szCs w:val="21"/>
              </w:rPr>
            </w:pPr>
            <w:r>
              <w:rPr>
                <w:rFonts w:eastAsia="方正仿宋_GBK"/>
                <w:kern w:val="0"/>
                <w:szCs w:val="21"/>
              </w:rPr>
              <w:t>（人）</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8000</w:t>
            </w:r>
          </w:p>
        </w:tc>
        <w:tc>
          <w:tcPr>
            <w:tcW w:w="1569" w:type="dxa"/>
            <w:vAlign w:val="center"/>
          </w:tcPr>
          <w:p>
            <w:pPr>
              <w:spacing w:line="300" w:lineRule="exact"/>
              <w:jc w:val="center"/>
              <w:rPr>
                <w:rFonts w:eastAsia="方正仿宋_GBK"/>
                <w:kern w:val="0"/>
                <w:szCs w:val="21"/>
              </w:rPr>
            </w:pPr>
            <w:r>
              <w:rPr>
                <w:rFonts w:eastAsia="方正仿宋_GBK"/>
                <w:kern w:val="0"/>
                <w:szCs w:val="21"/>
              </w:rPr>
              <w:t>13054</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75"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28</w:t>
            </w:r>
          </w:p>
        </w:tc>
        <w:tc>
          <w:tcPr>
            <w:tcW w:w="2439" w:type="dxa"/>
            <w:vAlign w:val="center"/>
          </w:tcPr>
          <w:p>
            <w:pPr>
              <w:spacing w:line="300" w:lineRule="exact"/>
              <w:jc w:val="left"/>
              <w:rPr>
                <w:rFonts w:eastAsia="方正仿宋_GBK"/>
                <w:kern w:val="0"/>
                <w:szCs w:val="21"/>
              </w:rPr>
            </w:pPr>
            <w:r>
              <w:rPr>
                <w:rFonts w:eastAsia="方正仿宋_GBK"/>
                <w:kern w:val="0"/>
                <w:szCs w:val="21"/>
              </w:rPr>
              <w:t>每千名老人养老床位数</w:t>
            </w:r>
          </w:p>
        </w:tc>
        <w:tc>
          <w:tcPr>
            <w:tcW w:w="1166" w:type="dxa"/>
            <w:vAlign w:val="center"/>
          </w:tcPr>
          <w:p>
            <w:pPr>
              <w:spacing w:line="300" w:lineRule="exact"/>
              <w:jc w:val="center"/>
              <w:rPr>
                <w:rFonts w:eastAsia="方正仿宋_GBK"/>
                <w:kern w:val="0"/>
                <w:szCs w:val="21"/>
              </w:rPr>
            </w:pPr>
            <w:r>
              <w:rPr>
                <w:rFonts w:eastAsia="方正仿宋_GBK"/>
                <w:kern w:val="0"/>
                <w:szCs w:val="21"/>
              </w:rPr>
              <w:t>（张）</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36</w:t>
            </w:r>
          </w:p>
        </w:tc>
        <w:tc>
          <w:tcPr>
            <w:tcW w:w="1569" w:type="dxa"/>
            <w:vAlign w:val="center"/>
          </w:tcPr>
          <w:p>
            <w:pPr>
              <w:spacing w:line="300" w:lineRule="exact"/>
              <w:jc w:val="center"/>
              <w:rPr>
                <w:rFonts w:eastAsia="方正仿宋_GBK"/>
                <w:kern w:val="0"/>
                <w:szCs w:val="21"/>
              </w:rPr>
            </w:pPr>
            <w:r>
              <w:rPr>
                <w:rFonts w:eastAsia="方正仿宋_GBK"/>
                <w:kern w:val="0"/>
                <w:szCs w:val="21"/>
              </w:rPr>
              <w:t>36</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04"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29</w:t>
            </w:r>
          </w:p>
        </w:tc>
        <w:tc>
          <w:tcPr>
            <w:tcW w:w="2439" w:type="dxa"/>
            <w:vAlign w:val="center"/>
          </w:tcPr>
          <w:p>
            <w:pPr>
              <w:spacing w:line="300" w:lineRule="exact"/>
              <w:jc w:val="left"/>
              <w:rPr>
                <w:rFonts w:eastAsia="方正仿宋_GBK"/>
                <w:kern w:val="0"/>
                <w:szCs w:val="21"/>
              </w:rPr>
            </w:pPr>
            <w:r>
              <w:rPr>
                <w:rFonts w:eastAsia="方正仿宋_GBK"/>
                <w:kern w:val="0"/>
                <w:szCs w:val="21"/>
              </w:rPr>
              <w:t>每千人口拥有3岁以下婴幼儿托位数</w:t>
            </w:r>
          </w:p>
        </w:tc>
        <w:tc>
          <w:tcPr>
            <w:tcW w:w="1166" w:type="dxa"/>
            <w:vAlign w:val="center"/>
          </w:tcPr>
          <w:p>
            <w:pPr>
              <w:spacing w:line="300" w:lineRule="exact"/>
              <w:jc w:val="center"/>
              <w:rPr>
                <w:rFonts w:eastAsia="方正仿宋_GBK"/>
                <w:kern w:val="0"/>
                <w:szCs w:val="21"/>
              </w:rPr>
            </w:pPr>
            <w:r>
              <w:rPr>
                <w:rFonts w:eastAsia="方正仿宋_GBK"/>
                <w:kern w:val="0"/>
                <w:szCs w:val="21"/>
              </w:rPr>
              <w:t>（个）</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rPr>
                <w:rFonts w:eastAsia="方正仿宋_GBK"/>
                <w:kern w:val="0"/>
                <w:szCs w:val="21"/>
              </w:rPr>
            </w:pPr>
            <w:r>
              <w:rPr>
                <w:rFonts w:eastAsia="方正仿宋_GBK"/>
                <w:kern w:val="0"/>
                <w:szCs w:val="21"/>
              </w:rPr>
              <w:t>1.6</w:t>
            </w:r>
          </w:p>
          <w:p>
            <w:pPr>
              <w:pStyle w:val="5"/>
              <w:spacing w:line="200" w:lineRule="exact"/>
              <w:jc w:val="center"/>
            </w:pPr>
            <w:r>
              <w:rPr>
                <w:rFonts w:ascii="Times New Roman" w:hAnsi="Times New Roman" w:eastAsia="方正仿宋_GBK"/>
                <w:kern w:val="0"/>
                <w:sz w:val="15"/>
                <w:szCs w:val="15"/>
              </w:rPr>
              <w:t>（按七人普前人口口径计算）</w:t>
            </w:r>
          </w:p>
        </w:tc>
        <w:tc>
          <w:tcPr>
            <w:tcW w:w="1569" w:type="dxa"/>
            <w:vAlign w:val="center"/>
          </w:tcPr>
          <w:p>
            <w:pPr>
              <w:spacing w:line="300" w:lineRule="exact"/>
              <w:jc w:val="center"/>
              <w:rPr>
                <w:rFonts w:eastAsia="方正仿宋_GBK"/>
                <w:kern w:val="0"/>
                <w:szCs w:val="21"/>
              </w:rPr>
            </w:pPr>
            <w:r>
              <w:rPr>
                <w:rFonts w:eastAsia="方正仿宋_GBK"/>
                <w:kern w:val="0"/>
                <w:szCs w:val="21"/>
              </w:rPr>
              <w:t>1.</w:t>
            </w:r>
            <w:r>
              <w:rPr>
                <w:rFonts w:hint="eastAsia" w:eastAsia="方正仿宋_GBK"/>
                <w:kern w:val="0"/>
                <w:szCs w:val="21"/>
              </w:rPr>
              <w:t>8</w:t>
            </w:r>
          </w:p>
          <w:p>
            <w:pPr>
              <w:pStyle w:val="5"/>
              <w:spacing w:line="200" w:lineRule="exact"/>
              <w:jc w:val="center"/>
            </w:pPr>
            <w:r>
              <w:rPr>
                <w:rFonts w:ascii="Times New Roman" w:hAnsi="Times New Roman" w:eastAsia="方正仿宋_GBK"/>
                <w:kern w:val="0"/>
                <w:sz w:val="15"/>
                <w:szCs w:val="15"/>
              </w:rPr>
              <w:t>（按七人普前人口口径计算）</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210"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30</w:t>
            </w:r>
          </w:p>
        </w:tc>
        <w:tc>
          <w:tcPr>
            <w:tcW w:w="2439" w:type="dxa"/>
            <w:vAlign w:val="center"/>
          </w:tcPr>
          <w:p>
            <w:pPr>
              <w:spacing w:line="300" w:lineRule="exact"/>
              <w:jc w:val="left"/>
              <w:rPr>
                <w:rFonts w:eastAsia="方正仿宋_GBK"/>
                <w:kern w:val="0"/>
                <w:szCs w:val="21"/>
              </w:rPr>
            </w:pPr>
            <w:r>
              <w:rPr>
                <w:rFonts w:eastAsia="方正仿宋_GBK"/>
                <w:kern w:val="0"/>
                <w:szCs w:val="21"/>
              </w:rPr>
              <w:t>每千人口拥有执业（助理）医师数</w:t>
            </w:r>
          </w:p>
        </w:tc>
        <w:tc>
          <w:tcPr>
            <w:tcW w:w="1166" w:type="dxa"/>
            <w:vAlign w:val="center"/>
          </w:tcPr>
          <w:p>
            <w:pPr>
              <w:spacing w:line="300" w:lineRule="exact"/>
              <w:jc w:val="center"/>
              <w:rPr>
                <w:rFonts w:eastAsia="方正仿宋_GBK"/>
                <w:kern w:val="0"/>
                <w:szCs w:val="21"/>
              </w:rPr>
            </w:pPr>
            <w:r>
              <w:rPr>
                <w:rFonts w:eastAsia="方正仿宋_GBK"/>
                <w:kern w:val="0"/>
                <w:szCs w:val="21"/>
              </w:rPr>
              <w:t>（人）</w:t>
            </w:r>
          </w:p>
        </w:tc>
        <w:tc>
          <w:tcPr>
            <w:tcW w:w="1089" w:type="dxa"/>
            <w:vAlign w:val="center"/>
          </w:tcPr>
          <w:p>
            <w:pPr>
              <w:spacing w:line="300" w:lineRule="exact"/>
              <w:jc w:val="center"/>
              <w:rPr>
                <w:rFonts w:eastAsia="方正仿宋_GBK"/>
                <w:kern w:val="0"/>
                <w:szCs w:val="21"/>
              </w:rPr>
            </w:pPr>
            <w:r>
              <w:rPr>
                <w:rFonts w:eastAsia="方正仿宋_GBK"/>
                <w:kern w:val="0"/>
                <w:szCs w:val="21"/>
              </w:rPr>
              <w:t>预期性</w:t>
            </w:r>
          </w:p>
        </w:tc>
        <w:tc>
          <w:tcPr>
            <w:tcW w:w="1569" w:type="dxa"/>
            <w:vAlign w:val="center"/>
          </w:tcPr>
          <w:p>
            <w:pPr>
              <w:spacing w:line="300" w:lineRule="exact"/>
              <w:jc w:val="center"/>
            </w:pPr>
            <w:r>
              <w:t>3.81</w:t>
            </w:r>
          </w:p>
          <w:p>
            <w:pPr>
              <w:pStyle w:val="5"/>
              <w:spacing w:line="200" w:lineRule="exact"/>
              <w:jc w:val="center"/>
            </w:pPr>
            <w:r>
              <w:rPr>
                <w:rFonts w:ascii="Times New Roman" w:hAnsi="Times New Roman" w:eastAsia="方正仿宋_GBK"/>
                <w:kern w:val="0"/>
                <w:sz w:val="15"/>
                <w:szCs w:val="15"/>
              </w:rPr>
              <w:t>（按七人普前人口口径计算）</w:t>
            </w:r>
          </w:p>
        </w:tc>
        <w:tc>
          <w:tcPr>
            <w:tcW w:w="1569" w:type="dxa"/>
            <w:vAlign w:val="center"/>
          </w:tcPr>
          <w:p>
            <w:pPr>
              <w:spacing w:line="300" w:lineRule="exact"/>
              <w:jc w:val="center"/>
            </w:pPr>
            <w:r>
              <w:t>3.99</w:t>
            </w:r>
          </w:p>
          <w:p>
            <w:pPr>
              <w:spacing w:line="240" w:lineRule="exact"/>
              <w:jc w:val="center"/>
            </w:pPr>
            <w:r>
              <w:rPr>
                <w:rFonts w:eastAsia="方正仿宋_GBK"/>
                <w:kern w:val="0"/>
                <w:sz w:val="15"/>
                <w:szCs w:val="15"/>
              </w:rPr>
              <w:t>（按七人普前人口口径计算）</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16"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31</w:t>
            </w:r>
          </w:p>
        </w:tc>
        <w:tc>
          <w:tcPr>
            <w:tcW w:w="2439" w:type="dxa"/>
            <w:vAlign w:val="center"/>
          </w:tcPr>
          <w:p>
            <w:pPr>
              <w:spacing w:line="300" w:lineRule="exact"/>
              <w:jc w:val="left"/>
              <w:rPr>
                <w:rFonts w:eastAsia="方正仿宋_GBK"/>
                <w:kern w:val="0"/>
                <w:szCs w:val="21"/>
              </w:rPr>
            </w:pPr>
            <w:r>
              <w:rPr>
                <w:rFonts w:eastAsia="方正仿宋_GBK"/>
                <w:kern w:val="0"/>
                <w:szCs w:val="21"/>
              </w:rPr>
              <w:t>公办园在园幼儿人数占比</w:t>
            </w:r>
          </w:p>
        </w:tc>
        <w:tc>
          <w:tcPr>
            <w:tcW w:w="1166" w:type="dxa"/>
            <w:vAlign w:val="center"/>
          </w:tcPr>
          <w:p>
            <w:pPr>
              <w:spacing w:line="300" w:lineRule="exact"/>
              <w:jc w:val="center"/>
              <w:rPr>
                <w:rFonts w:eastAsia="方正仿宋_GBK"/>
                <w:kern w:val="0"/>
                <w:szCs w:val="21"/>
              </w:rPr>
            </w:pPr>
            <w:r>
              <w:rPr>
                <w:rFonts w:eastAsia="方正仿宋_GBK"/>
                <w:kern w:val="0"/>
                <w:szCs w:val="21"/>
              </w:rPr>
              <w:t>（%）</w:t>
            </w:r>
          </w:p>
        </w:tc>
        <w:tc>
          <w:tcPr>
            <w:tcW w:w="1089" w:type="dxa"/>
            <w:vAlign w:val="center"/>
          </w:tcPr>
          <w:p>
            <w:pPr>
              <w:spacing w:line="300" w:lineRule="exact"/>
              <w:jc w:val="center"/>
              <w:rPr>
                <w:rFonts w:eastAsia="方正仿宋_GBK"/>
                <w:kern w:val="0"/>
                <w:szCs w:val="21"/>
              </w:rPr>
            </w:pPr>
            <w:r>
              <w:rPr>
                <w:rFonts w:eastAsia="方正仿宋_GBK"/>
                <w:kern w:val="0"/>
                <w:szCs w:val="21"/>
              </w:rPr>
              <w:t>约束性</w:t>
            </w:r>
          </w:p>
        </w:tc>
        <w:tc>
          <w:tcPr>
            <w:tcW w:w="1569" w:type="dxa"/>
            <w:vAlign w:val="center"/>
          </w:tcPr>
          <w:p>
            <w:pPr>
              <w:spacing w:line="300" w:lineRule="exact"/>
              <w:jc w:val="center"/>
              <w:rPr>
                <w:rFonts w:eastAsia="方正仿宋_GBK"/>
                <w:kern w:val="0"/>
                <w:szCs w:val="21"/>
              </w:rPr>
            </w:pPr>
            <w:r>
              <w:rPr>
                <w:rFonts w:eastAsia="方正仿宋_GBK"/>
                <w:kern w:val="0"/>
                <w:szCs w:val="21"/>
              </w:rPr>
              <w:t>50以上</w:t>
            </w:r>
          </w:p>
        </w:tc>
        <w:tc>
          <w:tcPr>
            <w:tcW w:w="1569" w:type="dxa"/>
            <w:vAlign w:val="center"/>
          </w:tcPr>
          <w:p>
            <w:pPr>
              <w:spacing w:line="300" w:lineRule="exact"/>
              <w:jc w:val="center"/>
              <w:rPr>
                <w:rFonts w:eastAsia="方正仿宋_GBK"/>
                <w:kern w:val="0"/>
                <w:szCs w:val="21"/>
              </w:rPr>
            </w:pPr>
            <w:r>
              <w:rPr>
                <w:rFonts w:eastAsia="方正仿宋_GBK"/>
                <w:kern w:val="0"/>
                <w:szCs w:val="21"/>
              </w:rPr>
              <w:t>53.2</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53" w:hRule="atLeast"/>
          <w:jc w:val="center"/>
        </w:trPr>
        <w:tc>
          <w:tcPr>
            <w:tcW w:w="687" w:type="dxa"/>
            <w:vAlign w:val="center"/>
          </w:tcPr>
          <w:p>
            <w:pPr>
              <w:spacing w:line="300" w:lineRule="exact"/>
              <w:jc w:val="center"/>
              <w:rPr>
                <w:rFonts w:eastAsia="方正仿宋_GBK"/>
                <w:kern w:val="0"/>
                <w:szCs w:val="21"/>
              </w:rPr>
            </w:pPr>
            <w:r>
              <w:rPr>
                <w:rFonts w:eastAsia="方正仿宋_GBK"/>
                <w:kern w:val="0"/>
                <w:szCs w:val="21"/>
              </w:rPr>
              <w:t>32</w:t>
            </w:r>
          </w:p>
        </w:tc>
        <w:tc>
          <w:tcPr>
            <w:tcW w:w="2439" w:type="dxa"/>
            <w:vAlign w:val="center"/>
          </w:tcPr>
          <w:p>
            <w:pPr>
              <w:spacing w:line="300" w:lineRule="exact"/>
              <w:jc w:val="left"/>
              <w:rPr>
                <w:rFonts w:eastAsia="方正仿宋_GBK"/>
                <w:kern w:val="0"/>
                <w:szCs w:val="21"/>
              </w:rPr>
            </w:pPr>
            <w:r>
              <w:rPr>
                <w:rFonts w:eastAsia="方正仿宋_GBK"/>
                <w:kern w:val="0"/>
                <w:szCs w:val="21"/>
              </w:rPr>
              <w:t>安全事故死亡人数</w:t>
            </w:r>
          </w:p>
        </w:tc>
        <w:tc>
          <w:tcPr>
            <w:tcW w:w="1166" w:type="dxa"/>
            <w:vAlign w:val="center"/>
          </w:tcPr>
          <w:p>
            <w:pPr>
              <w:spacing w:line="300" w:lineRule="exact"/>
              <w:jc w:val="center"/>
              <w:rPr>
                <w:rFonts w:eastAsia="方正仿宋_GBK"/>
                <w:kern w:val="0"/>
                <w:szCs w:val="21"/>
              </w:rPr>
            </w:pPr>
            <w:r>
              <w:rPr>
                <w:rFonts w:eastAsia="方正仿宋_GBK"/>
                <w:kern w:val="0"/>
                <w:szCs w:val="21"/>
              </w:rPr>
              <w:t>（人）</w:t>
            </w:r>
          </w:p>
        </w:tc>
        <w:tc>
          <w:tcPr>
            <w:tcW w:w="1089" w:type="dxa"/>
            <w:vAlign w:val="center"/>
          </w:tcPr>
          <w:p>
            <w:pPr>
              <w:spacing w:line="300" w:lineRule="exact"/>
              <w:jc w:val="center"/>
              <w:rPr>
                <w:rFonts w:eastAsia="方正仿宋_GBK"/>
                <w:kern w:val="0"/>
                <w:szCs w:val="21"/>
              </w:rPr>
            </w:pPr>
            <w:r>
              <w:rPr>
                <w:rFonts w:eastAsia="方正仿宋_GBK"/>
                <w:kern w:val="0"/>
                <w:szCs w:val="21"/>
              </w:rPr>
              <w:t>约束性</w:t>
            </w:r>
          </w:p>
        </w:tc>
        <w:tc>
          <w:tcPr>
            <w:tcW w:w="1569" w:type="dxa"/>
            <w:vAlign w:val="center"/>
          </w:tcPr>
          <w:p>
            <w:pPr>
              <w:spacing w:line="300" w:lineRule="exact"/>
              <w:jc w:val="center"/>
              <w:rPr>
                <w:rFonts w:eastAsia="方正仿宋_GBK"/>
                <w:kern w:val="0"/>
                <w:szCs w:val="21"/>
              </w:rPr>
            </w:pPr>
            <w:r>
              <w:rPr>
                <w:rFonts w:eastAsia="方正仿宋_GBK"/>
                <w:kern w:val="0"/>
                <w:szCs w:val="21"/>
              </w:rPr>
              <w:t>≤16</w:t>
            </w:r>
          </w:p>
        </w:tc>
        <w:tc>
          <w:tcPr>
            <w:tcW w:w="1569" w:type="dxa"/>
            <w:vAlign w:val="center"/>
          </w:tcPr>
          <w:p>
            <w:pPr>
              <w:spacing w:line="300" w:lineRule="exact"/>
              <w:jc w:val="center"/>
              <w:rPr>
                <w:rFonts w:eastAsia="方正仿宋_GBK"/>
                <w:kern w:val="0"/>
                <w:szCs w:val="21"/>
              </w:rPr>
            </w:pPr>
            <w:r>
              <w:rPr>
                <w:rFonts w:eastAsia="方正仿宋_GBK"/>
                <w:kern w:val="0"/>
                <w:szCs w:val="21"/>
              </w:rPr>
              <w:t>11</w:t>
            </w:r>
          </w:p>
        </w:tc>
        <w:tc>
          <w:tcPr>
            <w:tcW w:w="859" w:type="dxa"/>
            <w:vAlign w:val="center"/>
          </w:tcPr>
          <w:p>
            <w:pPr>
              <w:spacing w:line="300" w:lineRule="exact"/>
              <w:jc w:val="center"/>
              <w:rPr>
                <w:rFonts w:eastAsia="方正仿宋_GBK"/>
                <w:kern w:val="0"/>
                <w:szCs w:val="21"/>
              </w:rPr>
            </w:pPr>
            <w:r>
              <w:rPr>
                <w:rFonts w:eastAsia="方正仿宋_GBK"/>
                <w:kern w:val="0"/>
                <w:szCs w:val="21"/>
              </w:rPr>
              <w:t>是</w:t>
            </w:r>
          </w:p>
        </w:tc>
      </w:tr>
    </w:tbl>
    <w:p>
      <w:pPr>
        <w:spacing w:line="594" w:lineRule="exact"/>
        <w:ind w:firstLine="643" w:firstLineChars="200"/>
        <w:rPr>
          <w:rFonts w:eastAsia="方正楷体_GBK"/>
          <w:b/>
          <w:bCs/>
          <w:color w:val="000000" w:themeColor="text1"/>
          <w:sz w:val="32"/>
          <w:szCs w:val="32"/>
          <w14:textFill>
            <w14:solidFill>
              <w14:schemeClr w14:val="tx1"/>
            </w14:solidFill>
          </w14:textFill>
        </w:rPr>
      </w:pPr>
      <w:r>
        <w:rPr>
          <w:rFonts w:eastAsia="方正楷体_GBK"/>
          <w:b/>
          <w:bCs/>
          <w:color w:val="000000" w:themeColor="text1"/>
          <w:sz w:val="32"/>
          <w:szCs w:val="32"/>
          <w14:textFill>
            <w14:solidFill>
              <w14:schemeClr w14:val="tx1"/>
            </w14:solidFill>
          </w14:textFill>
        </w:rPr>
        <w:t>（二）重点项目完成情况</w:t>
      </w:r>
    </w:p>
    <w:p>
      <w:pPr>
        <w:spacing w:line="594" w:lineRule="exact"/>
        <w:ind w:firstLine="640" w:firstLineChars="200"/>
        <w:rPr>
          <w:rFonts w:eastAsia="方正黑体_GBK"/>
          <w:color w:val="000000" w:themeColor="text1"/>
          <w:sz w:val="28"/>
          <w:szCs w:val="28"/>
          <w14:textFill>
            <w14:solidFill>
              <w14:schemeClr w14:val="tx1"/>
            </w14:solidFill>
          </w14:textFill>
        </w:rPr>
      </w:pPr>
      <w:r>
        <w:rPr>
          <w:rFonts w:eastAsia="方正仿宋_GBK"/>
          <w:color w:val="000000" w:themeColor="text1"/>
          <w:sz w:val="32"/>
          <w:szCs w:val="32"/>
          <w14:textFill>
            <w14:solidFill>
              <w14:schemeClr w14:val="tx1"/>
            </w14:solidFill>
          </w14:textFill>
        </w:rPr>
        <w:t>深入推行“六个一批”调度机制，加强项目策划储备，严格政府投资项目工程变更管理，规范重大项目前期工作经费使用，着力解决项目建设卡点难点问题，实现项目建设接替有序、梯次推进、滚动实施。全年新开工68个项目，竣工投用38个项目；29个在区市级重点建设项目有27个推进顺利，占比93.1%；74个区级重点建设项目有66个推进顺利，占比89.2%。通过加快实施一批节点性道路工程，推进断头路建设，城市互联互通水平有效提升；城市开发提速扩面，重钢五六厂区域、湾塘片区基本建成，钓鱼嘴音乐半岛、金桥片区成为开发热点；建桥园区</w:t>
      </w:r>
      <w:r>
        <w:rPr>
          <w:rFonts w:hint="eastAsia" w:eastAsia="方正仿宋_GBK"/>
          <w:color w:val="000000" w:themeColor="text1"/>
          <w:sz w:val="32"/>
          <w:szCs w:val="32"/>
          <w14:textFill>
            <w14:solidFill>
              <w14:schemeClr w14:val="tx1"/>
            </w14:solidFill>
          </w14:textFill>
        </w:rPr>
        <w:t>平台、</w:t>
      </w:r>
      <w:r>
        <w:rPr>
          <w:rFonts w:eastAsia="方正仿宋_GBK"/>
          <w:color w:val="000000" w:themeColor="text1"/>
          <w:sz w:val="32"/>
          <w:szCs w:val="32"/>
          <w14:textFill>
            <w14:solidFill>
              <w14:schemeClr w14:val="tx1"/>
            </w14:solidFill>
          </w14:textFill>
        </w:rPr>
        <w:t>能源、管网、公寓等配套设施不断完善，园区产业集聚能力逐步增强；积极实施环境改造提升工程、增绿添园工程，推进城市更新，城乡人居环境明显提升。</w:t>
      </w:r>
      <w:r>
        <w:t xml:space="preserve"> </w:t>
      </w:r>
    </w:p>
    <w:p>
      <w:pPr>
        <w:spacing w:line="600" w:lineRule="exact"/>
        <w:jc w:val="center"/>
        <w:rPr>
          <w:rFonts w:eastAsia="方正黑体_GBK"/>
          <w:color w:val="000000" w:themeColor="text1"/>
          <w:sz w:val="28"/>
          <w:szCs w:val="28"/>
          <w14:textFill>
            <w14:solidFill>
              <w14:schemeClr w14:val="tx1"/>
            </w14:solidFill>
          </w14:textFill>
        </w:rPr>
      </w:pPr>
      <w:r>
        <w:rPr>
          <w:rFonts w:eastAsia="方正黑体_GBK"/>
          <w:color w:val="000000" w:themeColor="text1"/>
          <w:sz w:val="28"/>
          <w:szCs w:val="28"/>
          <w14:textFill>
            <w14:solidFill>
              <w14:schemeClr w14:val="tx1"/>
            </w14:solidFill>
          </w14:textFill>
        </w:rPr>
        <w:t>专栏1：2021年重点开竣工项目情况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4" w:hRule="atLeast"/>
          <w:jc w:val="center"/>
        </w:trPr>
        <w:tc>
          <w:tcPr>
            <w:tcW w:w="9039" w:type="dxa"/>
          </w:tcPr>
          <w:p>
            <w:pPr>
              <w:adjustRightInd w:val="0"/>
              <w:snapToGrid w:val="0"/>
              <w:spacing w:line="320" w:lineRule="exact"/>
              <w:rPr>
                <w:rFonts w:eastAsia="方正仿宋_GBK"/>
                <w:color w:val="000000"/>
                <w:szCs w:val="21"/>
              </w:rPr>
            </w:pPr>
            <w:r>
              <w:rPr>
                <w:rFonts w:eastAsia="方正黑体_GBK"/>
                <w:bCs/>
                <w:color w:val="000000" w:themeColor="text1"/>
                <w:szCs w:val="21"/>
                <w14:textFill>
                  <w14:solidFill>
                    <w14:schemeClr w14:val="tx1"/>
                  </w14:solidFill>
                </w14:textFill>
              </w:rPr>
              <w:t>开工重点项目：</w:t>
            </w:r>
            <w:r>
              <w:rPr>
                <w:rFonts w:eastAsia="方正仿宋_GBK"/>
                <w:color w:val="000000"/>
                <w:szCs w:val="21"/>
              </w:rPr>
              <w:t>陶家隧道、钓鱼嘴四号路、钓鱼嘴七号路、刘家坝片区路网二期、“两江四岸”治理提升工程大滨路葛老溪段、双石河（二期）绿化工程、伏牛溪污水处理厂建设工程（一期）、天安数码城产业楼宇（三期）、海康威视重庆科技园（三期）、萤石生产基地、海康智能视频终端智能工厂内物流系统改造、中能餐厨垃圾运处研发制造及运管结算中心、拉挤生产线技改提速、三峡森晶创业基地一期、辉创昱辰快消品研发生产基地标准厂房、中冶建工职工职业技能培训实训中心、N43地块先进制造产业园、M36地块（荣安林语春风南侧）新建小学、I03地块（荣盛城西北侧）新建学校、I59地块（天邻山水安置房东南侧）新建小学、F10地块（朵力迎宾大道旁）新建小学、大渡口区中医院新建工程、龙湖焕城、中绿江州、长江云际、凰腾·西宸昱府、爱情天宸万象、锦绣原麓。</w:t>
            </w:r>
          </w:p>
          <w:p>
            <w:pPr>
              <w:adjustRightInd w:val="0"/>
              <w:snapToGrid w:val="0"/>
              <w:spacing w:line="320" w:lineRule="exact"/>
              <w:rPr>
                <w:rFonts w:eastAsia="方正仿宋_GBK"/>
                <w:color w:val="000000" w:themeColor="text1"/>
                <w:szCs w:val="21"/>
                <w14:textFill>
                  <w14:solidFill>
                    <w14:schemeClr w14:val="tx1"/>
                  </w14:solidFill>
                </w14:textFill>
              </w:rPr>
            </w:pPr>
            <w:r>
              <w:rPr>
                <w:rFonts w:eastAsia="方正黑体_GBK"/>
                <w:bCs/>
                <w:color w:val="000000" w:themeColor="text1"/>
                <w:szCs w:val="21"/>
                <w14:textFill>
                  <w14:solidFill>
                    <w14:schemeClr w14:val="tx1"/>
                  </w14:solidFill>
                </w14:textFill>
              </w:rPr>
              <w:t>竣工重点项目：</w:t>
            </w:r>
            <w:r>
              <w:rPr>
                <w:rFonts w:eastAsia="方正仿宋_GBK"/>
                <w:color w:val="000000"/>
                <w:szCs w:val="21"/>
              </w:rPr>
              <w:t>金家湾立交、百花村隧道道路工程、二纵线华岩至跳磴段、陈庹路公交站场一期、跳磴河清水绿岸提升工程一期、区智慧停车建设项目、飞羽公园、海康威视重庆科技园（二期）、质谱技术研发和产业</w:t>
            </w:r>
            <w:r>
              <w:rPr>
                <w:rFonts w:hint="eastAsia" w:eastAsia="方正仿宋_GBK"/>
                <w:color w:val="000000"/>
                <w:szCs w:val="21"/>
              </w:rPr>
              <w:t>项目</w:t>
            </w:r>
            <w:r>
              <w:rPr>
                <w:rFonts w:eastAsia="方正仿宋_GBK"/>
                <w:color w:val="000000"/>
                <w:szCs w:val="21"/>
              </w:rPr>
              <w:t>、瑜皓图文设计及文旅产品生产制作、</w:t>
            </w:r>
            <w:bookmarkStart w:id="0" w:name="OLE_LINK4"/>
            <w:r>
              <w:rPr>
                <w:rFonts w:eastAsia="方正仿宋_GBK"/>
                <w:color w:val="000000"/>
                <w:szCs w:val="21"/>
              </w:rPr>
              <w:t>慧泉小学</w:t>
            </w:r>
            <w:bookmarkEnd w:id="0"/>
            <w:r>
              <w:rPr>
                <w:rFonts w:eastAsia="方正仿宋_GBK"/>
                <w:color w:val="000000"/>
                <w:szCs w:val="21"/>
              </w:rPr>
              <w:t>、重庆市残疾人康复中心一期、区敬老院升级改造工程、天邻山水安置房续建工程、天泰·钢城印象（A区B区）、西麓九里、联发·西城首府、君领西城、泽科御峰、天安珑园二期、荣安林语春风。</w:t>
            </w:r>
          </w:p>
        </w:tc>
      </w:tr>
    </w:tbl>
    <w:p>
      <w:pPr>
        <w:spacing w:line="594" w:lineRule="exact"/>
        <w:ind w:firstLine="643" w:firstLineChars="200"/>
        <w:rPr>
          <w:rFonts w:eastAsia="方正楷体_GBK"/>
          <w:b/>
          <w:bCs/>
          <w:color w:val="000000" w:themeColor="text1"/>
          <w:sz w:val="32"/>
          <w:szCs w:val="32"/>
          <w14:textFill>
            <w14:solidFill>
              <w14:schemeClr w14:val="tx1"/>
            </w14:solidFill>
          </w14:textFill>
        </w:rPr>
      </w:pPr>
      <w:r>
        <w:rPr>
          <w:rFonts w:eastAsia="方正楷体_GBK"/>
          <w:b/>
          <w:bCs/>
          <w:color w:val="000000" w:themeColor="text1"/>
          <w:sz w:val="32"/>
          <w:szCs w:val="32"/>
          <w14:textFill>
            <w14:solidFill>
              <w14:schemeClr w14:val="tx1"/>
            </w14:solidFill>
          </w14:textFill>
        </w:rPr>
        <w:t>（三）重点任务完成情况</w:t>
      </w:r>
    </w:p>
    <w:p>
      <w:pPr>
        <w:spacing w:line="594" w:lineRule="exact"/>
        <w:ind w:firstLine="640" w:firstLineChars="200"/>
        <w:rPr>
          <w:rFonts w:eastAsia="方正仿宋_GBK"/>
          <w:bCs/>
          <w:sz w:val="32"/>
          <w:szCs w:val="32"/>
        </w:rPr>
      </w:pPr>
      <w:r>
        <w:rPr>
          <w:rFonts w:eastAsia="方正仿宋_GBK"/>
          <w:bCs/>
          <w:sz w:val="32"/>
          <w:szCs w:val="32"/>
        </w:rPr>
        <w:t>1.</w:t>
      </w:r>
      <w:r>
        <w:rPr>
          <w:rFonts w:eastAsia="方正仿宋_GBK"/>
          <w:b/>
          <w:sz w:val="32"/>
          <w:szCs w:val="32"/>
        </w:rPr>
        <w:t xml:space="preserve"> </w:t>
      </w:r>
      <w:r>
        <w:rPr>
          <w:rFonts w:hint="eastAsia" w:ascii="方正楷体_GBK" w:eastAsia="方正楷体_GBK"/>
          <w:bCs/>
          <w:sz w:val="32"/>
          <w:szCs w:val="32"/>
        </w:rPr>
        <w:t>创新驱动成效明显。企业创新活力持续释放。</w:t>
      </w:r>
      <w:r>
        <w:rPr>
          <w:rFonts w:eastAsia="方正仿宋_GBK"/>
          <w:bCs/>
          <w:sz w:val="32"/>
          <w:szCs w:val="32"/>
        </w:rPr>
        <w:t>建立科技型企业“育苗—成长—成材”全过程培育发展体系，全年新培育科技型企业79家，累计达3</w:t>
      </w:r>
      <w:r>
        <w:rPr>
          <w:rFonts w:hint="eastAsia" w:eastAsia="方正仿宋_GBK"/>
          <w:bCs/>
          <w:sz w:val="32"/>
          <w:szCs w:val="32"/>
        </w:rPr>
        <w:t>72</w:t>
      </w:r>
      <w:r>
        <w:rPr>
          <w:rFonts w:eastAsia="方正仿宋_GBK"/>
          <w:bCs/>
          <w:sz w:val="32"/>
          <w:szCs w:val="32"/>
        </w:rPr>
        <w:t>家；认定国家高新技术企业33家，累计达104家；高新技术企业数量占科技型企业数量比重达28%，居全市前列。鼓励企业加大研发投入，</w:t>
      </w:r>
      <w:r>
        <w:rPr>
          <w:rFonts w:eastAsia="方正仿宋_GBK"/>
          <w:bCs/>
          <w:color w:val="000000" w:themeColor="text1"/>
          <w:sz w:val="32"/>
          <w:szCs w:val="32"/>
          <w14:textFill>
            <w14:solidFill>
              <w14:schemeClr w14:val="tx1"/>
            </w14:solidFill>
          </w14:textFill>
        </w:rPr>
        <w:t>中元汇吉等9家企业13个产品纳入重庆市技术创新指导性项目推荐目录</w:t>
      </w:r>
      <w:r>
        <w:rPr>
          <w:rFonts w:eastAsia="方正仿宋_GBK"/>
          <w:bCs/>
          <w:color w:val="000000" w:themeColor="text1"/>
          <w:sz w:val="32"/>
          <w:szCs w:val="32"/>
          <w:lang w:val="zh-CN"/>
          <w14:textFill>
            <w14:solidFill>
              <w14:schemeClr w14:val="tx1"/>
            </w14:solidFill>
          </w14:textFill>
        </w:rPr>
        <w:t>，</w:t>
      </w:r>
      <w:r>
        <w:rPr>
          <w:rFonts w:eastAsia="方正仿宋_GBK"/>
          <w:bCs/>
          <w:sz w:val="32"/>
          <w:szCs w:val="32"/>
        </w:rPr>
        <w:t>每万人发明专利拥有量达19.1件，全年研发支出占地区生产总值比重保持4%左右。</w:t>
      </w:r>
      <w:r>
        <w:rPr>
          <w:rFonts w:hint="eastAsia" w:ascii="方正楷体_GBK" w:eastAsia="方正楷体_GBK"/>
          <w:sz w:val="32"/>
          <w:szCs w:val="32"/>
        </w:rPr>
        <w:t>科技创新平台加快集聚。</w:t>
      </w:r>
      <w:r>
        <w:rPr>
          <w:rFonts w:eastAsia="方正仿宋_GBK"/>
          <w:bCs/>
          <w:sz w:val="32"/>
          <w:szCs w:val="32"/>
        </w:rPr>
        <w:t>积极引入高校、科研机构创新资源，推进“平台+项目”紧密合作，联合中科蔚来等科技服务公司打造企业技术创新服务中心，与重庆邮电大学共建健康信息产业技术研究院，与重庆科技学院协同打造产教融合创新示范区；支持三峰环境联合浙江大学建立能源清洁利用国家重点实验室，支持中元汇吉联合厦门大学成立体外诊断研发中心；新增</w:t>
      </w:r>
      <w:r>
        <w:rPr>
          <w:rFonts w:eastAsia="方正仿宋_GBK"/>
          <w:sz w:val="32"/>
          <w:szCs w:val="32"/>
        </w:rPr>
        <w:t>市级以上研发平台3家、</w:t>
      </w:r>
      <w:r>
        <w:rPr>
          <w:rFonts w:eastAsia="方正仿宋_GBK"/>
          <w:bCs/>
          <w:sz w:val="32"/>
          <w:szCs w:val="32"/>
        </w:rPr>
        <w:t>市级博士后科研工作站2个，</w:t>
      </w:r>
      <w:r>
        <w:rPr>
          <w:rFonts w:hint="eastAsia" w:eastAsia="方正仿宋_GBK"/>
          <w:bCs/>
          <w:sz w:val="32"/>
          <w:szCs w:val="32"/>
        </w:rPr>
        <w:t>成立</w:t>
      </w:r>
      <w:r>
        <w:rPr>
          <w:rFonts w:eastAsia="方正仿宋_GBK"/>
          <w:bCs/>
          <w:sz w:val="32"/>
          <w:szCs w:val="32"/>
        </w:rPr>
        <w:t>重庆市体外诊断技术创新战略联盟。</w:t>
      </w:r>
      <w:r>
        <w:rPr>
          <w:rFonts w:ascii="方正楷体_GBK" w:eastAsia="方正楷体_GBK"/>
          <w:sz w:val="32"/>
          <w:szCs w:val="32"/>
        </w:rPr>
        <w:t>创新创业环境优化提升。</w:t>
      </w:r>
      <w:r>
        <w:rPr>
          <w:rFonts w:eastAsia="方正仿宋_GBK"/>
          <w:bCs/>
          <w:sz w:val="32"/>
          <w:szCs w:val="32"/>
        </w:rPr>
        <w:t>扎实推进国家双创示范基地建设，深入开展社会服务领域创业带动就业示范行动，组织实施双创活动周、义渡赛创会等活动60余场次，实施“渝创渝新”创业促进计划，累计培育创业孵化基地（园区）9个，新孵化入驻企业89家。创新金融支持方式，</w:t>
      </w:r>
      <w:r>
        <w:rPr>
          <w:rFonts w:hint="eastAsia" w:eastAsia="方正仿宋_GBK"/>
          <w:bCs/>
          <w:sz w:val="32"/>
          <w:szCs w:val="32"/>
        </w:rPr>
        <w:t>发放商业价值信用贷</w:t>
      </w:r>
      <w:r>
        <w:rPr>
          <w:rFonts w:eastAsia="方正仿宋_GBK"/>
          <w:bCs/>
          <w:sz w:val="32"/>
          <w:szCs w:val="32"/>
        </w:rPr>
        <w:t>款</w:t>
      </w:r>
      <w:r>
        <w:rPr>
          <w:rFonts w:hint="eastAsia" w:eastAsia="方正仿宋_GBK"/>
          <w:bCs/>
          <w:sz w:val="32"/>
          <w:szCs w:val="32"/>
        </w:rPr>
        <w:t>3616万元，</w:t>
      </w:r>
      <w:r>
        <w:rPr>
          <w:rFonts w:eastAsia="方正仿宋_GBK"/>
          <w:bCs/>
          <w:sz w:val="32"/>
          <w:szCs w:val="32"/>
        </w:rPr>
        <w:t>帮助2</w:t>
      </w:r>
      <w:r>
        <w:rPr>
          <w:rFonts w:hint="eastAsia" w:eastAsia="方正仿宋_GBK"/>
          <w:bCs/>
          <w:sz w:val="32"/>
          <w:szCs w:val="32"/>
        </w:rPr>
        <w:t>6</w:t>
      </w:r>
      <w:r>
        <w:rPr>
          <w:rFonts w:eastAsia="方正仿宋_GBK"/>
          <w:bCs/>
          <w:sz w:val="32"/>
          <w:szCs w:val="32"/>
        </w:rPr>
        <w:t>家企业获得知识价值信用贷款</w:t>
      </w:r>
      <w:r>
        <w:rPr>
          <w:rFonts w:hint="eastAsia" w:eastAsia="方正仿宋_GBK"/>
          <w:bCs/>
          <w:sz w:val="32"/>
          <w:szCs w:val="32"/>
        </w:rPr>
        <w:t>5638</w:t>
      </w:r>
      <w:r>
        <w:rPr>
          <w:rFonts w:eastAsia="方正仿宋_GBK"/>
          <w:bCs/>
          <w:sz w:val="32"/>
          <w:szCs w:val="32"/>
        </w:rPr>
        <w:t>万元，发放扶持创业贷款</w:t>
      </w:r>
      <w:r>
        <w:rPr>
          <w:rFonts w:hint="eastAsia" w:eastAsia="方正仿宋_GBK"/>
          <w:bCs/>
          <w:sz w:val="32"/>
          <w:szCs w:val="32"/>
        </w:rPr>
        <w:t>1210</w:t>
      </w:r>
      <w:r>
        <w:rPr>
          <w:rFonts w:eastAsia="方正仿宋_GBK"/>
          <w:bCs/>
          <w:sz w:val="32"/>
          <w:szCs w:val="32"/>
        </w:rPr>
        <w:t>万元，5个项目获得创业种子基金投资270万元。强化知识产权服务，4家企业完成知识产权贯标，1家企业开展专利导航工作。强化人才引进培育，落实重庆英才计划、重庆英才大会等重大专项，入选2021年中国博士后科学基金国（境）外交流引进项目1人、“鸿雁计划”人才1人，引进优秀紧缺人才294人。</w:t>
      </w:r>
    </w:p>
    <w:p>
      <w:pPr>
        <w:spacing w:line="594" w:lineRule="exact"/>
        <w:ind w:firstLine="640" w:firstLineChars="200"/>
        <w:rPr>
          <w:rFonts w:eastAsia="方正仿宋_GBK"/>
          <w:bCs/>
          <w:color w:val="000000" w:themeColor="text1"/>
          <w:sz w:val="32"/>
          <w:szCs w:val="32"/>
          <w14:textFill>
            <w14:solidFill>
              <w14:schemeClr w14:val="tx1"/>
            </w14:solidFill>
          </w14:textFill>
        </w:rPr>
      </w:pPr>
      <w:r>
        <w:rPr>
          <w:rFonts w:eastAsia="方正仿宋_GBK"/>
          <w:bCs/>
          <w:sz w:val="32"/>
          <w:szCs w:val="32"/>
        </w:rPr>
        <w:t>2.</w:t>
      </w:r>
      <w:r>
        <w:rPr>
          <w:rFonts w:eastAsia="方正仿宋_GBK"/>
          <w:b/>
          <w:sz w:val="32"/>
          <w:szCs w:val="32"/>
        </w:rPr>
        <w:t xml:space="preserve"> </w:t>
      </w:r>
      <w:r>
        <w:rPr>
          <w:rFonts w:hint="eastAsia" w:ascii="方正楷体_GBK" w:eastAsia="方正楷体_GBK"/>
          <w:bCs/>
          <w:sz w:val="32"/>
          <w:szCs w:val="32"/>
        </w:rPr>
        <w:t>产业结构不断优化。重点产业加快集聚。</w:t>
      </w:r>
      <w:r>
        <w:rPr>
          <w:rFonts w:eastAsia="方正仿宋_GBK"/>
          <w:bCs/>
          <w:sz w:val="32"/>
          <w:szCs w:val="32"/>
        </w:rPr>
        <w:t>大数据智能化产业集群初具雏形，海康威视二期建成投用，海康威视三期、萤石智能家居项目开工建设，引进宁波明鑫、中科坤程等项目27个，大数据智能化企业</w:t>
      </w:r>
      <w:r>
        <w:rPr>
          <w:rFonts w:hint="eastAsia" w:eastAsia="方正仿宋_GBK"/>
          <w:bCs/>
          <w:sz w:val="32"/>
          <w:szCs w:val="32"/>
        </w:rPr>
        <w:t>突破200</w:t>
      </w:r>
      <w:r>
        <w:rPr>
          <w:rFonts w:eastAsia="方正仿宋_GBK"/>
          <w:bCs/>
          <w:sz w:val="32"/>
          <w:szCs w:val="32"/>
        </w:rPr>
        <w:t>家，全年营业收入突破100亿元、增长56.2%。大健康生物医药产业乘势而上，中元汇吉成为全市体外诊断产业链主企业，引进康圣环球、中能医养等项目20个，生物医药企业达119家，全区医疗器械产品注册证数量居全市第一，全年营业收入突破100亿元、增长85.4%。生态环保产业稳固提升，三峰环境、盎瑞悦、</w:t>
      </w:r>
      <w:r>
        <w:rPr>
          <w:rFonts w:eastAsia="方正仿宋_GBK"/>
          <w:sz w:val="32"/>
          <w:szCs w:val="32"/>
        </w:rPr>
        <w:t>臻焱环保</w:t>
      </w:r>
      <w:r>
        <w:rPr>
          <w:rFonts w:eastAsia="方正仿宋_GBK"/>
          <w:bCs/>
          <w:sz w:val="32"/>
          <w:szCs w:val="32"/>
        </w:rPr>
        <w:t>等重点企业持续增长，引进冶金废料综合利用、铭德晟环保等项目6个，生态环保企业达126家，全年实现营业收入67.</w:t>
      </w:r>
      <w:r>
        <w:rPr>
          <w:rFonts w:hint="eastAsia" w:eastAsia="方正仿宋_GBK"/>
          <w:bCs/>
          <w:sz w:val="32"/>
          <w:szCs w:val="32"/>
        </w:rPr>
        <w:t>2</w:t>
      </w:r>
      <w:r>
        <w:rPr>
          <w:rFonts w:eastAsia="方正仿宋_GBK"/>
          <w:bCs/>
          <w:sz w:val="32"/>
          <w:szCs w:val="32"/>
        </w:rPr>
        <w:t>亿元、增长15.</w:t>
      </w:r>
      <w:r>
        <w:rPr>
          <w:rFonts w:hint="eastAsia" w:eastAsia="方正仿宋_GBK"/>
          <w:bCs/>
          <w:sz w:val="32"/>
          <w:szCs w:val="32"/>
        </w:rPr>
        <w:t>2</w:t>
      </w:r>
      <w:r>
        <w:rPr>
          <w:rFonts w:eastAsia="方正仿宋_GBK"/>
          <w:bCs/>
          <w:sz w:val="32"/>
          <w:szCs w:val="32"/>
        </w:rPr>
        <w:t>%。新材料产业补链扩能，国际复合上市工作加快推进，中石化润滑油、宝武特冶航研等企业产品关键领域技术实现突破，风渡拉挤板材发展壮大，引进清洁能源等项目5个，全年新增</w:t>
      </w:r>
      <w:r>
        <w:rPr>
          <w:rFonts w:hint="eastAsia" w:eastAsia="方正仿宋_GBK"/>
          <w:bCs/>
          <w:sz w:val="32"/>
          <w:szCs w:val="32"/>
        </w:rPr>
        <w:t>产能</w:t>
      </w:r>
      <w:r>
        <w:rPr>
          <w:rFonts w:eastAsia="方正仿宋_GBK"/>
          <w:bCs/>
          <w:sz w:val="32"/>
          <w:szCs w:val="32"/>
        </w:rPr>
        <w:t>规模20亿元。重庆小面产业稳健起步，出台扶持重庆小面企业发展专项政策，启动重庆小面产业园建设，加大头部企业和产业链企业招商力度，</w:t>
      </w:r>
      <w:r>
        <w:rPr>
          <w:rFonts w:hint="eastAsia" w:eastAsia="方正仿宋_GBK"/>
          <w:bCs/>
          <w:sz w:val="32"/>
          <w:szCs w:val="32"/>
        </w:rPr>
        <w:t>累计</w:t>
      </w:r>
      <w:r>
        <w:rPr>
          <w:rFonts w:eastAsia="方正仿宋_GBK"/>
          <w:bCs/>
          <w:sz w:val="32"/>
          <w:szCs w:val="32"/>
        </w:rPr>
        <w:t>引进金牌干溜、大毛不坨面等企业20余家、总投资额30亿元。</w:t>
      </w:r>
      <w:r>
        <w:rPr>
          <w:rFonts w:hint="eastAsia" w:ascii="方正楷体_GBK" w:eastAsia="方正楷体_GBK"/>
          <w:bCs/>
          <w:color w:val="000000" w:themeColor="text1"/>
          <w:sz w:val="32"/>
          <w:szCs w:val="32"/>
          <w14:textFill>
            <w14:solidFill>
              <w14:schemeClr w14:val="tx1"/>
            </w14:solidFill>
          </w14:textFill>
        </w:rPr>
        <w:t>传统产业提档升级。</w:t>
      </w:r>
      <w:r>
        <w:rPr>
          <w:rFonts w:eastAsia="方正仿宋_GBK"/>
          <w:bCs/>
          <w:color w:val="000000" w:themeColor="text1"/>
          <w:sz w:val="32"/>
          <w:szCs w:val="32"/>
          <w14:textFill>
            <w14:solidFill>
              <w14:schemeClr w14:val="tx1"/>
            </w14:solidFill>
          </w14:textFill>
        </w:rPr>
        <w:t>推动传统企业智能化改造，</w:t>
      </w:r>
      <w:r>
        <w:rPr>
          <w:rFonts w:eastAsia="方正仿宋_GBK"/>
          <w:sz w:val="32"/>
          <w:szCs w:val="32"/>
        </w:rPr>
        <w:t>引导国际复合、秋田齿轮</w:t>
      </w:r>
      <w:r>
        <w:rPr>
          <w:rFonts w:eastAsia="方正仿宋_GBK"/>
          <w:bCs/>
          <w:color w:val="000000" w:themeColor="text1"/>
          <w:sz w:val="32"/>
          <w:szCs w:val="32"/>
          <w14:textFill>
            <w14:solidFill>
              <w14:schemeClr w14:val="tx1"/>
            </w14:solidFill>
          </w14:textFill>
        </w:rPr>
        <w:t>等企业实施智能制造项目14个，建成智能工厂1个、数字化车间3个，实施技改升级项目24个。秋田齿轮获得第四届中国质量奖提名奖，嘉威啤酒、宝武特冶航研被认定为市级企业技术中心。</w:t>
      </w:r>
      <w:r>
        <w:rPr>
          <w:rFonts w:eastAsia="方正仿宋_GBK"/>
          <w:sz w:val="32"/>
          <w:szCs w:val="32"/>
        </w:rPr>
        <w:t>大力发展装配式建筑，建设装配式建筑项目7个，全年实现建筑业产值268亿元、增长12%。</w:t>
      </w:r>
      <w:r>
        <w:rPr>
          <w:rFonts w:ascii="方正楷体_GBK" w:eastAsia="方正楷体_GBK"/>
          <w:bCs/>
          <w:color w:val="000000" w:themeColor="text1"/>
          <w:sz w:val="32"/>
          <w:szCs w:val="32"/>
          <w14:textFill>
            <w14:solidFill>
              <w14:schemeClr w14:val="tx1"/>
            </w14:solidFill>
          </w14:textFill>
        </w:rPr>
        <w:t>现代服务业提质增效。</w:t>
      </w:r>
      <w:r>
        <w:rPr>
          <w:rFonts w:eastAsia="方正仿宋_GBK"/>
          <w:bCs/>
          <w:color w:val="000000" w:themeColor="text1"/>
          <w:sz w:val="32"/>
          <w:szCs w:val="32"/>
          <w14:textFill>
            <w14:solidFill>
              <w14:schemeClr w14:val="tx1"/>
            </w14:solidFill>
          </w14:textFill>
        </w:rPr>
        <w:t>编制服务业发展“十四五”规划，天安大健康集聚区、建桥节能环保服务集聚区获评重庆市服务业集聚区，</w:t>
      </w:r>
      <w:r>
        <w:rPr>
          <w:rFonts w:eastAsia="方正仿宋_GBK"/>
          <w:bCs/>
          <w:sz w:val="32"/>
          <w:szCs w:val="32"/>
        </w:rPr>
        <w:t>加快打造“数字经济示范先行区”。文旅经济持续做靓，</w:t>
      </w:r>
      <w:r>
        <w:rPr>
          <w:rFonts w:hint="eastAsia" w:eastAsia="方正仿宋_GBK"/>
          <w:bCs/>
          <w:sz w:val="32"/>
          <w:szCs w:val="32"/>
        </w:rPr>
        <w:t>大滨路沿线</w:t>
      </w:r>
      <w:r>
        <w:rPr>
          <w:rFonts w:eastAsia="方正仿宋_GBK"/>
          <w:bCs/>
          <w:sz w:val="32"/>
          <w:szCs w:val="32"/>
        </w:rPr>
        <w:t>江滩</w:t>
      </w:r>
      <w:r>
        <w:rPr>
          <w:rFonts w:hint="eastAsia" w:eastAsia="方正仿宋_GBK"/>
          <w:bCs/>
          <w:sz w:val="32"/>
          <w:szCs w:val="32"/>
        </w:rPr>
        <w:t>成为</w:t>
      </w:r>
      <w:r>
        <w:rPr>
          <w:rFonts w:eastAsia="方正仿宋_GBK"/>
          <w:bCs/>
          <w:sz w:val="32"/>
          <w:szCs w:val="32"/>
        </w:rPr>
        <w:t>旅游</w:t>
      </w:r>
      <w:r>
        <w:rPr>
          <w:rFonts w:hint="eastAsia" w:eastAsia="方正仿宋_GBK"/>
          <w:bCs/>
          <w:sz w:val="32"/>
          <w:szCs w:val="32"/>
        </w:rPr>
        <w:t>新</w:t>
      </w:r>
      <w:r>
        <w:rPr>
          <w:rFonts w:eastAsia="方正仿宋_GBK"/>
          <w:bCs/>
          <w:sz w:val="32"/>
          <w:szCs w:val="32"/>
        </w:rPr>
        <w:t>热点，引进亚音传媒建设义渡音乐文创小镇，启动跳磴</w:t>
      </w:r>
      <w:r>
        <w:rPr>
          <w:rFonts w:hint="eastAsia" w:eastAsia="方正仿宋_GBK"/>
          <w:bCs/>
          <w:sz w:val="32"/>
          <w:szCs w:val="32"/>
        </w:rPr>
        <w:t>鲜活</w:t>
      </w:r>
      <w:r>
        <w:rPr>
          <w:rFonts w:eastAsia="方正仿宋_GBK"/>
          <w:bCs/>
          <w:sz w:val="32"/>
          <w:szCs w:val="32"/>
        </w:rPr>
        <w:t>美食镇、渔秋浩音乐码头项目，策划推进原生民歌产业园、白沙沱长江大桥遗址公园、重庆文旅资源交易中心等项目，</w:t>
      </w:r>
      <w:r>
        <w:rPr>
          <w:rFonts w:eastAsia="方正仿宋_GBK"/>
          <w:sz w:val="32"/>
          <w:szCs w:val="32"/>
        </w:rPr>
        <w:t>支持华生园景区重整盘活，</w:t>
      </w:r>
      <w:r>
        <w:rPr>
          <w:rFonts w:eastAsia="方正仿宋_GBK"/>
          <w:bCs/>
          <w:sz w:val="32"/>
          <w:szCs w:val="32"/>
        </w:rPr>
        <w:t>引进文旅项目</w:t>
      </w:r>
      <w:r>
        <w:rPr>
          <w:rFonts w:eastAsia="方正仿宋_GBK"/>
          <w:sz w:val="32"/>
          <w:szCs w:val="32"/>
        </w:rPr>
        <w:t>14</w:t>
      </w:r>
      <w:r>
        <w:rPr>
          <w:rFonts w:eastAsia="方正仿宋_GBK"/>
          <w:bCs/>
          <w:sz w:val="32"/>
          <w:szCs w:val="32"/>
        </w:rPr>
        <w:t>个，全年实现旅游收入8.1亿元、增长46.2%，实现文化产业增加值14亿元、增长13%。商贸消费加快提振，组织开展汽车消费季、城市生活节、重庆小面文化节等主题消费活动，</w:t>
      </w:r>
      <w:bookmarkStart w:id="1" w:name="OLE_LINK3"/>
      <w:r>
        <w:rPr>
          <w:rFonts w:eastAsia="方正仿宋_GBK"/>
          <w:bCs/>
          <w:sz w:val="32"/>
          <w:szCs w:val="32"/>
        </w:rPr>
        <w:t>发展电商平台经济，快手重庆创新中心、重庆小面电商产业园加快建设，全年实现社会消费品零售总额74.85亿元、增长11%</w:t>
      </w:r>
      <w:bookmarkEnd w:id="1"/>
      <w:r>
        <w:rPr>
          <w:rFonts w:eastAsia="方正仿宋_GBK"/>
          <w:bCs/>
          <w:sz w:val="32"/>
          <w:szCs w:val="32"/>
        </w:rPr>
        <w:t>。金融业平稳发展，金融机构人民币存贷款余额增长1</w:t>
      </w:r>
      <w:r>
        <w:rPr>
          <w:rFonts w:hint="eastAsia" w:eastAsia="方正仿宋_GBK"/>
          <w:bCs/>
          <w:sz w:val="32"/>
          <w:szCs w:val="32"/>
        </w:rPr>
        <w:t>6</w:t>
      </w:r>
      <w:r>
        <w:rPr>
          <w:rFonts w:eastAsia="方正仿宋_GBK"/>
          <w:bCs/>
          <w:sz w:val="32"/>
          <w:szCs w:val="32"/>
        </w:rPr>
        <w:t>%。</w:t>
      </w:r>
    </w:p>
    <w:p>
      <w:pPr>
        <w:spacing w:line="594" w:lineRule="exact"/>
        <w:ind w:firstLine="640" w:firstLineChars="200"/>
        <w:rPr>
          <w:rFonts w:eastAsia="方正仿宋_GBK"/>
          <w:bCs/>
          <w:color w:val="000000" w:themeColor="text1"/>
          <w:sz w:val="32"/>
          <w:szCs w:val="32"/>
          <w14:textFill>
            <w14:solidFill>
              <w14:schemeClr w14:val="tx1"/>
            </w14:solidFill>
          </w14:textFill>
        </w:rPr>
      </w:pPr>
      <w:r>
        <w:rPr>
          <w:rFonts w:eastAsia="方正楷体_GBK"/>
          <w:sz w:val="32"/>
          <w:szCs w:val="32"/>
        </w:rPr>
        <w:t>3.</w:t>
      </w:r>
      <w:r>
        <w:rPr>
          <w:rFonts w:eastAsia="方正楷体_GBK"/>
          <w:b/>
          <w:bCs/>
          <w:sz w:val="32"/>
          <w:szCs w:val="32"/>
        </w:rPr>
        <w:t xml:space="preserve"> </w:t>
      </w:r>
      <w:r>
        <w:rPr>
          <w:rFonts w:hint="eastAsia" w:ascii="方正楷体_GBK" w:eastAsia="方正楷体_GBK"/>
          <w:sz w:val="32"/>
          <w:szCs w:val="32"/>
        </w:rPr>
        <w:t>城乡融合步伐加快。</w:t>
      </w:r>
      <w:r>
        <w:rPr>
          <w:rFonts w:hint="eastAsia" w:ascii="方正楷体_GBK" w:eastAsia="方正楷体_GBK"/>
          <w:color w:val="000000" w:themeColor="text1"/>
          <w:sz w:val="32"/>
          <w:szCs w:val="32"/>
          <w14:textFill>
            <w14:solidFill>
              <w14:schemeClr w14:val="tx1"/>
            </w14:solidFill>
          </w14:textFill>
        </w:rPr>
        <w:t>重点片区开发全面提速。</w:t>
      </w:r>
      <w:r>
        <w:rPr>
          <w:rFonts w:eastAsia="方正仿宋_GBK"/>
          <w:color w:val="000000" w:themeColor="text1"/>
          <w:sz w:val="32"/>
          <w:szCs w:val="32"/>
          <w14:textFill>
            <w14:solidFill>
              <w14:schemeClr w14:val="tx1"/>
            </w14:solidFill>
          </w14:textFill>
        </w:rPr>
        <w:t>全年</w:t>
      </w:r>
      <w:r>
        <w:rPr>
          <w:rFonts w:eastAsia="方正仿宋_GBK"/>
          <w:bCs/>
          <w:color w:val="000000" w:themeColor="text1"/>
          <w:sz w:val="32"/>
          <w:szCs w:val="32"/>
          <w14:textFill>
            <w14:solidFill>
              <w14:schemeClr w14:val="tx1"/>
            </w14:solidFill>
          </w14:textFill>
        </w:rPr>
        <w:t>完成土地出让</w:t>
      </w:r>
      <w:r>
        <w:rPr>
          <w:rFonts w:eastAsia="方正仿宋_GBK"/>
          <w:color w:val="000000" w:themeColor="text1"/>
          <w:sz w:val="32"/>
          <w:szCs w:val="32"/>
          <w14:textFill>
            <w14:solidFill>
              <w14:schemeClr w14:val="tx1"/>
            </w14:solidFill>
          </w14:textFill>
        </w:rPr>
        <w:t>2077亩，国有土地上房屋征收10.1万平方米，农村集体土地征收2232亩，新建商品房200</w:t>
      </w:r>
      <w:r>
        <w:rPr>
          <w:rFonts w:eastAsia="方正仿宋_GBK"/>
          <w:bCs/>
          <w:color w:val="000000" w:themeColor="text1"/>
          <w:sz w:val="32"/>
          <w:szCs w:val="32"/>
          <w14:textFill>
            <w14:solidFill>
              <w14:schemeClr w14:val="tx1"/>
            </w14:solidFill>
          </w14:textFill>
        </w:rPr>
        <w:t>万平方米、实现销售面积200万平方米。加快长江文化艺术湾区建设，钓鱼嘴音乐半岛形成净地1200亩，长江音乐厅</w:t>
      </w:r>
      <w:r>
        <w:rPr>
          <w:rFonts w:hint="eastAsia" w:eastAsia="方正仿宋_GBK"/>
          <w:bCs/>
          <w:color w:val="000000" w:themeColor="text1"/>
          <w:sz w:val="32"/>
          <w:szCs w:val="32"/>
          <w14:textFill>
            <w14:solidFill>
              <w14:schemeClr w14:val="tx1"/>
            </w14:solidFill>
          </w14:textFill>
        </w:rPr>
        <w:t>启动</w:t>
      </w:r>
      <w:r>
        <w:rPr>
          <w:rFonts w:eastAsia="方正仿宋_GBK"/>
          <w:bCs/>
          <w:color w:val="000000" w:themeColor="text1"/>
          <w:sz w:val="32"/>
          <w:szCs w:val="32"/>
          <w14:textFill>
            <w14:solidFill>
              <w14:schemeClr w14:val="tx1"/>
            </w14:solidFill>
          </w14:textFill>
        </w:rPr>
        <w:t>建设，长江音乐学院确定建</w:t>
      </w:r>
      <w:r>
        <w:rPr>
          <w:rFonts w:hint="eastAsia" w:eastAsia="方正仿宋_GBK"/>
          <w:bCs/>
          <w:color w:val="000000" w:themeColor="text1"/>
          <w:sz w:val="32"/>
          <w:szCs w:val="32"/>
          <w14:textFill>
            <w14:solidFill>
              <w14:schemeClr w14:val="tx1"/>
            </w14:solidFill>
          </w14:textFill>
        </w:rPr>
        <w:t>设</w:t>
      </w:r>
      <w:r>
        <w:rPr>
          <w:rFonts w:eastAsia="方正仿宋_GBK"/>
          <w:bCs/>
          <w:color w:val="000000" w:themeColor="text1"/>
          <w:sz w:val="32"/>
          <w:szCs w:val="32"/>
          <w14:textFill>
            <w14:solidFill>
              <w14:schemeClr w14:val="tx1"/>
            </w14:solidFill>
          </w14:textFill>
        </w:rPr>
        <w:t>方案，宝武</w:t>
      </w:r>
      <w:r>
        <w:rPr>
          <w:rFonts w:hint="eastAsia" w:eastAsia="方正仿宋_GBK"/>
          <w:bCs/>
          <w:color w:val="000000" w:themeColor="text1"/>
          <w:sz w:val="32"/>
          <w:szCs w:val="32"/>
          <w14:textFill>
            <w14:solidFill>
              <w14:schemeClr w14:val="tx1"/>
            </w14:solidFill>
          </w14:textFill>
        </w:rPr>
        <w:t>集团</w:t>
      </w:r>
      <w:r>
        <w:rPr>
          <w:rFonts w:eastAsia="方正仿宋_GBK"/>
          <w:bCs/>
          <w:color w:val="000000" w:themeColor="text1"/>
          <w:sz w:val="32"/>
          <w:szCs w:val="32"/>
          <w14:textFill>
            <w14:solidFill>
              <w14:schemeClr w14:val="tx1"/>
            </w14:solidFill>
          </w14:textFill>
        </w:rPr>
        <w:t>西南总部、</w:t>
      </w:r>
      <w:r>
        <w:rPr>
          <w:rFonts w:hint="eastAsia" w:eastAsia="方正仿宋_GBK"/>
          <w:bCs/>
          <w:color w:val="000000" w:themeColor="text1"/>
          <w:sz w:val="32"/>
          <w:szCs w:val="32"/>
          <w14:textFill>
            <w14:solidFill>
              <w14:schemeClr w14:val="tx1"/>
            </w14:solidFill>
          </w14:textFill>
        </w:rPr>
        <w:t>茄子溪</w:t>
      </w:r>
      <w:r>
        <w:rPr>
          <w:rFonts w:eastAsia="方正仿宋_GBK"/>
          <w:bCs/>
          <w:color w:val="000000" w:themeColor="text1"/>
          <w:sz w:val="32"/>
          <w:szCs w:val="32"/>
          <w14:textFill>
            <w14:solidFill>
              <w14:schemeClr w14:val="tx1"/>
            </w14:solidFill>
          </w14:textFill>
        </w:rPr>
        <w:t>长江音悦港、万吨商旅融合总部基地前期工作有序推进；大滨路九滨路连接道、</w:t>
      </w:r>
      <w:r>
        <w:rPr>
          <w:rFonts w:hint="eastAsia" w:eastAsia="方正仿宋_GBK"/>
          <w:bCs/>
          <w:color w:val="000000" w:themeColor="text1"/>
          <w:sz w:val="32"/>
          <w:szCs w:val="32"/>
          <w14:textFill>
            <w14:solidFill>
              <w14:schemeClr w14:val="tx1"/>
            </w14:solidFill>
          </w14:textFill>
        </w:rPr>
        <w:t>钓鱼嘴</w:t>
      </w:r>
      <w:r>
        <w:rPr>
          <w:rFonts w:eastAsia="方正仿宋_GBK"/>
          <w:bCs/>
          <w:color w:val="000000" w:themeColor="text1"/>
          <w:sz w:val="32"/>
          <w:szCs w:val="32"/>
          <w14:textFill>
            <w14:solidFill>
              <w14:schemeClr w14:val="tx1"/>
            </w14:solidFill>
          </w14:textFill>
        </w:rPr>
        <w:t>音乐大道、老重钢片区路网等项目加快建设，白居寺长江大桥合龙，重钢崖线山城步道一期建成投用，片区轨道交通、城市路网、公交化列车、山城步道等多元化立体交通网络初步构建；</w:t>
      </w:r>
      <w:r>
        <w:rPr>
          <w:rFonts w:hint="eastAsia" w:eastAsia="方正仿宋_GBK"/>
          <w:bCs/>
          <w:color w:val="000000" w:themeColor="text1"/>
          <w:sz w:val="32"/>
          <w:szCs w:val="32"/>
          <w14:textFill>
            <w14:solidFill>
              <w14:schemeClr w14:val="tx1"/>
            </w14:solidFill>
          </w14:textFill>
        </w:rPr>
        <w:t>编制完成</w:t>
      </w:r>
      <w:r>
        <w:rPr>
          <w:rFonts w:hint="eastAsia" w:eastAsia="方正仿宋_GBK"/>
          <w:sz w:val="32"/>
          <w:szCs w:val="32"/>
        </w:rPr>
        <w:t>“艺术湾”大渡口段</w:t>
      </w:r>
      <w:r>
        <w:rPr>
          <w:rFonts w:eastAsia="方正仿宋_GBK"/>
          <w:sz w:val="32"/>
          <w:szCs w:val="32"/>
          <w:lang w:val="zh-CN"/>
        </w:rPr>
        <w:t>事业</w:t>
      </w:r>
      <w:r>
        <w:rPr>
          <w:rFonts w:hint="eastAsia" w:eastAsia="方正仿宋_GBK"/>
          <w:sz w:val="32"/>
          <w:szCs w:val="32"/>
        </w:rPr>
        <w:t>发展</w:t>
      </w:r>
      <w:r>
        <w:rPr>
          <w:rFonts w:eastAsia="方正仿宋_GBK"/>
          <w:sz w:val="32"/>
          <w:szCs w:val="32"/>
          <w:lang w:val="zh-CN"/>
        </w:rPr>
        <w:t>规划</w:t>
      </w:r>
      <w:r>
        <w:rPr>
          <w:rFonts w:hint="eastAsia" w:eastAsia="方正仿宋_GBK"/>
          <w:sz w:val="32"/>
          <w:szCs w:val="32"/>
        </w:rPr>
        <w:t>和音乐半岛</w:t>
      </w:r>
      <w:r>
        <w:rPr>
          <w:rFonts w:eastAsia="方正仿宋_GBK"/>
          <w:sz w:val="32"/>
          <w:szCs w:val="32"/>
          <w:lang w:val="zh-CN"/>
        </w:rPr>
        <w:t>产业</w:t>
      </w:r>
      <w:r>
        <w:rPr>
          <w:rFonts w:hint="eastAsia" w:eastAsia="方正仿宋_GBK"/>
          <w:sz w:val="32"/>
          <w:szCs w:val="32"/>
        </w:rPr>
        <w:t>发展</w:t>
      </w:r>
      <w:r>
        <w:rPr>
          <w:rFonts w:eastAsia="方正仿宋_GBK"/>
          <w:sz w:val="32"/>
          <w:szCs w:val="32"/>
          <w:lang w:val="zh-CN"/>
        </w:rPr>
        <w:t>规划，</w:t>
      </w:r>
      <w:r>
        <w:rPr>
          <w:rFonts w:eastAsia="方正仿宋_GBK"/>
          <w:bCs/>
          <w:color w:val="000000" w:themeColor="text1"/>
          <w:sz w:val="32"/>
          <w:szCs w:val="32"/>
          <w14:textFill>
            <w14:solidFill>
              <w14:schemeClr w14:val="tx1"/>
            </w14:solidFill>
          </w14:textFill>
        </w:rPr>
        <w:t>举办钓鱼嘴音乐论坛、“穿越二号音乐节”等重大活动，与市文旅委、市歌舞团、市歌剧院等缔结战略合作关系，</w:t>
      </w:r>
      <w:r>
        <w:rPr>
          <w:rFonts w:eastAsia="方正仿宋_GBK"/>
          <w:sz w:val="32"/>
          <w:szCs w:val="32"/>
        </w:rPr>
        <w:t>组建音乐</w:t>
      </w:r>
      <w:r>
        <w:rPr>
          <w:rFonts w:hint="eastAsia" w:eastAsia="方正仿宋_GBK"/>
          <w:sz w:val="32"/>
          <w:szCs w:val="32"/>
        </w:rPr>
        <w:t>半岛</w:t>
      </w:r>
      <w:r>
        <w:rPr>
          <w:rFonts w:eastAsia="方正仿宋_GBK"/>
          <w:sz w:val="32"/>
          <w:szCs w:val="32"/>
        </w:rPr>
        <w:t>专家库，</w:t>
      </w:r>
      <w:r>
        <w:rPr>
          <w:rFonts w:eastAsia="方正仿宋_GBK"/>
          <w:bCs/>
          <w:color w:val="000000" w:themeColor="text1"/>
          <w:sz w:val="32"/>
          <w:szCs w:val="32"/>
          <w14:textFill>
            <w14:solidFill>
              <w14:schemeClr w14:val="tx1"/>
            </w14:solidFill>
          </w14:textFill>
        </w:rPr>
        <w:t>联动推进国家级音乐产业基地建设。推动九宫庙—金桥片区扩容提质，规划建设龙湖金桥商业综合体，天安数码城三期开工建设，华润万象汇开业运营，新合作地下商业街升级营业，尚品荟音乐风情美食街</w:t>
      </w:r>
      <w:r>
        <w:rPr>
          <w:rFonts w:hint="eastAsia" w:eastAsia="方正仿宋_GBK"/>
          <w:bCs/>
          <w:color w:val="000000" w:themeColor="text1"/>
          <w:sz w:val="32"/>
          <w:szCs w:val="32"/>
          <w14:textFill>
            <w14:solidFill>
              <w14:schemeClr w14:val="tx1"/>
            </w14:solidFill>
          </w14:textFill>
        </w:rPr>
        <w:t>顺利</w:t>
      </w:r>
      <w:r>
        <w:rPr>
          <w:rFonts w:eastAsia="方正仿宋_GBK"/>
          <w:bCs/>
          <w:color w:val="000000" w:themeColor="text1"/>
          <w:sz w:val="32"/>
          <w:szCs w:val="32"/>
          <w14:textFill>
            <w14:solidFill>
              <w14:schemeClr w14:val="tx1"/>
            </w14:solidFill>
          </w14:textFill>
        </w:rPr>
        <w:t>开街，新增、盘活商业物业15万方，引进天空之湖创意公园、1919销售运营平台等项目22个。推进伏牛溪新城综合开发，</w:t>
      </w:r>
      <w:r>
        <w:rPr>
          <w:rFonts w:hint="eastAsia" w:eastAsia="方正仿宋_GBK"/>
          <w:bCs/>
          <w:color w:val="000000" w:themeColor="text1"/>
          <w:sz w:val="32"/>
          <w:szCs w:val="32"/>
          <w14:textFill>
            <w14:solidFill>
              <w14:schemeClr w14:val="tx1"/>
            </w14:solidFill>
          </w14:textFill>
        </w:rPr>
        <w:t>重庆（国际）小球赛事中心概念方案通过市规委会审查，伏牛溪油化品仓储基地搬迁前期工作有序推进</w:t>
      </w:r>
      <w:r>
        <w:rPr>
          <w:rFonts w:eastAsia="方正仿宋_GBK"/>
          <w:bCs/>
          <w:color w:val="000000" w:themeColor="text1"/>
          <w:sz w:val="32"/>
          <w:szCs w:val="32"/>
          <w14:textFill>
            <w14:solidFill>
              <w14:schemeClr w14:val="tx1"/>
            </w14:solidFill>
          </w14:textFill>
        </w:rPr>
        <w:t>；陈庹路公交站场（一期）、飞羽公园建成，西麓九里、天邻山水安置房等项目竣工交房，片区功能配套</w:t>
      </w:r>
      <w:r>
        <w:rPr>
          <w:rFonts w:hint="eastAsia" w:eastAsia="方正仿宋_GBK"/>
          <w:bCs/>
          <w:color w:val="000000" w:themeColor="text1"/>
          <w:sz w:val="32"/>
          <w:szCs w:val="32"/>
          <w14:textFill>
            <w14:solidFill>
              <w14:schemeClr w14:val="tx1"/>
            </w14:solidFill>
          </w14:textFill>
        </w:rPr>
        <w:t>逐步</w:t>
      </w:r>
      <w:r>
        <w:rPr>
          <w:rFonts w:eastAsia="方正仿宋_GBK"/>
          <w:bCs/>
          <w:color w:val="000000" w:themeColor="text1"/>
          <w:sz w:val="32"/>
          <w:szCs w:val="32"/>
          <w14:textFill>
            <w14:solidFill>
              <w14:schemeClr w14:val="tx1"/>
            </w14:solidFill>
          </w14:textFill>
        </w:rPr>
        <w:t>完善。提升高新区建桥园发展能级，海康威视重庆科技园加快建设，先进制造产业园、数码模四期开工建设，生物医药产业园一期完工，嘉威啤酒扩能、瑜皓图文生产基地、禄苑西南总部基地1、2号楼项目建成投用，园区全年实现规上工业产值280亿元、增长40.8%。</w:t>
      </w:r>
      <w:r>
        <w:rPr>
          <w:rFonts w:hint="eastAsia" w:ascii="方正楷体_GBK" w:eastAsia="方正楷体_GBK"/>
          <w:color w:val="000000" w:themeColor="text1"/>
          <w:sz w:val="32"/>
          <w:szCs w:val="32"/>
          <w14:textFill>
            <w14:solidFill>
              <w14:schemeClr w14:val="tx1"/>
            </w14:solidFill>
          </w14:textFill>
        </w:rPr>
        <w:t>城市基础设施日益完善。</w:t>
      </w:r>
      <w:r>
        <w:rPr>
          <w:rFonts w:hint="eastAsia" w:eastAsia="方正仿宋_GBK"/>
          <w:bCs/>
          <w:color w:val="000000" w:themeColor="text1"/>
          <w:sz w:val="32"/>
          <w:szCs w:val="32"/>
          <w14:textFill>
            <w14:solidFill>
              <w14:schemeClr w14:val="tx1"/>
            </w14:solidFill>
          </w14:textFill>
        </w:rPr>
        <w:t>强化</w:t>
      </w:r>
      <w:r>
        <w:rPr>
          <w:rFonts w:eastAsia="方正仿宋_GBK"/>
          <w:bCs/>
          <w:color w:val="000000" w:themeColor="text1"/>
          <w:sz w:val="32"/>
          <w:szCs w:val="32"/>
          <w14:textFill>
            <w14:solidFill>
              <w14:schemeClr w14:val="tx1"/>
            </w14:solidFill>
          </w14:textFill>
        </w:rPr>
        <w:t>内畅外联交通网络</w:t>
      </w:r>
      <w:r>
        <w:rPr>
          <w:rFonts w:hint="eastAsia" w:eastAsia="方正仿宋_GBK"/>
          <w:bCs/>
          <w:color w:val="000000" w:themeColor="text1"/>
          <w:sz w:val="32"/>
          <w:szCs w:val="32"/>
          <w14:textFill>
            <w14:solidFill>
              <w14:schemeClr w14:val="tx1"/>
            </w14:solidFill>
          </w14:textFill>
        </w:rPr>
        <w:t>建设</w:t>
      </w:r>
      <w:r>
        <w:rPr>
          <w:rFonts w:eastAsia="方正仿宋_GBK"/>
          <w:bCs/>
          <w:color w:val="000000" w:themeColor="text1"/>
          <w:sz w:val="32"/>
          <w:szCs w:val="32"/>
          <w14:textFill>
            <w14:solidFill>
              <w14:schemeClr w14:val="tx1"/>
            </w14:solidFill>
          </w14:textFill>
        </w:rPr>
        <w:t>，嘉南线连接道、陶家隧道等出区大通道加快建设，二纵线华岩至跳磴段、金家湾立交改造等13个道路项目建成，钓鱼嘴4号、7号路等内部道路开工建设，轨道18号线、江跳线建设稳步推进，建成区路网密度达6.19公里/平方公里。强化城市地下管网治理，雨污水管网整治工程三期、四期及伏牛溪管网综合整治工程（半岛逸景段）基本完工。推进城市公园和绿道绿廊建设，</w:t>
      </w:r>
      <w:r>
        <w:rPr>
          <w:rFonts w:hint="eastAsia" w:eastAsia="方正仿宋_GBK"/>
          <w:bCs/>
          <w:color w:val="000000" w:themeColor="text1"/>
          <w:sz w:val="32"/>
          <w:szCs w:val="32"/>
          <w14:textFill>
            <w14:solidFill>
              <w14:schemeClr w14:val="tx1"/>
            </w14:solidFill>
          </w14:textFill>
        </w:rPr>
        <w:t>完成</w:t>
      </w:r>
      <w:r>
        <w:rPr>
          <w:rFonts w:eastAsia="方正仿宋_GBK"/>
          <w:bCs/>
          <w:color w:val="000000" w:themeColor="text1"/>
          <w:sz w:val="32"/>
          <w:szCs w:val="32"/>
          <w14:textFill>
            <w14:solidFill>
              <w14:schemeClr w14:val="tx1"/>
            </w14:solidFill>
          </w14:textFill>
        </w:rPr>
        <w:t>大渡口公园开放式空间改造，</w:t>
      </w:r>
      <w:r>
        <w:rPr>
          <w:rFonts w:hint="eastAsia" w:eastAsia="方正仿宋_GBK"/>
          <w:sz w:val="32"/>
          <w:szCs w:val="32"/>
        </w:rPr>
        <w:t>建成金阳体育文化公园、义渡滨江公园二期、伏牛大道公园一期，</w:t>
      </w:r>
      <w:r>
        <w:rPr>
          <w:rFonts w:eastAsia="方正仿宋_GBK"/>
          <w:color w:val="000000"/>
          <w:sz w:val="32"/>
          <w:szCs w:val="32"/>
        </w:rPr>
        <w:t>完成大滨路、钢花路等重点路段19个绿化提升项目，</w:t>
      </w:r>
      <w:r>
        <w:rPr>
          <w:rFonts w:eastAsia="方正仿宋_GBK"/>
          <w:sz w:val="32"/>
          <w:szCs w:val="32"/>
        </w:rPr>
        <w:t>建成山城步道11.6公里</w:t>
      </w:r>
      <w:r>
        <w:rPr>
          <w:rFonts w:eastAsia="方正仿宋_GBK"/>
          <w:color w:val="000000"/>
          <w:sz w:val="32"/>
          <w:szCs w:val="32"/>
        </w:rPr>
        <w:t>。</w:t>
      </w:r>
      <w:r>
        <w:rPr>
          <w:rFonts w:eastAsia="方正仿宋_GBK"/>
          <w:bCs/>
          <w:color w:val="000000" w:themeColor="text1"/>
          <w:sz w:val="32"/>
          <w:szCs w:val="32"/>
          <w14:textFill>
            <w14:solidFill>
              <w14:schemeClr w14:val="tx1"/>
            </w14:solidFill>
          </w14:textFill>
        </w:rPr>
        <w:t>启动翠园、锁口丘等老旧小区改造项目10个，完成沪汉社区</w:t>
      </w:r>
      <w:r>
        <w:rPr>
          <w:rFonts w:eastAsia="方正仿宋_GBK"/>
          <w:color w:val="000000"/>
          <w:sz w:val="32"/>
          <w:szCs w:val="32"/>
        </w:rPr>
        <w:t>一期</w:t>
      </w:r>
      <w:r>
        <w:rPr>
          <w:rFonts w:eastAsia="方正仿宋_GBK"/>
          <w:bCs/>
          <w:color w:val="000000" w:themeColor="text1"/>
          <w:sz w:val="32"/>
          <w:szCs w:val="32"/>
          <w14:textFill>
            <w14:solidFill>
              <w14:schemeClr w14:val="tx1"/>
            </w14:solidFill>
          </w14:textFill>
        </w:rPr>
        <w:t>改造，老旧住宅新增电梯23部。提升“大城三管”治理效能，</w:t>
      </w:r>
      <w:r>
        <w:rPr>
          <w:rFonts w:eastAsia="方正仿宋_GBK"/>
          <w:bCs/>
          <w:sz w:val="32"/>
          <w:szCs w:val="32"/>
        </w:rPr>
        <w:t>实施市容环境整治项目10个，</w:t>
      </w:r>
      <w:r>
        <w:rPr>
          <w:rFonts w:hint="eastAsia" w:eastAsia="方正仿宋_GBK"/>
          <w:sz w:val="32"/>
          <w:szCs w:val="32"/>
        </w:rPr>
        <w:t>整治各类违法建筑20.9万平方米；</w:t>
      </w:r>
      <w:r>
        <w:rPr>
          <w:rFonts w:eastAsia="方正仿宋_GBK"/>
          <w:bCs/>
          <w:color w:val="000000" w:themeColor="text1"/>
          <w:sz w:val="32"/>
          <w:szCs w:val="32"/>
          <w14:textFill>
            <w14:solidFill>
              <w14:schemeClr w14:val="tx1"/>
            </w14:solidFill>
          </w14:textFill>
        </w:rPr>
        <w:t>创建市级示范道路5条，改造提升人车行道22.3万平方米，新增各类停车位8424个，新改建城市公厕8座，</w:t>
      </w:r>
      <w:r>
        <w:rPr>
          <w:rFonts w:hint="eastAsia" w:eastAsia="方正仿宋_GBK"/>
          <w:bCs/>
          <w:color w:val="000000" w:themeColor="text1"/>
          <w:sz w:val="32"/>
          <w:szCs w:val="32"/>
          <w14:textFill>
            <w14:solidFill>
              <w14:schemeClr w14:val="tx1"/>
            </w14:solidFill>
          </w14:textFill>
        </w:rPr>
        <w:t>顺利</w:t>
      </w:r>
      <w:r>
        <w:rPr>
          <w:rFonts w:eastAsia="方正仿宋_GBK"/>
          <w:bCs/>
          <w:color w:val="000000" w:themeColor="text1"/>
          <w:sz w:val="32"/>
          <w:szCs w:val="32"/>
          <w14:textFill>
            <w14:solidFill>
              <w14:schemeClr w14:val="tx1"/>
            </w14:solidFill>
          </w14:textFill>
        </w:rPr>
        <w:t>通过国家卫生区复审。</w:t>
      </w:r>
      <w:r>
        <w:rPr>
          <w:rFonts w:hint="eastAsia" w:ascii="方正楷体_GBK" w:eastAsia="方正楷体_GBK"/>
          <w:color w:val="000000"/>
          <w:sz w:val="32"/>
          <w:szCs w:val="32"/>
        </w:rPr>
        <w:t>乡村振兴战略深入实施。</w:t>
      </w:r>
      <w:r>
        <w:rPr>
          <w:rFonts w:eastAsia="方正仿宋_GBK"/>
          <w:bCs/>
          <w:color w:val="000000" w:themeColor="text1"/>
          <w:sz w:val="32"/>
          <w:szCs w:val="32"/>
          <w14:textFill>
            <w14:solidFill>
              <w14:schemeClr w14:val="tx1"/>
            </w14:solidFill>
          </w14:textFill>
        </w:rPr>
        <w:t>完善农村基础设施，牛谭路、土金路、石河路、金沙路完工，行政村实现自来水管网、用电光纤网络全覆盖，自来水供水率和供水保障率达到100%。启动农村人居环境整治五年行动，</w:t>
      </w:r>
      <w:r>
        <w:rPr>
          <w:rFonts w:hint="eastAsia" w:eastAsia="方正仿宋_GBK"/>
          <w:bCs/>
          <w:color w:val="000000" w:themeColor="text1"/>
          <w:sz w:val="32"/>
          <w:szCs w:val="32"/>
          <w14:textFill>
            <w14:solidFill>
              <w14:schemeClr w14:val="tx1"/>
            </w14:solidFill>
          </w14:textFill>
        </w:rPr>
        <w:t>建设</w:t>
      </w:r>
      <w:r>
        <w:rPr>
          <w:rFonts w:eastAsia="方正仿宋_GBK"/>
          <w:bCs/>
          <w:color w:val="000000" w:themeColor="text1"/>
          <w:sz w:val="32"/>
          <w:szCs w:val="32"/>
          <w14:textFill>
            <w14:solidFill>
              <w14:schemeClr w14:val="tx1"/>
            </w14:solidFill>
          </w14:textFill>
        </w:rPr>
        <w:t>新合、拱桥、蜂窝坝等5个集中式污水处理设施，完成5个“小微生特”宜居村庄示范点项目，创建成渝地区双城经济圈美丽巴蜀宜居乡村示范村4个，</w:t>
      </w:r>
      <w:r>
        <w:rPr>
          <w:rFonts w:hint="eastAsia" w:eastAsia="方正仿宋_GBK"/>
          <w:bCs/>
          <w:color w:val="000000" w:themeColor="text1"/>
          <w:sz w:val="32"/>
          <w:szCs w:val="32"/>
          <w14:textFill>
            <w14:solidFill>
              <w14:schemeClr w14:val="tx1"/>
            </w14:solidFill>
          </w14:textFill>
        </w:rPr>
        <w:t>跳磴镇</w:t>
      </w:r>
      <w:r>
        <w:rPr>
          <w:rFonts w:eastAsia="方正仿宋_GBK"/>
          <w:bCs/>
          <w:color w:val="000000" w:themeColor="text1"/>
          <w:sz w:val="32"/>
          <w:szCs w:val="32"/>
          <w14:textFill>
            <w14:solidFill>
              <w14:schemeClr w14:val="tx1"/>
            </w14:solidFill>
          </w14:textFill>
        </w:rPr>
        <w:t>石盘村获评“全国‘一村一品’示范村”，</w:t>
      </w:r>
      <w:r>
        <w:rPr>
          <w:rFonts w:hint="eastAsia" w:eastAsia="方正仿宋_GBK"/>
          <w:bCs/>
          <w:color w:val="000000" w:themeColor="text1"/>
          <w:sz w:val="32"/>
          <w:szCs w:val="32"/>
          <w14:textFill>
            <w14:solidFill>
              <w14:schemeClr w14:val="tx1"/>
            </w14:solidFill>
          </w14:textFill>
        </w:rPr>
        <w:t>建胜镇</w:t>
      </w:r>
      <w:r>
        <w:rPr>
          <w:rFonts w:eastAsia="方正仿宋_GBK"/>
          <w:bCs/>
          <w:color w:val="000000" w:themeColor="text1"/>
          <w:sz w:val="32"/>
          <w:szCs w:val="32"/>
          <w14:textFill>
            <w14:solidFill>
              <w14:schemeClr w14:val="tx1"/>
            </w14:solidFill>
          </w14:textFill>
        </w:rPr>
        <w:t>民胜村获评“国家级乡村治理示范村”。发展现代都市农业，完成高标准农田建设3000亩，新增重庆市农产品加工示范企业1家、累计达5家，</w:t>
      </w:r>
      <w:r>
        <w:rPr>
          <w:rFonts w:hint="eastAsia" w:eastAsia="方正仿宋_GBK"/>
          <w:bCs/>
          <w:color w:val="000000" w:themeColor="text1"/>
          <w:sz w:val="32"/>
          <w:szCs w:val="32"/>
          <w14:textFill>
            <w14:solidFill>
              <w14:schemeClr w14:val="tx1"/>
            </w14:solidFill>
          </w14:textFill>
        </w:rPr>
        <w:t>累计</w:t>
      </w:r>
      <w:r>
        <w:rPr>
          <w:rFonts w:eastAsia="方正仿宋_GBK"/>
          <w:bCs/>
          <w:color w:val="000000" w:themeColor="text1"/>
          <w:sz w:val="32"/>
          <w:szCs w:val="32"/>
          <w14:textFill>
            <w14:solidFill>
              <w14:schemeClr w14:val="tx1"/>
            </w14:solidFill>
          </w14:textFill>
        </w:rPr>
        <w:t>培育规模以上农产品加工企业7家，“金鳌田园”综合体项目策划及招商引资加快推进。完成农村集体产权制度改革，开展农村“三变”改革试点，农村承包地“三权”分置</w:t>
      </w:r>
      <w:r>
        <w:rPr>
          <w:rFonts w:hint="eastAsia" w:eastAsia="方正仿宋_GBK"/>
          <w:bCs/>
          <w:color w:val="000000" w:themeColor="text1"/>
          <w:sz w:val="32"/>
          <w:szCs w:val="32"/>
          <w14:textFill>
            <w14:solidFill>
              <w14:schemeClr w14:val="tx1"/>
            </w14:solidFill>
          </w14:textFill>
        </w:rPr>
        <w:t>有效</w:t>
      </w:r>
      <w:r>
        <w:rPr>
          <w:rFonts w:eastAsia="方正仿宋_GBK"/>
          <w:bCs/>
          <w:color w:val="000000" w:themeColor="text1"/>
          <w:sz w:val="32"/>
          <w:szCs w:val="32"/>
          <w14:textFill>
            <w14:solidFill>
              <w14:schemeClr w14:val="tx1"/>
            </w14:solidFill>
          </w14:textFill>
        </w:rPr>
        <w:t>落实。</w:t>
      </w:r>
    </w:p>
    <w:p>
      <w:pPr>
        <w:spacing w:line="594" w:lineRule="exact"/>
        <w:ind w:firstLine="640" w:firstLineChars="200"/>
        <w:rPr>
          <w:rFonts w:eastAsia="方正仿宋_GBK"/>
          <w:sz w:val="32"/>
          <w:szCs w:val="32"/>
        </w:rPr>
      </w:pPr>
      <w:r>
        <w:rPr>
          <w:rFonts w:eastAsia="方正仿宋_GBK"/>
          <w:bCs/>
          <w:color w:val="000000" w:themeColor="text1"/>
          <w:sz w:val="32"/>
          <w:szCs w:val="32"/>
          <w14:textFill>
            <w14:solidFill>
              <w14:schemeClr w14:val="tx1"/>
            </w14:solidFill>
          </w14:textFill>
        </w:rPr>
        <w:t>4.</w:t>
      </w:r>
      <w:r>
        <w:rPr>
          <w:rFonts w:eastAsia="方正仿宋_GBK"/>
          <w:b/>
          <w:color w:val="000000" w:themeColor="text1"/>
          <w:sz w:val="32"/>
          <w:szCs w:val="32"/>
          <w14:textFill>
            <w14:solidFill>
              <w14:schemeClr w14:val="tx1"/>
            </w14:solidFill>
          </w14:textFill>
        </w:rPr>
        <w:t xml:space="preserve"> </w:t>
      </w:r>
      <w:r>
        <w:rPr>
          <w:rFonts w:hint="eastAsia" w:ascii="方正楷体_GBK" w:eastAsia="方正楷体_GBK"/>
          <w:bCs/>
          <w:color w:val="000000" w:themeColor="text1"/>
          <w:sz w:val="32"/>
          <w:szCs w:val="32"/>
          <w14:textFill>
            <w14:solidFill>
              <w14:schemeClr w14:val="tx1"/>
            </w14:solidFill>
          </w14:textFill>
        </w:rPr>
        <w:t>改革开放纵深推进。区域协同合作走向深入。</w:t>
      </w:r>
      <w:r>
        <w:rPr>
          <w:rFonts w:eastAsia="方正仿宋_GBK"/>
          <w:color w:val="000000" w:themeColor="text1"/>
          <w:sz w:val="32"/>
          <w:szCs w:val="32"/>
          <w14:textFill>
            <w14:solidFill>
              <w14:schemeClr w14:val="tx1"/>
            </w14:solidFill>
          </w14:textFill>
        </w:rPr>
        <w:t>积极融入成渝地区双城经济圈建设，推动产业链创新链协同发展，深化与西南科技大学、四川音乐学院等高校合作，加入西部双创示范基地联盟；推动公共服务共建共享，组建双城古道教育协同发展联盟分联盟8个、吸纳联盟校</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园</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100余所，拓展与四川地区文化、民政、税收、统战等多领域合作。扎实推进“一区两群”协调发展，深化产业协同、城乡互动、科技协作与市场互通，助销忠县文旅产品1333万元，协作引资1.5亿元，提供就业岗位2980个</w:t>
      </w:r>
      <w:r>
        <w:rPr>
          <w:rFonts w:hint="eastAsia" w:eastAsia="方正仿宋_GBK"/>
          <w:color w:val="000000" w:themeColor="text1"/>
          <w:sz w:val="32"/>
          <w:szCs w:val="32"/>
          <w14:textFill>
            <w14:solidFill>
              <w14:schemeClr w14:val="tx1"/>
            </w14:solidFill>
          </w14:textFill>
        </w:rPr>
        <w:t>，两地协同合作更加深入</w:t>
      </w:r>
      <w:r>
        <w:rPr>
          <w:rFonts w:eastAsia="方正仿宋_GBK"/>
          <w:color w:val="000000" w:themeColor="text1"/>
          <w:sz w:val="32"/>
          <w:szCs w:val="32"/>
          <w14:textFill>
            <w14:solidFill>
              <w14:schemeClr w14:val="tx1"/>
            </w14:solidFill>
          </w14:textFill>
        </w:rPr>
        <w:t>。</w:t>
      </w:r>
      <w:r>
        <w:rPr>
          <w:rFonts w:ascii="方正楷体_GBK" w:eastAsia="方正楷体_GBK"/>
          <w:bCs/>
          <w:color w:val="000000" w:themeColor="text1"/>
          <w:sz w:val="32"/>
          <w:szCs w:val="32"/>
          <w14:textFill>
            <w14:solidFill>
              <w14:schemeClr w14:val="tx1"/>
            </w14:solidFill>
          </w14:textFill>
        </w:rPr>
        <w:t>重点领域改革实现突破。</w:t>
      </w:r>
      <w:r>
        <w:rPr>
          <w:rFonts w:eastAsia="方正仿宋_GBK"/>
          <w:sz w:val="32"/>
          <w:szCs w:val="32"/>
        </w:rPr>
        <w:t>深化“放管服”改革，持续优化营商环境，区政务服务中心新址搬迁投用，全面实施“一网通办”“一窗综办”“跨省通办”，行政许可事项办理时限平均缩减84%</w:t>
      </w:r>
      <w:r>
        <w:rPr>
          <w:rFonts w:hint="eastAsia" w:eastAsia="方正仿宋_GBK"/>
          <w:sz w:val="32"/>
          <w:szCs w:val="32"/>
        </w:rPr>
        <w:t>；落实减税降费政策，全年政策性</w:t>
      </w:r>
      <w:r>
        <w:rPr>
          <w:rFonts w:eastAsia="方正仿宋_GBK"/>
          <w:sz w:val="32"/>
          <w:szCs w:val="32"/>
        </w:rPr>
        <w:t>减税</w:t>
      </w:r>
      <w:r>
        <w:rPr>
          <w:rFonts w:hint="eastAsia" w:eastAsia="方正仿宋_GBK"/>
          <w:sz w:val="32"/>
          <w:szCs w:val="32"/>
        </w:rPr>
        <w:t>5.2</w:t>
      </w:r>
      <w:r>
        <w:rPr>
          <w:rFonts w:eastAsia="方正仿宋_GBK"/>
          <w:sz w:val="32"/>
          <w:szCs w:val="32"/>
        </w:rPr>
        <w:t>亿元</w:t>
      </w:r>
      <w:r>
        <w:rPr>
          <w:rFonts w:hint="eastAsia" w:eastAsia="方正仿宋_GBK"/>
          <w:sz w:val="32"/>
          <w:szCs w:val="32"/>
        </w:rPr>
        <w:t>，降低企业社保费用5326万元</w:t>
      </w:r>
      <w:r>
        <w:rPr>
          <w:rFonts w:eastAsia="方正仿宋_GBK"/>
          <w:sz w:val="32"/>
          <w:szCs w:val="32"/>
        </w:rPr>
        <w:t>。加快信用体系建设，</w:t>
      </w:r>
      <w:r>
        <w:rPr>
          <w:rFonts w:eastAsia="方正仿宋_GBK"/>
          <w:color w:val="000000"/>
          <w:sz w:val="32"/>
        </w:rPr>
        <w:t>推进重点领域信用评价，</w:t>
      </w:r>
      <w:r>
        <w:rPr>
          <w:rFonts w:eastAsia="方正仿宋_GBK"/>
          <w:sz w:val="32"/>
          <w:szCs w:val="32"/>
        </w:rPr>
        <w:t>积极构建以信用为基础的新型监管机制</w:t>
      </w:r>
      <w:r>
        <w:rPr>
          <w:rFonts w:eastAsia="方正仿宋_GBK"/>
          <w:color w:val="000000"/>
          <w:sz w:val="32"/>
        </w:rPr>
        <w:t>。</w:t>
      </w:r>
      <w:r>
        <w:rPr>
          <w:rFonts w:eastAsia="方正仿宋_GBK"/>
          <w:sz w:val="32"/>
          <w:szCs w:val="32"/>
        </w:rPr>
        <w:t>服务保障民营经济发展，引导金融机构落实促进生产经营稳定发展若干措施政策，9家民营企业入围重庆民企100强、制造业100强、科技创新指数100强，全区民营经济市场主体新发展增量5471家、增速17.22%。深化区属国资国企改革，</w:t>
      </w:r>
      <w:r>
        <w:rPr>
          <w:rFonts w:hint="eastAsia" w:eastAsia="方正仿宋_GBK"/>
          <w:sz w:val="32"/>
          <w:szCs w:val="32"/>
        </w:rPr>
        <w:t>推进</w:t>
      </w:r>
      <w:r>
        <w:rPr>
          <w:rFonts w:eastAsia="方正仿宋_GBK"/>
          <w:sz w:val="32"/>
          <w:szCs w:val="32"/>
        </w:rPr>
        <w:t>国资国企在线监管平台建设，</w:t>
      </w:r>
      <w:r>
        <w:rPr>
          <w:rFonts w:hint="eastAsia" w:eastAsia="方正仿宋_GBK"/>
          <w:sz w:val="32"/>
          <w:szCs w:val="32"/>
        </w:rPr>
        <w:t>顺利</w:t>
      </w:r>
      <w:r>
        <w:rPr>
          <w:rFonts w:eastAsia="方正仿宋_GBK"/>
          <w:sz w:val="32"/>
          <w:szCs w:val="32"/>
        </w:rPr>
        <w:t>完成存续全民所有制企业公司制改革5户。全区改革成效获国务院及中央部委通报表彰等有关方面肯定8次。</w:t>
      </w:r>
      <w:r>
        <w:rPr>
          <w:rFonts w:hint="eastAsia" w:ascii="方正楷体_GBK" w:eastAsia="方正楷体_GBK"/>
          <w:color w:val="000000" w:themeColor="text1"/>
          <w:sz w:val="32"/>
          <w:szCs w:val="32"/>
          <w14:textFill>
            <w14:solidFill>
              <w14:schemeClr w14:val="tx1"/>
            </w14:solidFill>
          </w14:textFill>
        </w:rPr>
        <w:t>对外开放水平稳步提升。</w:t>
      </w:r>
      <w:r>
        <w:rPr>
          <w:rFonts w:eastAsia="方正仿宋_GBK"/>
          <w:sz w:val="32"/>
          <w:szCs w:val="32"/>
        </w:rPr>
        <w:t>用好全市对外通道体系，强化经贸互联互通，与19个“一带一路”沿线国家建立经贸往来关系。开展外商投资市场主体“三送一访”服务行动，新增外商投资企业7家。落实稳外贸系列政策，深化重点外贸企业“一企一策”帮扶，80家外贸企业实现国际贸易“单一窗口”全覆盖；支持中冶建工承接对外承包工程业务、中元汇吉新冠病毒检测试剂出口，全年实现进出口总额</w:t>
      </w:r>
      <w:r>
        <w:rPr>
          <w:rFonts w:hint="eastAsia" w:eastAsia="方正仿宋_GBK"/>
          <w:sz w:val="32"/>
          <w:szCs w:val="32"/>
        </w:rPr>
        <w:t>超过</w:t>
      </w:r>
      <w:r>
        <w:rPr>
          <w:rFonts w:eastAsia="方正仿宋_GBK"/>
          <w:sz w:val="32"/>
          <w:szCs w:val="32"/>
        </w:rPr>
        <w:t>32亿元、增长45%</w:t>
      </w:r>
      <w:r>
        <w:rPr>
          <w:rFonts w:hint="eastAsia" w:eastAsia="方正仿宋_GBK"/>
          <w:sz w:val="32"/>
          <w:szCs w:val="32"/>
        </w:rPr>
        <w:t>以上</w:t>
      </w:r>
      <w:r>
        <w:rPr>
          <w:rFonts w:eastAsia="方正仿宋_GBK"/>
          <w:sz w:val="32"/>
          <w:szCs w:val="32"/>
        </w:rPr>
        <w:t>。聚焦重点产业精准招商，加强招商项目全流程跟踪服务，全年签约招商引资项目</w:t>
      </w:r>
      <w:r>
        <w:rPr>
          <w:rFonts w:hint="eastAsia" w:eastAsia="方正仿宋_GBK"/>
          <w:sz w:val="32"/>
          <w:szCs w:val="32"/>
        </w:rPr>
        <w:t>88</w:t>
      </w:r>
      <w:r>
        <w:rPr>
          <w:rFonts w:eastAsia="方正仿宋_GBK"/>
          <w:sz w:val="32"/>
          <w:szCs w:val="32"/>
        </w:rPr>
        <w:t>个、协议引资300亿元、到位资金60亿元以上</w:t>
      </w:r>
      <w:r>
        <w:rPr>
          <w:rFonts w:hint="eastAsia" w:eastAsia="方正仿宋_GBK"/>
          <w:sz w:val="32"/>
          <w:szCs w:val="32"/>
        </w:rPr>
        <w:t>，招商引资取得新进步</w:t>
      </w:r>
      <w:r>
        <w:rPr>
          <w:rFonts w:eastAsia="方正仿宋_GBK"/>
          <w:sz w:val="32"/>
          <w:szCs w:val="32"/>
        </w:rPr>
        <w:t>。</w:t>
      </w:r>
    </w:p>
    <w:p>
      <w:pPr>
        <w:spacing w:line="594" w:lineRule="exact"/>
        <w:ind w:firstLine="640" w:firstLineChars="200"/>
        <w:rPr>
          <w:rFonts w:eastAsia="方正仿宋_GBK"/>
          <w:color w:val="000000"/>
          <w:sz w:val="32"/>
          <w:szCs w:val="32"/>
        </w:rPr>
      </w:pPr>
      <w:r>
        <w:rPr>
          <w:rFonts w:eastAsia="方正仿宋_GBK"/>
          <w:color w:val="000000" w:themeColor="text1"/>
          <w:sz w:val="32"/>
          <w:szCs w:val="32"/>
          <w14:textFill>
            <w14:solidFill>
              <w14:schemeClr w14:val="tx1"/>
            </w14:solidFill>
          </w14:textFill>
        </w:rPr>
        <w:t>5.</w:t>
      </w:r>
      <w:r>
        <w:rPr>
          <w:rFonts w:eastAsia="方正仿宋_GBK"/>
          <w:b/>
          <w:bCs/>
          <w:color w:val="000000" w:themeColor="text1"/>
          <w:sz w:val="32"/>
          <w:szCs w:val="32"/>
          <w14:textFill>
            <w14:solidFill>
              <w14:schemeClr w14:val="tx1"/>
            </w14:solidFill>
          </w14:textFill>
        </w:rPr>
        <w:t xml:space="preserve"> </w:t>
      </w:r>
      <w:r>
        <w:rPr>
          <w:rFonts w:hint="eastAsia" w:ascii="方正楷体_GBK" w:eastAsia="方正楷体_GBK"/>
          <w:color w:val="000000" w:themeColor="text1"/>
          <w:sz w:val="32"/>
          <w:szCs w:val="32"/>
          <w14:textFill>
            <w14:solidFill>
              <w14:schemeClr w14:val="tx1"/>
            </w14:solidFill>
          </w14:textFill>
        </w:rPr>
        <w:t>生态建设持续加强。生态保护修复成效明显。</w:t>
      </w:r>
      <w:r>
        <w:rPr>
          <w:rFonts w:eastAsia="方正仿宋_GBK"/>
          <w:color w:val="000000"/>
          <w:sz w:val="32"/>
          <w:szCs w:val="32"/>
        </w:rPr>
        <w:t>扎实推进分区规划编制，深化细化“三条控制线”，</w:t>
      </w:r>
      <w:r>
        <w:rPr>
          <w:rFonts w:eastAsia="方正仿宋_GBK"/>
          <w:sz w:val="32"/>
          <w:szCs w:val="32"/>
        </w:rPr>
        <w:t>完成市级下达我区永久基本农田</w:t>
      </w:r>
      <w:r>
        <w:rPr>
          <w:rFonts w:hint="eastAsia" w:eastAsia="方正仿宋_GBK"/>
          <w:sz w:val="32"/>
          <w:szCs w:val="32"/>
        </w:rPr>
        <w:t>保护任务</w:t>
      </w:r>
      <w:r>
        <w:rPr>
          <w:rFonts w:eastAsia="方正仿宋_GBK"/>
          <w:color w:val="000000"/>
          <w:sz w:val="32"/>
          <w:szCs w:val="32"/>
        </w:rPr>
        <w:t>。统筹山水林田湖草生态保护修复，实施生态保护修复工程试点项目18个、完成17个。持续开展“绿盾”自然保护地强化监督工作，巩固林长制试点成果，</w:t>
      </w:r>
      <w:r>
        <w:rPr>
          <w:rFonts w:hint="eastAsia" w:eastAsia="方正仿宋_GBK"/>
          <w:color w:val="000000"/>
          <w:sz w:val="32"/>
          <w:szCs w:val="32"/>
        </w:rPr>
        <w:t>完成</w:t>
      </w:r>
      <w:r>
        <w:rPr>
          <w:rFonts w:eastAsia="方正仿宋_GBK"/>
          <w:color w:val="000000"/>
          <w:sz w:val="32"/>
          <w:szCs w:val="32"/>
        </w:rPr>
        <w:t>历史遗留和关闭矿山生态修复383.1</w:t>
      </w:r>
      <w:r>
        <w:rPr>
          <w:rFonts w:hint="eastAsia" w:eastAsia="方正仿宋_GBK"/>
          <w:color w:val="000000"/>
          <w:sz w:val="32"/>
          <w:szCs w:val="32"/>
        </w:rPr>
        <w:t>亩</w:t>
      </w:r>
      <w:r>
        <w:rPr>
          <w:rFonts w:eastAsia="方正仿宋_GBK"/>
          <w:color w:val="000000"/>
          <w:sz w:val="32"/>
          <w:szCs w:val="32"/>
        </w:rPr>
        <w:t>。加强长江岸线资源修复保护，</w:t>
      </w:r>
      <w:r>
        <w:rPr>
          <w:rFonts w:hint="eastAsia" w:eastAsia="方正仿宋_GBK"/>
          <w:sz w:val="32"/>
          <w:szCs w:val="32"/>
        </w:rPr>
        <w:t>“</w:t>
      </w:r>
      <w:r>
        <w:rPr>
          <w:rFonts w:eastAsia="方正仿宋_GBK"/>
          <w:bCs/>
          <w:sz w:val="32"/>
          <w:szCs w:val="32"/>
        </w:rPr>
        <w:t>两江四岸</w:t>
      </w:r>
      <w:r>
        <w:rPr>
          <w:rFonts w:hint="eastAsia" w:eastAsia="方正仿宋_GBK"/>
          <w:sz w:val="32"/>
          <w:szCs w:val="32"/>
        </w:rPr>
        <w:t>”</w:t>
      </w:r>
      <w:r>
        <w:rPr>
          <w:rFonts w:eastAsia="方正仿宋_GBK"/>
          <w:bCs/>
          <w:sz w:val="32"/>
          <w:szCs w:val="32"/>
        </w:rPr>
        <w:t>治理提升</w:t>
      </w:r>
      <w:r>
        <w:rPr>
          <w:rFonts w:hint="eastAsia" w:eastAsia="方正仿宋_GBK"/>
          <w:bCs/>
          <w:sz w:val="32"/>
          <w:szCs w:val="32"/>
        </w:rPr>
        <w:t>葛老溪段开工建设</w:t>
      </w:r>
      <w:r>
        <w:rPr>
          <w:rFonts w:eastAsia="方正仿宋_GBK"/>
          <w:bCs/>
          <w:sz w:val="32"/>
          <w:szCs w:val="32"/>
        </w:rPr>
        <w:t>，</w:t>
      </w:r>
      <w:r>
        <w:rPr>
          <w:rFonts w:eastAsia="方正仿宋_GBK"/>
          <w:color w:val="000000"/>
          <w:sz w:val="32"/>
          <w:szCs w:val="32"/>
        </w:rPr>
        <w:t>长江上游珍稀特有鱼类国家级自然保护区大渡口段保护工作</w:t>
      </w:r>
      <w:r>
        <w:rPr>
          <w:rFonts w:hint="eastAsia" w:eastAsia="方正仿宋_GBK"/>
          <w:color w:val="000000"/>
          <w:sz w:val="32"/>
          <w:szCs w:val="32"/>
        </w:rPr>
        <w:t>扎实推进</w:t>
      </w:r>
      <w:r>
        <w:rPr>
          <w:rFonts w:eastAsia="方正仿宋_GBK"/>
          <w:color w:val="000000"/>
          <w:sz w:val="32"/>
          <w:szCs w:val="32"/>
        </w:rPr>
        <w:t>。解决突出环境问题，中央生态环保督察第一轮反馈问题全部完成整改，第二轮反馈问题完成年度整改任务。</w:t>
      </w:r>
      <w:r>
        <w:rPr>
          <w:rFonts w:ascii="方正楷体_GBK" w:eastAsia="方正楷体_GBK"/>
          <w:color w:val="000000" w:themeColor="text1"/>
          <w:sz w:val="32"/>
          <w:szCs w:val="32"/>
          <w14:textFill>
            <w14:solidFill>
              <w14:schemeClr w14:val="tx1"/>
            </w14:solidFill>
          </w14:textFill>
        </w:rPr>
        <w:t>污染防治攻坚接续发力。</w:t>
      </w:r>
      <w:r>
        <w:rPr>
          <w:rFonts w:eastAsia="方正仿宋_GBK"/>
          <w:color w:val="000000"/>
          <w:sz w:val="32"/>
          <w:szCs w:val="32"/>
        </w:rPr>
        <w:t>持续深化河长制，跳磴河“清水绿岸”治理工程一期竣工，完成79个长江入江排口采样溯源，长江干流大渡口段水质达Ⅱ类标准，丰收坝饮用水源地水质达标率100%。推进大气污染综合治理，完成40个扬尘控制示范工地、道路巩固建设，未出现重污染天气。完成</w:t>
      </w:r>
      <w:r>
        <w:rPr>
          <w:rFonts w:hint="eastAsia" w:eastAsia="方正仿宋_GBK"/>
          <w:color w:val="000000"/>
          <w:sz w:val="32"/>
          <w:szCs w:val="32"/>
        </w:rPr>
        <w:t>污染</w:t>
      </w:r>
      <w:r>
        <w:rPr>
          <w:rFonts w:eastAsia="方正仿宋_GBK"/>
          <w:color w:val="000000"/>
          <w:sz w:val="32"/>
          <w:szCs w:val="32"/>
        </w:rPr>
        <w:t>土壤治理修复156亩，受污染耕地安全利用率达95%以上，污染地块安全利用率达100%。加强噪声污染防治，噪声达标区覆盖率达100%。</w:t>
      </w:r>
      <w:r>
        <w:rPr>
          <w:rFonts w:ascii="方正楷体_GBK" w:eastAsia="方正楷体_GBK"/>
          <w:color w:val="000000" w:themeColor="text1"/>
          <w:sz w:val="32"/>
          <w:szCs w:val="32"/>
          <w14:textFill>
            <w14:solidFill>
              <w14:schemeClr w14:val="tx1"/>
            </w14:solidFill>
          </w14:textFill>
        </w:rPr>
        <w:t>绿色低碳发展加快推进。</w:t>
      </w:r>
      <w:r>
        <w:rPr>
          <w:rFonts w:eastAsia="方正仿宋_GBK"/>
          <w:sz w:val="32"/>
          <w:szCs w:val="32"/>
        </w:rPr>
        <w:t>扎实推进碳达峰、碳中和行动，编制区温室气体排放清单和二氧化碳排放达峰行动方案，将碳排放管理纳入环境影响评价，完善排污与碳排放信息披露制度。推动绿色制造，支持国际复合创建国家级“绿色工厂”、三峰卡万塔创建市级“绿色工厂”、建桥园区创建市级“绿色园区”。开展“无废城市”建设试点，创建10个市级、63个区级“无废城市细胞”，推进生活垃圾分类，小区楼层撤桶率达100%。</w:t>
      </w:r>
    </w:p>
    <w:p>
      <w:pPr>
        <w:pStyle w:val="5"/>
        <w:spacing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Cs/>
          <w:color w:val="000000" w:themeColor="text1"/>
          <w:sz w:val="32"/>
          <w:szCs w:val="32"/>
          <w14:textFill>
            <w14:solidFill>
              <w14:schemeClr w14:val="tx1"/>
            </w14:solidFill>
          </w14:textFill>
        </w:rPr>
        <w:t>6.</w:t>
      </w:r>
      <w:r>
        <w:rPr>
          <w:rFonts w:ascii="Times New Roman" w:hAnsi="Times New Roman"/>
          <w:bCs/>
          <w:i/>
          <w:iCs/>
          <w:color w:val="F73131"/>
          <w:sz w:val="20"/>
          <w:szCs w:val="20"/>
          <w:shd w:val="clear" w:color="auto" w:fill="FFFFFF"/>
        </w:rPr>
        <w:t xml:space="preserve"> </w:t>
      </w:r>
      <w:r>
        <w:rPr>
          <w:rFonts w:hint="eastAsia" w:ascii="方正楷体_GBK" w:hAnsi="Times New Roman" w:eastAsia="方正楷体_GBK"/>
          <w:bCs/>
          <w:color w:val="000000" w:themeColor="text1"/>
          <w:sz w:val="32"/>
          <w:szCs w:val="32"/>
          <w14:textFill>
            <w14:solidFill>
              <w14:schemeClr w14:val="tx1"/>
            </w14:solidFill>
          </w14:textFill>
        </w:rPr>
        <w:t>民生事业全面进步。</w:t>
      </w:r>
      <w:r>
        <w:rPr>
          <w:rFonts w:hint="eastAsia" w:ascii="方正楷体_GBK" w:hAnsi="Times New Roman" w:eastAsia="方正楷体_GBK"/>
          <w:bCs/>
          <w:sz w:val="32"/>
          <w:szCs w:val="32"/>
        </w:rPr>
        <w:t>社会保障坚实有力。</w:t>
      </w:r>
      <w:r>
        <w:rPr>
          <w:rFonts w:ascii="Times New Roman" w:hAnsi="Times New Roman" w:eastAsia="方正仿宋_GBK"/>
          <w:color w:val="000000" w:themeColor="text1"/>
          <w:sz w:val="32"/>
          <w:szCs w:val="32"/>
          <w:shd w:val="clear" w:color="auto" w:fill="FFFFFF"/>
          <w14:textFill>
            <w14:solidFill>
              <w14:schemeClr w14:val="tx1"/>
            </w14:solidFill>
          </w14:textFill>
        </w:rPr>
        <w:t>全力实施稳就业举措，</w:t>
      </w:r>
      <w:r>
        <w:rPr>
          <w:rFonts w:ascii="Times New Roman" w:hAnsi="Times New Roman" w:eastAsia="方正仿宋_GBK"/>
          <w:sz w:val="32"/>
          <w:szCs w:val="32"/>
        </w:rPr>
        <w:t>新培育就业见习基地70家，开展职业技能提升行动6664人次，举办线上线下招聘会17场，新增城镇就业13054人，</w:t>
      </w:r>
      <w:r>
        <w:rPr>
          <w:rFonts w:ascii="Times New Roman" w:hAnsi="Times New Roman" w:eastAsia="方正仿宋_GBK"/>
          <w:kern w:val="0"/>
          <w:sz w:val="32"/>
          <w:szCs w:val="32"/>
        </w:rPr>
        <w:t>实现</w:t>
      </w:r>
      <w:r>
        <w:rPr>
          <w:rFonts w:ascii="Times New Roman" w:hAnsi="Times New Roman" w:eastAsia="方正仿宋_GBK"/>
          <w:sz w:val="32"/>
          <w:szCs w:val="32"/>
        </w:rPr>
        <w:t>零就业家庭动态清零；全面落实就业扶持政策，发放一次性留工补贴、企业社保补贴、低保对象就业补贴等各类就业补贴1944万元，发放失业保险金13990人次、2004.8万元。推进社会保险扩面征缴，开展全民参保计划扩面专项行动，城乡居民基本养老保险、医疗保险参保率均保持在95%以上。全面提升养老服务质量，区敬老院升级改造完成，新建镇养老服务中心2个、农村养老服务站5个，实现社区养老服务站社会化运营率100%。全面落实优抚安置政策，退役军人服务保障</w:t>
      </w:r>
      <w:r>
        <w:rPr>
          <w:rFonts w:hint="eastAsia" w:ascii="Times New Roman" w:hAnsi="Times New Roman" w:eastAsia="方正仿宋_GBK"/>
          <w:sz w:val="32"/>
          <w:szCs w:val="32"/>
        </w:rPr>
        <w:t>不断</w:t>
      </w:r>
      <w:r>
        <w:rPr>
          <w:rFonts w:ascii="Times New Roman" w:hAnsi="Times New Roman" w:eastAsia="方正仿宋_GBK"/>
          <w:sz w:val="32"/>
          <w:szCs w:val="32"/>
        </w:rPr>
        <w:t>强化。</w:t>
      </w:r>
      <w:r>
        <w:rPr>
          <w:rFonts w:ascii="Times New Roman" w:hAnsi="Times New Roman" w:eastAsia="方正仿宋_GBK"/>
          <w:color w:val="000000" w:themeColor="text1"/>
          <w:sz w:val="32"/>
          <w:szCs w:val="32"/>
          <w14:textFill>
            <w14:solidFill>
              <w14:schemeClr w14:val="tx1"/>
            </w14:solidFill>
          </w14:textFill>
        </w:rPr>
        <w:t>加强妇女儿童关爱工作，</w:t>
      </w:r>
      <w:r>
        <w:rPr>
          <w:rFonts w:ascii="Times New Roman" w:hAnsi="Times New Roman" w:eastAsia="方正仿宋_GBK"/>
          <w:sz w:val="32"/>
          <w:szCs w:val="32"/>
        </w:rPr>
        <w:t>成立区未成年人救助保护中心</w:t>
      </w:r>
      <w:r>
        <w:rPr>
          <w:rFonts w:ascii="Times New Roman" w:hAnsi="Times New Roman" w:eastAsia="方正仿宋_GBK"/>
          <w:color w:val="000000" w:themeColor="text1"/>
          <w:sz w:val="32"/>
          <w:szCs w:val="32"/>
          <w14:textFill>
            <w14:solidFill>
              <w14:schemeClr w14:val="tx1"/>
            </w14:solidFill>
          </w14:textFill>
        </w:rPr>
        <w:t>。发展残疾人福利事业，建成基层标准化残疾人康复室12个</w:t>
      </w:r>
      <w:r>
        <w:rPr>
          <w:rFonts w:ascii="Times New Roman" w:hAnsi="Times New Roman" w:eastAsia="方正仿宋_GBK"/>
          <w:sz w:val="32"/>
          <w:szCs w:val="32"/>
        </w:rPr>
        <w:t>。</w:t>
      </w:r>
      <w:r>
        <w:rPr>
          <w:rFonts w:hint="eastAsia" w:ascii="Times New Roman" w:hAnsi="Times New Roman" w:eastAsia="方正仿宋_GBK"/>
          <w:sz w:val="32"/>
          <w:szCs w:val="32"/>
        </w:rPr>
        <w:t>扎实办好民生实事，</w:t>
      </w:r>
      <w:r>
        <w:rPr>
          <w:rFonts w:ascii="Times New Roman" w:hAnsi="Times New Roman" w:eastAsia="方正仿宋_GBK"/>
          <w:sz w:val="32"/>
          <w:szCs w:val="32"/>
        </w:rPr>
        <w:t>15件37项区级重点民生实事和61件街镇微型民生实事</w:t>
      </w:r>
      <w:r>
        <w:rPr>
          <w:rFonts w:hint="eastAsia" w:ascii="Times New Roman" w:hAnsi="Times New Roman" w:eastAsia="方正仿宋_GBK"/>
          <w:sz w:val="32"/>
          <w:szCs w:val="32"/>
        </w:rPr>
        <w:t>全部</w:t>
      </w:r>
      <w:r>
        <w:rPr>
          <w:rFonts w:ascii="Times New Roman" w:hAnsi="Times New Roman" w:eastAsia="方正仿宋_GBK"/>
          <w:sz w:val="32"/>
          <w:szCs w:val="32"/>
        </w:rPr>
        <w:t>完成。</w:t>
      </w:r>
      <w:r>
        <w:rPr>
          <w:rFonts w:ascii="方正楷体_GBK" w:hAnsi="Times New Roman" w:eastAsia="方正楷体_GBK"/>
          <w:bCs/>
          <w:color w:val="000000" w:themeColor="text1"/>
          <w:sz w:val="32"/>
          <w:szCs w:val="32"/>
          <w14:textFill>
            <w14:solidFill>
              <w14:schemeClr w14:val="tx1"/>
            </w14:solidFill>
          </w14:textFill>
        </w:rPr>
        <w:t>公共服务加快提升。</w:t>
      </w:r>
      <w:r>
        <w:rPr>
          <w:rFonts w:ascii="Times New Roman" w:hAnsi="Times New Roman" w:eastAsia="方正仿宋_GBK"/>
          <w:sz w:val="32"/>
          <w:szCs w:val="32"/>
        </w:rPr>
        <w:t>切实办好人民满意教育，全市率先完成小区配套幼儿园治理，组建五大幼教集团，新建公办园7所、新增公办学位2100个。跳磴慧泉小学、民族中学改扩建项目（一期）、商务学校B区改造项目完工，新开工建设学校4所</w:t>
      </w:r>
      <w:r>
        <w:rPr>
          <w:rFonts w:hint="eastAsia" w:ascii="Times New Roman" w:hAnsi="Times New Roman" w:eastAsia="方正仿宋_GBK"/>
          <w:sz w:val="32"/>
          <w:szCs w:val="32"/>
        </w:rPr>
        <w:t>。</w:t>
      </w:r>
      <w:r>
        <w:rPr>
          <w:rFonts w:ascii="Times New Roman" w:hAnsi="Times New Roman" w:eastAsia="方正仿宋_GBK"/>
          <w:sz w:val="32"/>
          <w:szCs w:val="32"/>
        </w:rPr>
        <w:t>“双减”工作稳步推进，校外培训机构</w:t>
      </w:r>
      <w:r>
        <w:rPr>
          <w:rFonts w:hint="eastAsia" w:ascii="Times New Roman" w:hAnsi="Times New Roman" w:eastAsia="方正仿宋_GBK"/>
          <w:sz w:val="32"/>
          <w:szCs w:val="32"/>
        </w:rPr>
        <w:t>得到有效整顿</w:t>
      </w:r>
      <w:r>
        <w:rPr>
          <w:rFonts w:ascii="Times New Roman" w:hAnsi="Times New Roman" w:eastAsia="方正仿宋_GBK"/>
          <w:sz w:val="32"/>
          <w:szCs w:val="32"/>
        </w:rPr>
        <w:t>。卫生健康服务体系不断完善，</w:t>
      </w:r>
      <w:r>
        <w:rPr>
          <w:rFonts w:hint="eastAsia" w:ascii="Times New Roman" w:hAnsi="Times New Roman" w:eastAsia="方正仿宋_GBK"/>
          <w:sz w:val="32"/>
          <w:szCs w:val="32"/>
        </w:rPr>
        <w:t>市残疾人康复中心一期竣工，联合市残联、重庆医科大学共建</w:t>
      </w:r>
      <w:r>
        <w:rPr>
          <w:rFonts w:ascii="Times New Roman" w:hAnsi="Times New Roman" w:eastAsia="方正仿宋_GBK"/>
          <w:sz w:val="32"/>
          <w:szCs w:val="32"/>
        </w:rPr>
        <w:t>重医</w:t>
      </w:r>
      <w:r>
        <w:rPr>
          <w:rFonts w:hint="eastAsia" w:ascii="Times New Roman" w:hAnsi="Times New Roman" w:eastAsia="方正仿宋_GBK"/>
          <w:sz w:val="32"/>
          <w:szCs w:val="32"/>
        </w:rPr>
        <w:t>大</w:t>
      </w:r>
      <w:r>
        <w:rPr>
          <w:rFonts w:ascii="Times New Roman" w:hAnsi="Times New Roman" w:eastAsia="方正仿宋_GBK"/>
          <w:sz w:val="32"/>
          <w:szCs w:val="32"/>
        </w:rPr>
        <w:t>附属康复医院</w:t>
      </w:r>
      <w:r>
        <w:rPr>
          <w:rFonts w:hint="eastAsia" w:ascii="Times New Roman" w:hAnsi="Times New Roman" w:eastAsia="方正仿宋_GBK"/>
          <w:sz w:val="32"/>
          <w:szCs w:val="32"/>
        </w:rPr>
        <w:t>，</w:t>
      </w:r>
      <w:r>
        <w:rPr>
          <w:rFonts w:ascii="Times New Roman" w:hAnsi="Times New Roman" w:eastAsia="方正仿宋_GBK"/>
          <w:sz w:val="32"/>
          <w:szCs w:val="32"/>
        </w:rPr>
        <w:t>区中医院</w:t>
      </w:r>
      <w:r>
        <w:rPr>
          <w:rFonts w:hint="eastAsia" w:ascii="Times New Roman" w:hAnsi="Times New Roman" w:eastAsia="方正仿宋_GBK"/>
          <w:sz w:val="32"/>
          <w:szCs w:val="32"/>
        </w:rPr>
        <w:t>新建工程开工建设</w:t>
      </w:r>
      <w:r>
        <w:rPr>
          <w:rFonts w:ascii="Times New Roman" w:hAnsi="Times New Roman" w:eastAsia="方正仿宋_GBK"/>
          <w:sz w:val="32"/>
          <w:szCs w:val="32"/>
        </w:rPr>
        <w:t>，区疾控中心新建工程前期工作有序推进。抓好常态化疫情防控，及时开展流调溯源工作，超额完成新冠疫苗接种任务，中元汇吉获评全国科技系统抗击新冠肺炎疫情先进集体。文化体育事业加快发展，新建文图分馆3个，牵头成立中国文化馆协会基层馆（站）建设委员会，区博物馆入选第五批重庆市人文社会科学普及基地，入选重庆市</w:t>
      </w:r>
      <w:r>
        <w:rPr>
          <w:rFonts w:ascii="Times New Roman" w:hAnsi="Times New Roman" w:eastAsia="方正仿宋_GBK"/>
          <w:kern w:val="0"/>
          <w:sz w:val="32"/>
          <w:szCs w:val="24"/>
        </w:rPr>
        <w:t>革命文物5处，</w:t>
      </w:r>
      <w:r>
        <w:rPr>
          <w:rFonts w:ascii="Times New Roman" w:hAnsi="Times New Roman" w:eastAsia="方正仿宋_GBK"/>
          <w:kern w:val="0"/>
          <w:sz w:val="32"/>
          <w:szCs w:val="32"/>
        </w:rPr>
        <w:t>完成全区首个文物建筑迁移异地保护工程</w:t>
      </w:r>
      <w:r>
        <w:rPr>
          <w:rFonts w:hint="eastAsia" w:ascii="Times New Roman" w:hAnsi="Times New Roman" w:eastAsia="方正仿宋_GBK"/>
          <w:kern w:val="0"/>
          <w:sz w:val="32"/>
          <w:szCs w:val="32"/>
        </w:rPr>
        <w:t>；</w:t>
      </w:r>
      <w:r>
        <w:rPr>
          <w:rFonts w:ascii="Times New Roman" w:hAnsi="Times New Roman" w:eastAsia="方正仿宋_GBK"/>
          <w:sz w:val="32"/>
          <w:szCs w:val="32"/>
        </w:rPr>
        <w:t>开展庆祝中国共产党成立100周年主题系列活动，</w:t>
      </w:r>
      <w:r>
        <w:rPr>
          <w:rFonts w:hint="eastAsia" w:ascii="Times New Roman" w:hAnsi="Times New Roman" w:eastAsia="方正仿宋_GBK"/>
          <w:sz w:val="32"/>
          <w:szCs w:val="32"/>
        </w:rPr>
        <w:t>举办</w:t>
      </w:r>
      <w:r>
        <w:rPr>
          <w:rFonts w:ascii="Times New Roman" w:hAnsi="Times New Roman" w:eastAsia="方正仿宋_GBK"/>
          <w:sz w:val="32"/>
          <w:szCs w:val="32"/>
        </w:rPr>
        <w:t>首届大渡口音乐季系列活动；</w:t>
      </w:r>
      <w:r>
        <w:rPr>
          <w:rFonts w:ascii="Times New Roman" w:hAnsi="Times New Roman" w:eastAsia="方正仿宋_GBK"/>
          <w:kern w:val="0"/>
          <w:sz w:val="32"/>
          <w:szCs w:val="32"/>
        </w:rPr>
        <w:t>举办市级体育赛事2场、区级赛事10场，</w:t>
      </w:r>
      <w:r>
        <w:rPr>
          <w:rFonts w:ascii="Times New Roman" w:hAnsi="Times New Roman" w:eastAsia="方正仿宋_GBK"/>
          <w:color w:val="000000"/>
          <w:sz w:val="32"/>
          <w:szCs w:val="32"/>
        </w:rPr>
        <w:t>在重庆市第六届运动会上斩获金牌33枚</w:t>
      </w:r>
      <w:r>
        <w:rPr>
          <w:rFonts w:ascii="Times New Roman" w:hAnsi="Times New Roman" w:eastAsia="方正仿宋_GBK"/>
          <w:kern w:val="0"/>
          <w:sz w:val="32"/>
          <w:szCs w:val="32"/>
        </w:rPr>
        <w:t>。</w:t>
      </w:r>
      <w:r>
        <w:rPr>
          <w:rFonts w:ascii="方正楷体_GBK" w:hAnsi="Times New Roman" w:eastAsia="方正楷体_GBK"/>
          <w:bCs/>
          <w:color w:val="000000" w:themeColor="text1"/>
          <w:sz w:val="32"/>
          <w:szCs w:val="32"/>
          <w14:textFill>
            <w14:solidFill>
              <w14:schemeClr w14:val="tx1"/>
            </w14:solidFill>
          </w14:textFill>
        </w:rPr>
        <w:t>社会环境和谐稳定。</w:t>
      </w:r>
      <w:r>
        <w:rPr>
          <w:rFonts w:ascii="Times New Roman" w:hAnsi="Times New Roman" w:eastAsia="方正仿宋_GBK"/>
          <w:sz w:val="32"/>
          <w:szCs w:val="32"/>
        </w:rPr>
        <w:t>加强和创新基层社会治理，第十一届村（居）委会换届选举圆满完成，区综治中心建成投用，完成区群众来访接待中心规范化建设，公共法律服务平台实现三级全覆盖。全力维护治安稳定，常态化开展扫黑除恶专项斗争，持续推进全民反诈专项行动，严厉打击各类突出违法犯罪。严守食品药品安全底线，落实粮食安全首长责任制，保障农副产品等民生商品价格基本稳定。强化公共安全监管，做好安全生产、防灾减灾工作，全年未发生较大及以上生产安全事故和自然灾害事件，人民群众安全感持续提升。</w:t>
      </w:r>
    </w:p>
    <w:p>
      <w:pPr>
        <w:spacing w:line="594" w:lineRule="exact"/>
        <w:ind w:firstLine="643" w:firstLineChars="200"/>
        <w:rPr>
          <w:rFonts w:eastAsia="方正楷体_GBK"/>
          <w:b/>
          <w:bCs/>
          <w:color w:val="000000" w:themeColor="text1"/>
          <w:sz w:val="32"/>
          <w:szCs w:val="32"/>
          <w14:textFill>
            <w14:solidFill>
              <w14:schemeClr w14:val="tx1"/>
            </w14:solidFill>
          </w14:textFill>
        </w:rPr>
      </w:pPr>
      <w:r>
        <w:rPr>
          <w:rFonts w:eastAsia="方正楷体_GBK"/>
          <w:b/>
          <w:bCs/>
          <w:color w:val="000000" w:themeColor="text1"/>
          <w:sz w:val="32"/>
          <w:szCs w:val="32"/>
          <w14:textFill>
            <w14:solidFill>
              <w14:schemeClr w14:val="tx1"/>
            </w14:solidFill>
          </w14:textFill>
        </w:rPr>
        <w:t>（四）发展中存在的困难问题</w:t>
      </w:r>
    </w:p>
    <w:p>
      <w:pPr>
        <w:pStyle w:val="2"/>
        <w:spacing w:after="0" w:line="594" w:lineRule="exact"/>
        <w:ind w:firstLine="640" w:firstLineChars="200"/>
        <w:rPr>
          <w:rFonts w:eastAsia="方正仿宋_GBK"/>
          <w:sz w:val="32"/>
          <w:szCs w:val="32"/>
        </w:rPr>
      </w:pPr>
      <w:r>
        <w:rPr>
          <w:rFonts w:eastAsia="方正仿宋_GBK"/>
          <w:color w:val="000000"/>
          <w:sz w:val="32"/>
          <w:szCs w:val="32"/>
        </w:rPr>
        <w:t>2021年，在复杂严峻的宏观形势下，全区经</w:t>
      </w:r>
      <w:bookmarkStart w:id="11" w:name="_GoBack"/>
      <w:bookmarkEnd w:id="11"/>
      <w:r>
        <w:rPr>
          <w:rFonts w:eastAsia="方正仿宋_GBK"/>
          <w:color w:val="000000"/>
          <w:sz w:val="32"/>
          <w:szCs w:val="32"/>
        </w:rPr>
        <w:t>济和社会发展稳中有进，高质量发展态势良好，同时一些矛盾和困难依然存在：</w:t>
      </w:r>
      <w:r>
        <w:rPr>
          <w:rFonts w:hint="eastAsia" w:ascii="方正楷体_GBK" w:eastAsia="方正楷体_GBK"/>
          <w:bCs/>
          <w:color w:val="000000"/>
          <w:sz w:val="32"/>
          <w:szCs w:val="32"/>
        </w:rPr>
        <w:t>一是产业发展不够平衡。</w:t>
      </w:r>
      <w:r>
        <w:rPr>
          <w:rFonts w:hint="eastAsia" w:eastAsia="方正仿宋_GBK"/>
          <w:color w:val="000000"/>
          <w:sz w:val="32"/>
          <w:szCs w:val="32"/>
        </w:rPr>
        <w:t>现代服务业发展相对滞后，规模以上服务业企业数量少、规模偏小，新业态培育不足，成为经济结构中的主要短板。</w:t>
      </w:r>
      <w:r>
        <w:rPr>
          <w:rFonts w:hint="eastAsia" w:ascii="方正楷体_GBK" w:eastAsia="方正楷体_GBK"/>
          <w:bCs/>
          <w:color w:val="000000"/>
          <w:sz w:val="32"/>
          <w:szCs w:val="32"/>
        </w:rPr>
        <w:t>二</w:t>
      </w:r>
      <w:r>
        <w:rPr>
          <w:rFonts w:ascii="方正楷体_GBK" w:eastAsia="方正楷体_GBK"/>
          <w:bCs/>
          <w:color w:val="000000"/>
          <w:sz w:val="32"/>
          <w:szCs w:val="32"/>
        </w:rPr>
        <w:t>是城市功能品质有待提升</w:t>
      </w:r>
      <w:r>
        <w:rPr>
          <w:rFonts w:hint="eastAsia" w:ascii="方正楷体_GBK" w:eastAsia="方正楷体_GBK"/>
          <w:bCs/>
          <w:color w:val="000000"/>
          <w:sz w:val="32"/>
          <w:szCs w:val="32"/>
        </w:rPr>
        <w:t>。</w:t>
      </w:r>
      <w:r>
        <w:rPr>
          <w:rFonts w:hint="eastAsia" w:eastAsia="方正仿宋_GBK"/>
          <w:color w:val="000000"/>
          <w:sz w:val="32"/>
          <w:szCs w:val="32"/>
        </w:rPr>
        <w:t>城市规划、建设、管</w:t>
      </w:r>
      <w:r>
        <w:rPr>
          <w:rFonts w:hint="eastAsia" w:ascii="方正仿宋_GBK" w:hAnsi="方正仿宋_GBK" w:eastAsia="方正仿宋_GBK" w:cs="方正仿宋_GBK"/>
          <w:sz w:val="32"/>
          <w:szCs w:val="32"/>
        </w:rPr>
        <w:t>理的现代化进程需要进一步加快，</w:t>
      </w:r>
      <w:r>
        <w:rPr>
          <w:rFonts w:ascii="方正仿宋_GBK" w:hAnsi="方正仿宋_GBK" w:eastAsia="方正仿宋_GBK" w:cs="方正仿宋_GBK"/>
          <w:sz w:val="32"/>
          <w:szCs w:val="32"/>
        </w:rPr>
        <w:t>交通</w:t>
      </w:r>
      <w:r>
        <w:rPr>
          <w:rFonts w:hint="eastAsia" w:ascii="方正仿宋_GBK" w:hAnsi="方正仿宋_GBK" w:eastAsia="方正仿宋_GBK" w:cs="方正仿宋_GBK"/>
          <w:sz w:val="32"/>
          <w:szCs w:val="32"/>
        </w:rPr>
        <w:t>、土地等</w:t>
      </w:r>
      <w:r>
        <w:rPr>
          <w:rFonts w:ascii="方正仿宋_GBK" w:hAnsi="方正仿宋_GBK" w:eastAsia="方正仿宋_GBK" w:cs="方正仿宋_GBK"/>
          <w:sz w:val="32"/>
          <w:szCs w:val="32"/>
        </w:rPr>
        <w:t>瓶颈制约依然存在，改善城市面貌、塑造城市形象</w:t>
      </w:r>
      <w:r>
        <w:rPr>
          <w:rFonts w:eastAsia="方正仿宋_GBK"/>
          <w:sz w:val="32"/>
          <w:szCs w:val="32"/>
        </w:rPr>
        <w:t>方面仍</w:t>
      </w:r>
      <w:r>
        <w:rPr>
          <w:rFonts w:hint="eastAsia" w:eastAsia="方正仿宋_GBK"/>
          <w:sz w:val="32"/>
          <w:szCs w:val="32"/>
        </w:rPr>
        <w:t>需努力</w:t>
      </w:r>
      <w:r>
        <w:rPr>
          <w:rFonts w:eastAsia="方正仿宋_GBK"/>
          <w:sz w:val="32"/>
          <w:szCs w:val="32"/>
        </w:rPr>
        <w:t>。</w:t>
      </w:r>
      <w:r>
        <w:rPr>
          <w:rFonts w:hint="eastAsia" w:ascii="方正楷体_GBK" w:eastAsia="方正楷体_GBK"/>
          <w:bCs/>
          <w:color w:val="000000"/>
          <w:sz w:val="32"/>
          <w:szCs w:val="32"/>
        </w:rPr>
        <w:t>三</w:t>
      </w:r>
      <w:r>
        <w:rPr>
          <w:rFonts w:ascii="方正楷体_GBK" w:eastAsia="方正楷体_GBK"/>
          <w:bCs/>
          <w:color w:val="000000"/>
          <w:sz w:val="32"/>
          <w:szCs w:val="32"/>
        </w:rPr>
        <w:t>是民生</w:t>
      </w:r>
      <w:r>
        <w:rPr>
          <w:rFonts w:hint="eastAsia" w:ascii="方正楷体_GBK" w:eastAsia="方正楷体_GBK"/>
          <w:bCs/>
          <w:color w:val="000000"/>
          <w:sz w:val="32"/>
          <w:szCs w:val="32"/>
        </w:rPr>
        <w:t>事业</w:t>
      </w:r>
      <w:r>
        <w:rPr>
          <w:rFonts w:ascii="方正楷体_GBK" w:eastAsia="方正楷体_GBK"/>
          <w:bCs/>
          <w:color w:val="000000"/>
          <w:sz w:val="32"/>
          <w:szCs w:val="32"/>
        </w:rPr>
        <w:t>短板</w:t>
      </w:r>
      <w:r>
        <w:rPr>
          <w:rFonts w:hint="eastAsia" w:ascii="方正楷体_GBK" w:eastAsia="方正楷体_GBK"/>
          <w:bCs/>
          <w:color w:val="000000"/>
          <w:sz w:val="32"/>
          <w:szCs w:val="32"/>
        </w:rPr>
        <w:t>亟待补齐。</w:t>
      </w:r>
      <w:r>
        <w:rPr>
          <w:rFonts w:hint="eastAsia" w:eastAsia="方正仿宋_GBK"/>
          <w:color w:val="000000"/>
          <w:sz w:val="32"/>
          <w:szCs w:val="32"/>
        </w:rPr>
        <w:t>部分新建住宅小区配套中小</w:t>
      </w:r>
      <w:r>
        <w:rPr>
          <w:rFonts w:eastAsia="方正仿宋_GBK"/>
          <w:color w:val="000000"/>
          <w:sz w:val="32"/>
          <w:szCs w:val="32"/>
        </w:rPr>
        <w:t>学校建设</w:t>
      </w:r>
      <w:r>
        <w:rPr>
          <w:rFonts w:hint="eastAsia" w:eastAsia="方正仿宋_GBK"/>
          <w:color w:val="000000"/>
          <w:sz w:val="32"/>
          <w:szCs w:val="32"/>
        </w:rPr>
        <w:t>滞后、学位紧张</w:t>
      </w:r>
      <w:r>
        <w:rPr>
          <w:rFonts w:eastAsia="方正仿宋_GBK"/>
          <w:color w:val="000000"/>
          <w:sz w:val="32"/>
          <w:szCs w:val="32"/>
        </w:rPr>
        <w:t>，</w:t>
      </w:r>
      <w:r>
        <w:rPr>
          <w:rFonts w:eastAsia="方正仿宋_GBK"/>
          <w:sz w:val="32"/>
          <w:szCs w:val="32"/>
        </w:rPr>
        <w:t>优质医疗资源供给不足，养老服务专业化程度</w:t>
      </w:r>
      <w:r>
        <w:rPr>
          <w:rFonts w:hint="eastAsia" w:eastAsia="方正仿宋_GBK"/>
          <w:sz w:val="32"/>
          <w:szCs w:val="32"/>
        </w:rPr>
        <w:t>不高</w:t>
      </w:r>
      <w:r>
        <w:rPr>
          <w:rFonts w:eastAsia="方正仿宋_GBK"/>
          <w:sz w:val="32"/>
          <w:szCs w:val="32"/>
        </w:rPr>
        <w:t>，</w:t>
      </w:r>
      <w:r>
        <w:rPr>
          <w:rFonts w:eastAsia="方正仿宋_GBK"/>
          <w:color w:val="000000"/>
          <w:sz w:val="32"/>
          <w:szCs w:val="32"/>
          <w:lang w:bidi="ar"/>
        </w:rPr>
        <w:t>公共服务水平离人民群众的期待还有差距。</w:t>
      </w:r>
      <w:r>
        <w:rPr>
          <w:rFonts w:ascii="方正楷体_GBK" w:eastAsia="方正楷体_GBK"/>
          <w:bCs/>
          <w:color w:val="000000"/>
          <w:sz w:val="32"/>
          <w:szCs w:val="32"/>
        </w:rPr>
        <w:t>四是服务企业力度仍需加大</w:t>
      </w:r>
      <w:r>
        <w:rPr>
          <w:rFonts w:hint="eastAsia" w:ascii="方正楷体_GBK" w:eastAsia="方正楷体_GBK"/>
          <w:bCs/>
          <w:color w:val="000000"/>
          <w:sz w:val="32"/>
          <w:szCs w:val="32"/>
        </w:rPr>
        <w:t>。</w:t>
      </w:r>
      <w:r>
        <w:rPr>
          <w:rFonts w:hint="eastAsia" w:eastAsia="方正仿宋_GBK"/>
          <w:sz w:val="32"/>
          <w:szCs w:val="32"/>
        </w:rPr>
        <w:t>受新冠肺炎疫情等因素影响，部分企业尤其是</w:t>
      </w:r>
      <w:r>
        <w:rPr>
          <w:rFonts w:eastAsia="方正仿宋_GBK"/>
          <w:sz w:val="32"/>
          <w:szCs w:val="32"/>
        </w:rPr>
        <w:t>中小企业生存发展面临困难</w:t>
      </w:r>
      <w:r>
        <w:rPr>
          <w:rFonts w:hint="eastAsia" w:eastAsia="方正仿宋_GBK"/>
          <w:sz w:val="32"/>
          <w:szCs w:val="32"/>
        </w:rPr>
        <w:t>，需加大精准帮扶力度，强化生产要素保障，促进企业生产经营稳定发展。</w:t>
      </w:r>
      <w:r>
        <w:rPr>
          <w:rFonts w:eastAsia="方正仿宋_GBK"/>
          <w:sz w:val="32"/>
          <w:szCs w:val="32"/>
        </w:rPr>
        <w:t xml:space="preserve"> </w:t>
      </w:r>
    </w:p>
    <w:p>
      <w:pPr>
        <w:spacing w:line="594" w:lineRule="exact"/>
        <w:ind w:firstLine="640" w:firstLineChars="200"/>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二、2022年国民经济和社会发展主要指标和项目安排</w:t>
      </w:r>
    </w:p>
    <w:p>
      <w:pPr>
        <w:spacing w:line="594" w:lineRule="exact"/>
        <w:ind w:firstLine="640" w:firstLineChars="200"/>
        <w:rPr>
          <w:rFonts w:eastAsia="方正仿宋_GBK"/>
          <w:color w:val="000000"/>
          <w:kern w:val="0"/>
          <w:sz w:val="32"/>
          <w:szCs w:val="32"/>
        </w:rPr>
      </w:pPr>
      <w:r>
        <w:rPr>
          <w:rFonts w:eastAsia="方正仿宋_GBK"/>
          <w:color w:val="000000"/>
          <w:kern w:val="0"/>
          <w:sz w:val="32"/>
          <w:szCs w:val="32"/>
        </w:rPr>
        <w:t>2022年是党的二十大召开之年，是“十四五”承上启下的关键之年，也是新一届区政府工作的开局之年。我们要着眼五年、立足当前，细化落实“十四五”规划目标任务，聚焦产业转型升级强经济动能，聚焦重大项目建设强发展支撑，聚焦幸福指数提升强民生保障，加快推动高质量发展，统筹发展和安全，保持经济运行在合理区间，确保社会大局和谐稳定。按照中央、市委和区委经济工作会议精神，提出年度经济社会发展的指标</w:t>
      </w:r>
      <w:r>
        <w:rPr>
          <w:rFonts w:hint="eastAsia" w:eastAsia="方正仿宋_GBK"/>
          <w:color w:val="000000"/>
          <w:kern w:val="0"/>
          <w:sz w:val="32"/>
          <w:szCs w:val="32"/>
        </w:rPr>
        <w:t>设置</w:t>
      </w:r>
      <w:r>
        <w:rPr>
          <w:rFonts w:eastAsia="方正仿宋_GBK"/>
          <w:color w:val="000000"/>
          <w:kern w:val="0"/>
          <w:sz w:val="32"/>
          <w:szCs w:val="32"/>
        </w:rPr>
        <w:t>、主要目标、重大项目建议如下。</w:t>
      </w:r>
    </w:p>
    <w:p>
      <w:pPr>
        <w:spacing w:line="594" w:lineRule="exact"/>
        <w:ind w:firstLine="643" w:firstLineChars="200"/>
        <w:rPr>
          <w:rFonts w:eastAsia="方正仿宋_GBK"/>
          <w:b/>
          <w:bCs/>
          <w:color w:val="000000" w:themeColor="text1"/>
          <w:kern w:val="0"/>
          <w:sz w:val="32"/>
          <w:szCs w:val="32"/>
          <w14:textFill>
            <w14:solidFill>
              <w14:schemeClr w14:val="tx1"/>
            </w14:solidFill>
          </w14:textFill>
        </w:rPr>
      </w:pPr>
      <w:r>
        <w:rPr>
          <w:rFonts w:eastAsia="方正楷体_GBK"/>
          <w:b/>
          <w:bCs/>
          <w:color w:val="000000" w:themeColor="text1"/>
          <w:kern w:val="0"/>
          <w:sz w:val="32"/>
          <w:szCs w:val="32"/>
          <w14:textFill>
            <w14:solidFill>
              <w14:schemeClr w14:val="tx1"/>
            </w14:solidFill>
          </w14:textFill>
        </w:rPr>
        <w:t>（一）主要发展目标</w:t>
      </w:r>
    </w:p>
    <w:p>
      <w:pPr>
        <w:spacing w:line="594" w:lineRule="exact"/>
        <w:ind w:firstLine="640" w:firstLineChars="200"/>
        <w:rPr>
          <w:rFonts w:eastAsia="方正仿宋_GBK"/>
          <w:color w:val="000000" w:themeColor="text1"/>
          <w:sz w:val="32"/>
          <w:szCs w:val="32"/>
          <w14:textFill>
            <w14:solidFill>
              <w14:schemeClr w14:val="tx1"/>
            </w14:solidFill>
          </w14:textFill>
        </w:rPr>
      </w:pPr>
      <w:bookmarkStart w:id="2" w:name="OLE_LINK1"/>
      <w:r>
        <w:rPr>
          <w:rFonts w:eastAsia="方正仿宋_GBK"/>
          <w:color w:val="000000" w:themeColor="text1"/>
          <w:sz w:val="32"/>
          <w:szCs w:val="32"/>
          <w14:textFill>
            <w14:solidFill>
              <w14:schemeClr w14:val="tx1"/>
            </w14:solidFill>
          </w14:textFill>
        </w:rPr>
        <w:t>结合</w:t>
      </w:r>
      <w:r>
        <w:rPr>
          <w:rFonts w:eastAsia="方正仿宋_GBK"/>
          <w:color w:val="000000"/>
          <w:kern w:val="0"/>
          <w:sz w:val="32"/>
          <w:szCs w:val="32"/>
        </w:rPr>
        <w:t>“十四五”</w:t>
      </w:r>
      <w:r>
        <w:rPr>
          <w:rFonts w:eastAsia="方正仿宋_GBK"/>
          <w:color w:val="000000" w:themeColor="text1"/>
          <w:sz w:val="32"/>
          <w:szCs w:val="32"/>
          <w14:textFill>
            <w14:solidFill>
              <w14:schemeClr w14:val="tx1"/>
            </w14:solidFill>
          </w14:textFill>
        </w:rPr>
        <w:t>规划总体目标，综合分析国内外经济形势、宏观政策取向和我区经济增长支撑因素，建议全年GDP增长6%</w:t>
      </w:r>
      <w:r>
        <w:rPr>
          <w:rFonts w:hint="eastAsia" w:eastAsia="方正仿宋_GBK"/>
          <w:color w:val="000000" w:themeColor="text1"/>
          <w:sz w:val="32"/>
          <w:szCs w:val="32"/>
          <w14:textFill>
            <w14:solidFill>
              <w14:schemeClr w14:val="tx1"/>
            </w14:solidFill>
          </w14:textFill>
        </w:rPr>
        <w:t>左右</w:t>
      </w:r>
      <w:r>
        <w:rPr>
          <w:rFonts w:eastAsia="方正仿宋_GBK"/>
          <w:color w:val="000000" w:themeColor="text1"/>
          <w:sz w:val="32"/>
          <w:szCs w:val="32"/>
          <w14:textFill>
            <w14:solidFill>
              <w14:schemeClr w14:val="tx1"/>
            </w14:solidFill>
          </w14:textFill>
        </w:rPr>
        <w:t>。确立这一目标，主要考虑：</w:t>
      </w:r>
      <w:r>
        <w:rPr>
          <w:rFonts w:hint="eastAsia" w:ascii="方正楷体_GBK" w:eastAsia="方正楷体_GBK"/>
          <w:color w:val="000000" w:themeColor="text1"/>
          <w:sz w:val="32"/>
          <w:szCs w:val="32"/>
          <w14:textFill>
            <w14:solidFill>
              <w14:schemeClr w14:val="tx1"/>
            </w14:solidFill>
          </w14:textFill>
        </w:rPr>
        <w:t>一是宏观政策支撑。</w:t>
      </w:r>
      <w:r>
        <w:rPr>
          <w:rFonts w:eastAsia="方正仿宋_GBK"/>
          <w:color w:val="000000" w:themeColor="text1"/>
          <w:sz w:val="32"/>
          <w:szCs w:val="32"/>
          <w14:textFill>
            <w14:solidFill>
              <w14:schemeClr w14:val="tx1"/>
            </w14:solidFill>
          </w14:textFill>
        </w:rPr>
        <w:t>宏观经济发展健康稳定的基本面、长期向好的总势头没有改变，中央大规模减税降费、加快地方政府债发行等跨周期调节政策效应持续显现，宏观政策、微观政策、结构政策等七大政策组合拳持续发力，碳达峰、碳中和政策体系推动绿色发展潜能释放，有利于促进我区经济平稳较快增长。</w:t>
      </w:r>
      <w:r>
        <w:rPr>
          <w:rFonts w:ascii="方正楷体_GBK" w:eastAsia="方正楷体_GBK"/>
          <w:color w:val="000000" w:themeColor="text1"/>
          <w:sz w:val="32"/>
          <w:szCs w:val="32"/>
          <w14:textFill>
            <w14:solidFill>
              <w14:schemeClr w14:val="tx1"/>
            </w14:solidFill>
          </w14:textFill>
        </w:rPr>
        <w:t>二是战略机遇利好。</w:t>
      </w:r>
      <w:r>
        <w:rPr>
          <w:rFonts w:eastAsia="方正仿宋_GBK"/>
          <w:color w:val="000000" w:themeColor="text1"/>
          <w:sz w:val="32"/>
          <w:szCs w:val="32"/>
          <w14:textFill>
            <w14:solidFill>
              <w14:schemeClr w14:val="tx1"/>
            </w14:solidFill>
          </w14:textFill>
        </w:rPr>
        <w:t>成渝地区双城经济圈建设、长江经济带发展、新时代西部大开发、国际消费中心城市建设等重大战略深入推进，南部人文之城、长江文化艺术湾区建设全面铺开，为</w:t>
      </w:r>
      <w:r>
        <w:rPr>
          <w:rFonts w:hint="eastAsia" w:eastAsia="方正仿宋_GBK"/>
          <w:color w:val="000000" w:themeColor="text1"/>
          <w:sz w:val="32"/>
          <w:szCs w:val="32"/>
          <w14:textFill>
            <w14:solidFill>
              <w14:schemeClr w14:val="tx1"/>
            </w14:solidFill>
          </w14:textFill>
        </w:rPr>
        <w:t>全区</w:t>
      </w:r>
      <w:r>
        <w:rPr>
          <w:rFonts w:eastAsia="方正仿宋_GBK"/>
          <w:color w:val="000000" w:themeColor="text1"/>
          <w:sz w:val="32"/>
          <w:szCs w:val="32"/>
          <w14:textFill>
            <w14:solidFill>
              <w14:schemeClr w14:val="tx1"/>
            </w14:solidFill>
          </w14:textFill>
        </w:rPr>
        <w:t>经济持续向好发展创造更加有利条件。</w:t>
      </w:r>
      <w:r>
        <w:rPr>
          <w:rFonts w:ascii="方正楷体_GBK" w:eastAsia="方正楷体_GBK"/>
          <w:color w:val="000000" w:themeColor="text1"/>
          <w:sz w:val="32"/>
          <w:szCs w:val="32"/>
          <w14:textFill>
            <w14:solidFill>
              <w14:schemeClr w14:val="tx1"/>
            </w14:solidFill>
          </w14:textFill>
        </w:rPr>
        <w:t>三是平稳运行需要。</w:t>
      </w:r>
      <w:r>
        <w:rPr>
          <w:rFonts w:eastAsia="方正仿宋_GBK"/>
          <w:sz w:val="32"/>
          <w:szCs w:val="32"/>
        </w:rPr>
        <w:t>2022年全市GDP增速</w:t>
      </w:r>
      <w:r>
        <w:rPr>
          <w:rFonts w:hint="eastAsia" w:eastAsia="方正仿宋_GBK"/>
          <w:sz w:val="32"/>
          <w:szCs w:val="32"/>
        </w:rPr>
        <w:t>目标</w:t>
      </w:r>
      <w:r>
        <w:rPr>
          <w:rFonts w:eastAsia="方正仿宋_GBK"/>
          <w:sz w:val="32"/>
          <w:szCs w:val="32"/>
        </w:rPr>
        <w:t>在5.5%左右，</w:t>
      </w:r>
      <w:r>
        <w:rPr>
          <w:rFonts w:hint="eastAsia" w:eastAsia="方正仿宋_GBK"/>
          <w:sz w:val="32"/>
          <w:szCs w:val="32"/>
        </w:rPr>
        <w:t>作为中心城区，</w:t>
      </w:r>
      <w:r>
        <w:rPr>
          <w:rFonts w:eastAsia="方正仿宋_GBK"/>
          <w:color w:val="000000" w:themeColor="text1"/>
          <w:sz w:val="32"/>
          <w:szCs w:val="32"/>
          <w14:textFill>
            <w14:solidFill>
              <w14:schemeClr w14:val="tx1"/>
            </w14:solidFill>
          </w14:textFill>
        </w:rPr>
        <w:t>我区经济</w:t>
      </w:r>
      <w:r>
        <w:rPr>
          <w:rFonts w:hint="eastAsia" w:eastAsia="方正仿宋_GBK"/>
          <w:color w:val="000000" w:themeColor="text1"/>
          <w:sz w:val="32"/>
          <w:szCs w:val="32"/>
          <w14:textFill>
            <w14:solidFill>
              <w14:schemeClr w14:val="tx1"/>
            </w14:solidFill>
          </w14:textFill>
        </w:rPr>
        <w:t>增速应努力高于</w:t>
      </w:r>
      <w:r>
        <w:rPr>
          <w:rFonts w:eastAsia="方正仿宋_GBK"/>
          <w:color w:val="000000" w:themeColor="text1"/>
          <w:sz w:val="32"/>
          <w:szCs w:val="32"/>
          <w14:textFill>
            <w14:solidFill>
              <w14:schemeClr w14:val="tx1"/>
            </w14:solidFill>
          </w14:textFill>
        </w:rPr>
        <w:t>全市经济</w:t>
      </w:r>
      <w:r>
        <w:rPr>
          <w:rFonts w:hint="eastAsia" w:eastAsia="方正仿宋_GBK"/>
          <w:color w:val="000000" w:themeColor="text1"/>
          <w:sz w:val="32"/>
          <w:szCs w:val="32"/>
          <w14:textFill>
            <w14:solidFill>
              <w14:schemeClr w14:val="tx1"/>
            </w14:solidFill>
          </w14:textFill>
        </w:rPr>
        <w:t>增长水平</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同时，</w:t>
      </w:r>
      <w:r>
        <w:rPr>
          <w:rFonts w:eastAsia="方正仿宋_GBK"/>
          <w:color w:val="000000" w:themeColor="text1"/>
          <w:sz w:val="32"/>
          <w:szCs w:val="32"/>
          <w14:textFill>
            <w14:solidFill>
              <w14:schemeClr w14:val="tx1"/>
            </w14:solidFill>
          </w14:textFill>
        </w:rPr>
        <w:t>“十四五”期间</w:t>
      </w:r>
      <w:r>
        <w:rPr>
          <w:rFonts w:hint="eastAsia" w:eastAsia="方正仿宋_GBK"/>
          <w:color w:val="000000" w:themeColor="text1"/>
          <w:sz w:val="32"/>
          <w:szCs w:val="32"/>
          <w14:textFill>
            <w14:solidFill>
              <w14:schemeClr w14:val="tx1"/>
            </w14:solidFill>
          </w14:textFill>
        </w:rPr>
        <w:t>全区</w:t>
      </w:r>
      <w:r>
        <w:rPr>
          <w:rFonts w:eastAsia="方正仿宋_GBK"/>
          <w:color w:val="000000" w:themeColor="text1"/>
          <w:sz w:val="32"/>
          <w:szCs w:val="32"/>
          <w14:textFill>
            <w14:solidFill>
              <w14:schemeClr w14:val="tx1"/>
            </w14:solidFill>
          </w14:textFill>
        </w:rPr>
        <w:t>GDP年平均增长目标为6%，2022年需继续保持平稳增长，为目标达成提供支撑。</w:t>
      </w:r>
      <w:r>
        <w:rPr>
          <w:rFonts w:ascii="方正楷体_GBK" w:eastAsia="方正楷体_GBK"/>
          <w:color w:val="000000" w:themeColor="text1"/>
          <w:sz w:val="32"/>
          <w:szCs w:val="32"/>
          <w14:textFill>
            <w14:solidFill>
              <w14:schemeClr w14:val="tx1"/>
            </w14:solidFill>
          </w14:textFill>
        </w:rPr>
        <w:t>四是发展基础</w:t>
      </w:r>
      <w:r>
        <w:rPr>
          <w:rFonts w:hint="eastAsia" w:ascii="方正楷体_GBK" w:eastAsia="方正楷体_GBK"/>
          <w:color w:val="000000" w:themeColor="text1"/>
          <w:sz w:val="32"/>
          <w:szCs w:val="32"/>
          <w14:textFill>
            <w14:solidFill>
              <w14:schemeClr w14:val="tx1"/>
            </w14:solidFill>
          </w14:textFill>
        </w:rPr>
        <w:t>保障</w:t>
      </w:r>
      <w:r>
        <w:rPr>
          <w:rFonts w:ascii="方正楷体_GBK" w:eastAsia="方正楷体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全区战略性新兴产业规模日益壮大、工业经济增长势头良好，重点片区开发提质提速，一批重点项目开工投产、提质放量，</w:t>
      </w:r>
      <w:r>
        <w:rPr>
          <w:rFonts w:hint="eastAsia" w:eastAsia="方正仿宋_GBK"/>
          <w:color w:val="000000" w:themeColor="text1"/>
          <w:sz w:val="32"/>
          <w:szCs w:val="32"/>
          <w14:textFill>
            <w14:solidFill>
              <w14:schemeClr w14:val="tx1"/>
            </w14:solidFill>
          </w14:textFill>
        </w:rPr>
        <w:t>为</w:t>
      </w:r>
      <w:r>
        <w:rPr>
          <w:rFonts w:eastAsia="方正仿宋_GBK"/>
          <w:color w:val="000000" w:themeColor="text1"/>
          <w:sz w:val="32"/>
          <w:szCs w:val="32"/>
          <w14:textFill>
            <w14:solidFill>
              <w14:schemeClr w14:val="tx1"/>
            </w14:solidFill>
          </w14:textFill>
        </w:rPr>
        <w:t>经济平稳健康发展</w:t>
      </w:r>
      <w:r>
        <w:rPr>
          <w:rFonts w:hint="eastAsia" w:eastAsia="方正仿宋_GBK"/>
          <w:color w:val="000000" w:themeColor="text1"/>
          <w:sz w:val="32"/>
          <w:szCs w:val="32"/>
          <w14:textFill>
            <w14:solidFill>
              <w14:schemeClr w14:val="tx1"/>
            </w14:solidFill>
          </w14:textFill>
        </w:rPr>
        <w:t>奠定</w:t>
      </w:r>
      <w:r>
        <w:rPr>
          <w:rFonts w:eastAsia="方正仿宋_GBK"/>
          <w:color w:val="000000" w:themeColor="text1"/>
          <w:sz w:val="32"/>
          <w:szCs w:val="32"/>
          <w14:textFill>
            <w14:solidFill>
              <w14:schemeClr w14:val="tx1"/>
            </w14:solidFill>
          </w14:textFill>
        </w:rPr>
        <w:t>良好基础。但同时，新冠肺炎疫情冲击下，国内经济发展面临需求收缩、供给冲击、预期转弱三重压力，房地产开发投资不确定性加大，2021年高基数增加2022年经济快速增长难度。综合判断，设定6%的增长目标符合区情实际和发展预期。</w:t>
      </w:r>
    </w:p>
    <w:bookmarkEnd w:id="2"/>
    <w:p>
      <w:pPr>
        <w:spacing w:line="594" w:lineRule="exact"/>
        <w:ind w:firstLine="640" w:firstLineChars="200"/>
        <w:rPr>
          <w:rFonts w:eastAsia="方正仿宋_GBK"/>
          <w:sz w:val="32"/>
          <w:szCs w:val="32"/>
        </w:rPr>
      </w:pPr>
      <w:r>
        <w:rPr>
          <w:rFonts w:eastAsia="方正仿宋_GBK"/>
          <w:sz w:val="32"/>
          <w:szCs w:val="32"/>
        </w:rPr>
        <w:t>围绕总体要求，对标</w:t>
      </w:r>
      <w:r>
        <w:rPr>
          <w:rFonts w:eastAsia="方正仿宋_GBK"/>
          <w:color w:val="000000"/>
          <w:kern w:val="0"/>
          <w:sz w:val="32"/>
          <w:szCs w:val="32"/>
        </w:rPr>
        <w:t>“十四五”</w:t>
      </w:r>
      <w:r>
        <w:rPr>
          <w:rFonts w:eastAsia="方正仿宋_GBK"/>
          <w:sz w:val="32"/>
          <w:szCs w:val="32"/>
        </w:rPr>
        <w:t>规划纲要指标体系，</w:t>
      </w:r>
      <w:r>
        <w:rPr>
          <w:rFonts w:eastAsia="方正仿宋_GBK"/>
          <w:color w:val="000000"/>
          <w:sz w:val="32"/>
          <w:szCs w:val="32"/>
        </w:rPr>
        <w:t>2022年国民经济和社会发展计划指标总体沿用2021年的指标设置，具体涵盖发展综合质量效益以及创新、协调、绿色、开放、共享新发展理念等方面，共计</w:t>
      </w:r>
      <w:r>
        <w:rPr>
          <w:rFonts w:eastAsia="方正仿宋_GBK"/>
          <w:color w:val="000000" w:themeColor="text1"/>
          <w:sz w:val="32"/>
          <w:szCs w:val="32"/>
          <w14:textFill>
            <w14:solidFill>
              <w14:schemeClr w14:val="tx1"/>
            </w14:solidFill>
          </w14:textFill>
        </w:rPr>
        <w:t>32</w:t>
      </w:r>
      <w:r>
        <w:rPr>
          <w:rFonts w:eastAsia="方正仿宋_GBK"/>
          <w:color w:val="000000"/>
          <w:sz w:val="32"/>
          <w:szCs w:val="32"/>
        </w:rPr>
        <w:t>项，</w:t>
      </w:r>
      <w:r>
        <w:rPr>
          <w:rFonts w:eastAsia="方正仿宋_GBK"/>
          <w:sz w:val="32"/>
          <w:szCs w:val="32"/>
        </w:rPr>
        <w:t>其中约束性指标8</w:t>
      </w:r>
      <w:r>
        <w:rPr>
          <w:rFonts w:hint="eastAsia" w:eastAsia="方正仿宋_GBK"/>
          <w:sz w:val="32"/>
          <w:szCs w:val="32"/>
        </w:rPr>
        <w:t>项</w:t>
      </w:r>
      <w:r>
        <w:rPr>
          <w:rFonts w:eastAsia="方正仿宋_GBK"/>
          <w:sz w:val="32"/>
          <w:szCs w:val="32"/>
        </w:rPr>
        <w:t>，是政府履行公共职能必须达到的；其余</w:t>
      </w:r>
      <w:r>
        <w:rPr>
          <w:rFonts w:eastAsia="方正仿宋_GBK"/>
          <w:color w:val="000000" w:themeColor="text1"/>
          <w:sz w:val="32"/>
          <w:szCs w:val="32"/>
          <w14:textFill>
            <w14:solidFill>
              <w14:schemeClr w14:val="tx1"/>
            </w14:solidFill>
          </w14:textFill>
        </w:rPr>
        <w:t>24</w:t>
      </w:r>
      <w:r>
        <w:rPr>
          <w:rFonts w:hint="eastAsia" w:eastAsia="方正仿宋_GBK"/>
          <w:sz w:val="32"/>
          <w:szCs w:val="32"/>
        </w:rPr>
        <w:t>项</w:t>
      </w:r>
      <w:r>
        <w:rPr>
          <w:rFonts w:eastAsia="方正仿宋_GBK"/>
          <w:sz w:val="32"/>
          <w:szCs w:val="32"/>
        </w:rPr>
        <w:t>为预期性指标，体现导向性，</w:t>
      </w:r>
      <w:r>
        <w:rPr>
          <w:rFonts w:eastAsia="方正仿宋_GBK"/>
          <w:color w:val="000000" w:themeColor="text1"/>
          <w:kern w:val="0"/>
          <w:sz w:val="32"/>
          <w:szCs w:val="32"/>
          <w14:textFill>
            <w14:solidFill>
              <w14:schemeClr w14:val="tx1"/>
            </w14:solidFill>
          </w14:textFill>
        </w:rPr>
        <w:t>实际工作中可能出现适度偏离。</w:t>
      </w:r>
    </w:p>
    <w:p>
      <w:pPr>
        <w:widowControl/>
        <w:suppressAutoHyphens/>
        <w:topLinePunct/>
        <w:spacing w:line="600" w:lineRule="exact"/>
        <w:jc w:val="center"/>
        <w:rPr>
          <w:rFonts w:eastAsia="方正黑体_GBK"/>
          <w:color w:val="000000"/>
          <w:sz w:val="28"/>
          <w:szCs w:val="28"/>
        </w:rPr>
      </w:pPr>
      <w:r>
        <w:rPr>
          <w:rFonts w:eastAsia="方正黑体_GBK"/>
          <w:color w:val="000000"/>
          <w:sz w:val="28"/>
          <w:szCs w:val="28"/>
        </w:rPr>
        <w:t>表2：2022年国民经济和社会发展预期目标</w:t>
      </w:r>
    </w:p>
    <w:tbl>
      <w:tblPr>
        <w:tblStyle w:val="12"/>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693"/>
        <w:gridCol w:w="3518"/>
        <w:gridCol w:w="1800"/>
        <w:gridCol w:w="1081"/>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551" w:hRule="atLeast"/>
          <w:tblHeader/>
          <w:jc w:val="center"/>
        </w:trPr>
        <w:tc>
          <w:tcPr>
            <w:tcW w:w="693" w:type="dxa"/>
            <w:vAlign w:val="center"/>
          </w:tcPr>
          <w:p>
            <w:pPr>
              <w:spacing w:line="400" w:lineRule="exact"/>
              <w:jc w:val="center"/>
              <w:rPr>
                <w:rFonts w:eastAsia="方正黑体_GBK"/>
                <w:color w:val="000000" w:themeColor="text1"/>
                <w:kern w:val="0"/>
                <w:sz w:val="24"/>
                <w:szCs w:val="24"/>
                <w14:textFill>
                  <w14:solidFill>
                    <w14:schemeClr w14:val="tx1"/>
                  </w14:solidFill>
                </w14:textFill>
              </w:rPr>
            </w:pPr>
            <w:r>
              <w:rPr>
                <w:rFonts w:eastAsia="方正黑体_GBK"/>
                <w:color w:val="000000" w:themeColor="text1"/>
                <w:kern w:val="0"/>
                <w:sz w:val="24"/>
                <w:szCs w:val="24"/>
                <w14:textFill>
                  <w14:solidFill>
                    <w14:schemeClr w14:val="tx1"/>
                  </w14:solidFill>
                </w14:textFill>
              </w:rPr>
              <w:t>序号</w:t>
            </w:r>
          </w:p>
        </w:tc>
        <w:tc>
          <w:tcPr>
            <w:tcW w:w="3518" w:type="dxa"/>
            <w:vAlign w:val="center"/>
          </w:tcPr>
          <w:p>
            <w:pPr>
              <w:spacing w:line="400" w:lineRule="exact"/>
              <w:jc w:val="center"/>
              <w:rPr>
                <w:rFonts w:eastAsia="方正黑体_GBK"/>
                <w:color w:val="000000" w:themeColor="text1"/>
                <w:kern w:val="0"/>
                <w:sz w:val="24"/>
                <w:szCs w:val="24"/>
                <w14:textFill>
                  <w14:solidFill>
                    <w14:schemeClr w14:val="tx1"/>
                  </w14:solidFill>
                </w14:textFill>
              </w:rPr>
            </w:pPr>
            <w:r>
              <w:rPr>
                <w:rFonts w:eastAsia="方正黑体_GBK"/>
                <w:color w:val="000000" w:themeColor="text1"/>
                <w:kern w:val="0"/>
                <w:sz w:val="24"/>
                <w:szCs w:val="24"/>
                <w14:textFill>
                  <w14:solidFill>
                    <w14:schemeClr w14:val="tx1"/>
                  </w14:solidFill>
                </w14:textFill>
              </w:rPr>
              <w:t>指标名称</w:t>
            </w:r>
          </w:p>
        </w:tc>
        <w:tc>
          <w:tcPr>
            <w:tcW w:w="1800" w:type="dxa"/>
            <w:vAlign w:val="center"/>
          </w:tcPr>
          <w:p>
            <w:pPr>
              <w:spacing w:line="400" w:lineRule="exact"/>
              <w:jc w:val="center"/>
              <w:rPr>
                <w:rFonts w:eastAsia="方正黑体_GBK"/>
                <w:color w:val="000000" w:themeColor="text1"/>
                <w:kern w:val="0"/>
                <w:sz w:val="24"/>
                <w:szCs w:val="24"/>
                <w14:textFill>
                  <w14:solidFill>
                    <w14:schemeClr w14:val="tx1"/>
                  </w14:solidFill>
                </w14:textFill>
              </w:rPr>
            </w:pPr>
            <w:r>
              <w:rPr>
                <w:rFonts w:eastAsia="方正黑体_GBK"/>
                <w:color w:val="000000" w:themeColor="text1"/>
                <w:kern w:val="0"/>
                <w:sz w:val="24"/>
                <w:szCs w:val="24"/>
                <w14:textFill>
                  <w14:solidFill>
                    <w14:schemeClr w14:val="tx1"/>
                  </w14:solidFill>
                </w14:textFill>
              </w:rPr>
              <w:t>单位</w:t>
            </w:r>
          </w:p>
        </w:tc>
        <w:tc>
          <w:tcPr>
            <w:tcW w:w="1081" w:type="dxa"/>
            <w:vAlign w:val="center"/>
          </w:tcPr>
          <w:p>
            <w:pPr>
              <w:spacing w:line="400" w:lineRule="exact"/>
              <w:jc w:val="center"/>
              <w:rPr>
                <w:rFonts w:eastAsia="方正黑体_GBK"/>
                <w:color w:val="000000" w:themeColor="text1"/>
                <w:kern w:val="0"/>
                <w:sz w:val="24"/>
                <w:szCs w:val="24"/>
                <w14:textFill>
                  <w14:solidFill>
                    <w14:schemeClr w14:val="tx1"/>
                  </w14:solidFill>
                </w14:textFill>
              </w:rPr>
            </w:pPr>
            <w:r>
              <w:rPr>
                <w:rFonts w:eastAsia="方正黑体_GBK"/>
                <w:color w:val="000000" w:themeColor="text1"/>
                <w:kern w:val="0"/>
                <w:sz w:val="24"/>
                <w:szCs w:val="24"/>
                <w14:textFill>
                  <w14:solidFill>
                    <w14:schemeClr w14:val="tx1"/>
                  </w14:solidFill>
                </w14:textFill>
              </w:rPr>
              <w:t>指标属性</w:t>
            </w:r>
          </w:p>
        </w:tc>
        <w:tc>
          <w:tcPr>
            <w:tcW w:w="1607" w:type="dxa"/>
            <w:vAlign w:val="center"/>
          </w:tcPr>
          <w:p>
            <w:pPr>
              <w:spacing w:line="400" w:lineRule="exact"/>
              <w:jc w:val="center"/>
              <w:rPr>
                <w:rFonts w:eastAsia="方正黑体_GBK"/>
                <w:color w:val="000000" w:themeColor="text1"/>
                <w:kern w:val="0"/>
                <w:sz w:val="24"/>
                <w:szCs w:val="24"/>
                <w14:textFill>
                  <w14:solidFill>
                    <w14:schemeClr w14:val="tx1"/>
                  </w14:solidFill>
                </w14:textFill>
              </w:rPr>
            </w:pPr>
            <w:r>
              <w:rPr>
                <w:rFonts w:eastAsia="方正黑体_GBK"/>
                <w:color w:val="000000" w:themeColor="text1"/>
                <w:kern w:val="0"/>
                <w:sz w:val="24"/>
                <w:szCs w:val="24"/>
                <w14:textFill>
                  <w14:solidFill>
                    <w14:schemeClr w14:val="tx1"/>
                  </w14:solidFill>
                </w14:textFill>
              </w:rPr>
              <w:t>2022年目标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24"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地区生产总值增速</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6</w:t>
            </w:r>
            <w:r>
              <w:rPr>
                <w:rFonts w:hint="eastAsia" w:eastAsia="方正仿宋_GBK"/>
                <w:color w:val="000000" w:themeColor="text1"/>
                <w:kern w:val="0"/>
                <w:szCs w:val="21"/>
                <w14:textFill>
                  <w14:solidFill>
                    <w14:schemeClr w14:val="tx1"/>
                  </w14:solidFill>
                </w14:textFill>
              </w:rPr>
              <w:t>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293"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2</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人均地区生产总值</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（万元）</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08"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3</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全员劳动生产率</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（万元/人）</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293"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4</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规上工业增加值增速</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5</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固定资产投资增速</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6</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社会消费品零售总额增速</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90"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7</w:t>
            </w:r>
          </w:p>
        </w:tc>
        <w:tc>
          <w:tcPr>
            <w:tcW w:w="3518" w:type="dxa"/>
            <w:vAlign w:val="center"/>
          </w:tcPr>
          <w:p>
            <w:pPr>
              <w:spacing w:line="0" w:lineRule="atLeas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战略性新兴制造业产值占规上工业总产值比重</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8</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服务业增加值增速</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hint="eastAsia" w:eastAsia="方正仿宋_GBK"/>
                <w:color w:val="000000" w:themeColor="text1"/>
                <w:kern w:val="0"/>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9</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数字产业增加值占地区生产总值比重</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10</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文化产业增加值占地区生产总值比重</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04"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11</w:t>
            </w:r>
          </w:p>
        </w:tc>
        <w:tc>
          <w:tcPr>
            <w:tcW w:w="3518" w:type="dxa"/>
            <w:vAlign w:val="center"/>
          </w:tcPr>
          <w:p>
            <w:pPr>
              <w:spacing w:line="0" w:lineRule="atLeas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研究与试验发展支出占地区生产总值比重</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4左右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12</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万人发明专利拥有量</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（件）</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76"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13</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人民币存贷款余额增速</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14</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进出口总额增速</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04"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15</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实际利用外资</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（亿美元）</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完成市级下达任务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16</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民营经济市场主体</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（家）</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17</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民营经济增加值增速</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18</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一般公共预算收入增速</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19</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单位地区生产总值能源消耗降低</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约束性</w:t>
            </w:r>
          </w:p>
        </w:tc>
        <w:tc>
          <w:tcPr>
            <w:tcW w:w="1607" w:type="dxa"/>
            <w:vAlign w:val="center"/>
          </w:tcPr>
          <w:p>
            <w:pPr>
              <w:spacing w:line="400" w:lineRule="exact"/>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完成市级下达任务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20</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单位地区生产总值二氧化碳排放降低</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约束性</w:t>
            </w:r>
          </w:p>
        </w:tc>
        <w:tc>
          <w:tcPr>
            <w:tcW w:w="1607" w:type="dxa"/>
            <w:vAlign w:val="center"/>
          </w:tcPr>
          <w:p>
            <w:pPr>
              <w:spacing w:line="400" w:lineRule="exact"/>
              <w:jc w:val="center"/>
              <w:rPr>
                <w:rFonts w:eastAsia="方正仿宋_GBK"/>
                <w:color w:val="000000" w:themeColor="text1"/>
                <w:kern w:val="0"/>
                <w:sz w:val="18"/>
                <w:szCs w:val="18"/>
                <w14:textFill>
                  <w14:solidFill>
                    <w14:schemeClr w14:val="tx1"/>
                  </w14:solidFill>
                </w14:textFill>
              </w:rPr>
            </w:pPr>
            <w:r>
              <w:rPr>
                <w:rFonts w:eastAsia="方正仿宋_GBK"/>
                <w:color w:val="000000" w:themeColor="text1"/>
                <w:kern w:val="0"/>
                <w:sz w:val="18"/>
                <w:szCs w:val="18"/>
                <w14:textFill>
                  <w14:solidFill>
                    <w14:schemeClr w14:val="tx1"/>
                  </w14:solidFill>
                </w14:textFill>
              </w:rPr>
              <w:t>完成市级下达任务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21</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国家考核断面水质优良率</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约束性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04"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22</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环境空气质量优良天数</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（天）</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约束性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 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35"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23</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森林覆盖率</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约束性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21"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24</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人均公园绿地面积</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（平方米）</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约束性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≥24.83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28"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25</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建成区路网密度</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（公里/平方公里）</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26</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全区居民人均可支配收入增速</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27</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城镇新增就业人数</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（人）</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28</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每千名老人养老床位数</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（张）</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04"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29</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每千人口拥有3岁以下婴幼儿托位数</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（个）</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210"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30</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每千人口拥有执业（助理）医师数</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（人）</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预期性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7"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31</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公办园在园幼儿人数占比</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约束性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29" w:hRule="atLeast"/>
          <w:jc w:val="center"/>
        </w:trPr>
        <w:tc>
          <w:tcPr>
            <w:tcW w:w="693"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32</w:t>
            </w:r>
          </w:p>
        </w:tc>
        <w:tc>
          <w:tcPr>
            <w:tcW w:w="3518" w:type="dxa"/>
            <w:vAlign w:val="center"/>
          </w:tcPr>
          <w:p>
            <w:pPr>
              <w:spacing w:line="400" w:lineRule="exact"/>
              <w:jc w:val="left"/>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安全事故死亡人数</w:t>
            </w:r>
          </w:p>
        </w:tc>
        <w:tc>
          <w:tcPr>
            <w:tcW w:w="1800"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（人）</w:t>
            </w:r>
          </w:p>
        </w:tc>
        <w:tc>
          <w:tcPr>
            <w:tcW w:w="1081"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约束性</w:t>
            </w:r>
          </w:p>
        </w:tc>
        <w:tc>
          <w:tcPr>
            <w:tcW w:w="1607" w:type="dxa"/>
            <w:vAlign w:val="center"/>
          </w:tcPr>
          <w:p>
            <w:pPr>
              <w:spacing w:line="400" w:lineRule="exact"/>
              <w:jc w:val="center"/>
              <w:rPr>
                <w:rFonts w:eastAsia="方正仿宋_GBK"/>
                <w:color w:val="000000" w:themeColor="text1"/>
                <w:kern w:val="0"/>
                <w:szCs w:val="21"/>
                <w14:textFill>
                  <w14:solidFill>
                    <w14:schemeClr w14:val="tx1"/>
                  </w14:solidFill>
                </w14:textFill>
              </w:rPr>
            </w:pPr>
            <w:r>
              <w:rPr>
                <w:rFonts w:eastAsia="方正仿宋_GBK"/>
                <w:color w:val="000000" w:themeColor="text1"/>
                <w:kern w:val="0"/>
                <w:szCs w:val="21"/>
                <w14:textFill>
                  <w14:solidFill>
                    <w14:schemeClr w14:val="tx1"/>
                  </w14:solidFill>
                </w14:textFill>
              </w:rPr>
              <w:t>≤16</w:t>
            </w:r>
          </w:p>
        </w:tc>
      </w:tr>
    </w:tbl>
    <w:p>
      <w:pPr>
        <w:spacing w:line="300" w:lineRule="exact"/>
        <w:ind w:left="1050" w:leftChars="200" w:hanging="630" w:hangingChars="300"/>
        <w:jc w:val="left"/>
        <w:rPr>
          <w:rFonts w:eastAsia="方正仿宋_GBK"/>
          <w:color w:val="000000" w:themeColor="text1"/>
          <w:szCs w:val="21"/>
          <w14:textFill>
            <w14:solidFill>
              <w14:schemeClr w14:val="tx1"/>
            </w14:solidFill>
          </w14:textFill>
        </w:rPr>
      </w:pPr>
      <w:r>
        <w:rPr>
          <w:rFonts w:eastAsia="方正仿宋_GBK"/>
          <w:color w:val="000000" w:themeColor="text1"/>
          <w:szCs w:val="21"/>
          <w14:textFill>
            <w14:solidFill>
              <w14:schemeClr w14:val="tx1"/>
            </w14:solidFill>
          </w14:textFill>
        </w:rPr>
        <w:t>备注：</w:t>
      </w:r>
      <w:r>
        <w:rPr>
          <w:rFonts w:hint="eastAsia" w:eastAsia="方正仿宋_GBK"/>
          <w:color w:val="000000" w:themeColor="text1"/>
          <w:szCs w:val="21"/>
          <w14:textFill>
            <w14:solidFill>
              <w14:schemeClr w14:val="tx1"/>
            </w14:solidFill>
          </w14:textFill>
        </w:rPr>
        <w:t>人均地区生产总值、全员劳动生产率、每千人口拥有3岁以下婴幼儿托位数、每千人口拥有执业（助理）医师数指标按照七人普后人口口径计算。</w:t>
      </w:r>
    </w:p>
    <w:p>
      <w:pPr>
        <w:spacing w:line="594" w:lineRule="exact"/>
        <w:ind w:firstLine="643" w:firstLineChars="200"/>
        <w:rPr>
          <w:rFonts w:eastAsia="方正楷体_GBK"/>
          <w:b/>
          <w:bCs/>
          <w:color w:val="000000" w:themeColor="text1"/>
          <w:kern w:val="0"/>
          <w:sz w:val="32"/>
          <w:szCs w:val="32"/>
          <w14:textFill>
            <w14:solidFill>
              <w14:schemeClr w14:val="tx1"/>
            </w14:solidFill>
          </w14:textFill>
        </w:rPr>
      </w:pPr>
      <w:r>
        <w:rPr>
          <w:rFonts w:eastAsia="方正楷体_GBK"/>
          <w:b/>
          <w:bCs/>
          <w:color w:val="000000" w:themeColor="text1"/>
          <w:kern w:val="0"/>
          <w:sz w:val="32"/>
          <w:szCs w:val="32"/>
          <w14:textFill>
            <w14:solidFill>
              <w14:schemeClr w14:val="tx1"/>
            </w14:solidFill>
          </w14:textFill>
        </w:rPr>
        <w:t>（二）重点项目安排</w:t>
      </w:r>
    </w:p>
    <w:p>
      <w:pPr>
        <w:spacing w:line="594"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2022年全区</w:t>
      </w:r>
      <w:r>
        <w:rPr>
          <w:rFonts w:hint="eastAsia" w:eastAsia="方正仿宋_GBK"/>
          <w:color w:val="000000" w:themeColor="text1"/>
          <w:kern w:val="0"/>
          <w:sz w:val="32"/>
          <w:szCs w:val="32"/>
          <w14:textFill>
            <w14:solidFill>
              <w14:schemeClr w14:val="tx1"/>
            </w14:solidFill>
          </w14:textFill>
        </w:rPr>
        <w:t>拟</w:t>
      </w:r>
      <w:r>
        <w:rPr>
          <w:rFonts w:eastAsia="方正仿宋_GBK"/>
          <w:color w:val="000000" w:themeColor="text1"/>
          <w:kern w:val="0"/>
          <w:sz w:val="32"/>
          <w:szCs w:val="32"/>
          <w14:textFill>
            <w14:solidFill>
              <w14:schemeClr w14:val="tx1"/>
            </w14:solidFill>
          </w14:textFill>
        </w:rPr>
        <w:t>实施建设项目</w:t>
      </w:r>
      <w:r>
        <w:rPr>
          <w:rFonts w:hint="eastAsia" w:eastAsia="方正仿宋_GBK"/>
          <w:color w:val="000000" w:themeColor="text1"/>
          <w:kern w:val="0"/>
          <w:sz w:val="32"/>
          <w:szCs w:val="32"/>
          <w14:textFill>
            <w14:solidFill>
              <w14:schemeClr w14:val="tx1"/>
            </w14:solidFill>
          </w14:textFill>
        </w:rPr>
        <w:t>231</w:t>
      </w:r>
      <w:r>
        <w:rPr>
          <w:rFonts w:eastAsia="方正仿宋_GBK"/>
          <w:color w:val="000000" w:themeColor="text1"/>
          <w:kern w:val="0"/>
          <w:sz w:val="32"/>
          <w:szCs w:val="32"/>
          <w14:textFill>
            <w14:solidFill>
              <w14:schemeClr w14:val="tx1"/>
            </w14:solidFill>
          </w14:textFill>
        </w:rPr>
        <w:t>个，总投资1872</w:t>
      </w:r>
      <w:r>
        <w:rPr>
          <w:rFonts w:hint="eastAsia" w:eastAsia="方正仿宋_GBK"/>
          <w:color w:val="000000" w:themeColor="text1"/>
          <w:kern w:val="0"/>
          <w:sz w:val="32"/>
          <w:szCs w:val="32"/>
          <w14:textFill>
            <w14:solidFill>
              <w14:schemeClr w14:val="tx1"/>
            </w14:solidFill>
          </w14:textFill>
        </w:rPr>
        <w:t>.2</w:t>
      </w:r>
      <w:r>
        <w:rPr>
          <w:rFonts w:eastAsia="方正仿宋_GBK"/>
          <w:color w:val="000000" w:themeColor="text1"/>
          <w:kern w:val="0"/>
          <w:sz w:val="32"/>
          <w:szCs w:val="32"/>
          <w14:textFill>
            <w14:solidFill>
              <w14:schemeClr w14:val="tx1"/>
            </w14:solidFill>
          </w14:textFill>
        </w:rPr>
        <w:t>亿元，年度计划投资20</w:t>
      </w:r>
      <w:r>
        <w:rPr>
          <w:rFonts w:hint="eastAsia" w:eastAsia="方正仿宋_GBK"/>
          <w:color w:val="000000" w:themeColor="text1"/>
          <w:kern w:val="0"/>
          <w:sz w:val="32"/>
          <w:szCs w:val="32"/>
          <w14:textFill>
            <w14:solidFill>
              <w14:schemeClr w14:val="tx1"/>
            </w14:solidFill>
          </w14:textFill>
        </w:rPr>
        <w:t>9</w:t>
      </w:r>
      <w:r>
        <w:rPr>
          <w:rFonts w:eastAsia="方正仿宋_GBK"/>
          <w:color w:val="000000" w:themeColor="text1"/>
          <w:kern w:val="0"/>
          <w:sz w:val="32"/>
          <w:szCs w:val="32"/>
          <w14:textFill>
            <w14:solidFill>
              <w14:schemeClr w14:val="tx1"/>
            </w14:solidFill>
          </w14:textFill>
        </w:rPr>
        <w:t>亿元，其中市级投资项目</w:t>
      </w:r>
      <w:r>
        <w:rPr>
          <w:rFonts w:hint="eastAsia" w:eastAsia="方正仿宋_GBK"/>
          <w:color w:val="000000" w:themeColor="text1"/>
          <w:kern w:val="0"/>
          <w:sz w:val="32"/>
          <w:szCs w:val="32"/>
          <w14:textFill>
            <w14:solidFill>
              <w14:schemeClr w14:val="tx1"/>
            </w14:solidFill>
          </w14:textFill>
        </w:rPr>
        <w:t>49</w:t>
      </w:r>
      <w:r>
        <w:rPr>
          <w:rFonts w:eastAsia="方正仿宋_GBK"/>
          <w:color w:val="000000" w:themeColor="text1"/>
          <w:kern w:val="0"/>
          <w:sz w:val="32"/>
          <w:szCs w:val="32"/>
          <w14:textFill>
            <w14:solidFill>
              <w14:schemeClr w14:val="tx1"/>
            </w14:solidFill>
          </w14:textFill>
        </w:rPr>
        <w:t>个、计划投资31.9亿元</w:t>
      </w:r>
      <w:bookmarkStart w:id="3" w:name="OLE_LINK5"/>
      <w:r>
        <w:rPr>
          <w:rFonts w:hint="eastAsia" w:eastAsia="方正仿宋_GBK"/>
          <w:color w:val="000000" w:themeColor="text1"/>
          <w:kern w:val="0"/>
          <w:sz w:val="32"/>
          <w:szCs w:val="32"/>
          <w14:textFill>
            <w14:solidFill>
              <w14:schemeClr w14:val="tx1"/>
            </w14:solidFill>
          </w14:textFill>
        </w:rPr>
        <w:t>；</w:t>
      </w:r>
      <w:r>
        <w:rPr>
          <w:rFonts w:eastAsia="方正仿宋_GBK"/>
          <w:color w:val="000000" w:themeColor="text1"/>
          <w:kern w:val="0"/>
          <w:sz w:val="32"/>
          <w:szCs w:val="32"/>
          <w14:textFill>
            <w14:solidFill>
              <w14:schemeClr w14:val="tx1"/>
            </w14:solidFill>
          </w14:textFill>
        </w:rPr>
        <w:t>区政府投资项目（含建桥公司、大晟公司</w:t>
      </w:r>
      <w:r>
        <w:rPr>
          <w:rFonts w:hint="eastAsia" w:eastAsia="方正仿宋_GBK"/>
          <w:color w:val="000000" w:themeColor="text1"/>
          <w:kern w:val="0"/>
          <w:sz w:val="32"/>
          <w:szCs w:val="32"/>
          <w14:textFill>
            <w14:solidFill>
              <w14:schemeClr w14:val="tx1"/>
            </w14:solidFill>
          </w14:textFill>
        </w:rPr>
        <w:t>融资实施</w:t>
      </w:r>
      <w:r>
        <w:rPr>
          <w:rFonts w:eastAsia="方正仿宋_GBK"/>
          <w:color w:val="000000" w:themeColor="text1"/>
          <w:kern w:val="0"/>
          <w:sz w:val="32"/>
          <w:szCs w:val="32"/>
          <w14:textFill>
            <w14:solidFill>
              <w14:schemeClr w14:val="tx1"/>
            </w14:solidFill>
          </w14:textFill>
        </w:rPr>
        <w:t>项目）</w:t>
      </w:r>
      <w:r>
        <w:rPr>
          <w:rFonts w:hint="eastAsia" w:eastAsia="方正仿宋_GBK"/>
          <w:color w:val="000000" w:themeColor="text1"/>
          <w:kern w:val="0"/>
          <w:sz w:val="32"/>
          <w:szCs w:val="32"/>
          <w14:textFill>
            <w14:solidFill>
              <w14:schemeClr w14:val="tx1"/>
            </w14:solidFill>
          </w14:textFill>
        </w:rPr>
        <w:t>123</w:t>
      </w:r>
      <w:r>
        <w:rPr>
          <w:rFonts w:eastAsia="方正仿宋_GBK"/>
          <w:color w:val="000000" w:themeColor="text1"/>
          <w:kern w:val="0"/>
          <w:sz w:val="32"/>
          <w:szCs w:val="32"/>
          <w14:textFill>
            <w14:solidFill>
              <w14:schemeClr w14:val="tx1"/>
            </w14:solidFill>
          </w14:textFill>
        </w:rPr>
        <w:t>个</w:t>
      </w:r>
      <w:bookmarkEnd w:id="3"/>
      <w:r>
        <w:rPr>
          <w:rFonts w:eastAsia="方正仿宋_GBK"/>
          <w:color w:val="000000" w:themeColor="text1"/>
          <w:kern w:val="0"/>
          <w:sz w:val="32"/>
          <w:szCs w:val="32"/>
          <w14:textFill>
            <w14:solidFill>
              <w14:schemeClr w14:val="tx1"/>
            </w14:solidFill>
          </w14:textFill>
        </w:rPr>
        <w:t>、计划投资46.</w:t>
      </w:r>
      <w:r>
        <w:rPr>
          <w:rFonts w:hint="eastAsia" w:eastAsia="方正仿宋_GBK"/>
          <w:color w:val="000000" w:themeColor="text1"/>
          <w:kern w:val="0"/>
          <w:sz w:val="32"/>
          <w:szCs w:val="32"/>
          <w14:textFill>
            <w14:solidFill>
              <w14:schemeClr w14:val="tx1"/>
            </w14:solidFill>
          </w14:textFill>
        </w:rPr>
        <w:t>6</w:t>
      </w:r>
      <w:r>
        <w:rPr>
          <w:rFonts w:eastAsia="方正仿宋_GBK"/>
          <w:color w:val="000000" w:themeColor="text1"/>
          <w:kern w:val="0"/>
          <w:sz w:val="32"/>
          <w:szCs w:val="32"/>
          <w14:textFill>
            <w14:solidFill>
              <w14:schemeClr w14:val="tx1"/>
            </w14:solidFill>
          </w14:textFill>
        </w:rPr>
        <w:t>亿元</w:t>
      </w:r>
      <w:r>
        <w:rPr>
          <w:rFonts w:hint="eastAsia" w:eastAsia="方正仿宋_GBK"/>
          <w:color w:val="000000" w:themeColor="text1"/>
          <w:kern w:val="0"/>
          <w:sz w:val="32"/>
          <w:szCs w:val="32"/>
          <w14:textFill>
            <w14:solidFill>
              <w14:schemeClr w14:val="tx1"/>
            </w14:solidFill>
          </w14:textFill>
        </w:rPr>
        <w:t>；社会</w:t>
      </w:r>
      <w:r>
        <w:rPr>
          <w:rFonts w:eastAsia="方正仿宋_GBK"/>
          <w:color w:val="000000" w:themeColor="text1"/>
          <w:kern w:val="0"/>
          <w:sz w:val="32"/>
          <w:szCs w:val="32"/>
          <w14:textFill>
            <w14:solidFill>
              <w14:schemeClr w14:val="tx1"/>
            </w14:solidFill>
          </w14:textFill>
        </w:rPr>
        <w:t>投资项目59个、计划投资130.5亿元。按行业分：产业项目有38个，计划投资27.2亿元，占13%；基础设施项目有107个，计划投资47.4亿元，占22.7%；社会事业项目有</w:t>
      </w:r>
      <w:r>
        <w:rPr>
          <w:rFonts w:hint="eastAsia" w:eastAsia="方正仿宋_GBK"/>
          <w:color w:val="000000" w:themeColor="text1"/>
          <w:kern w:val="0"/>
          <w:sz w:val="32"/>
          <w:szCs w:val="32"/>
          <w14:textFill>
            <w14:solidFill>
              <w14:schemeClr w14:val="tx1"/>
            </w14:solidFill>
          </w14:textFill>
        </w:rPr>
        <w:t>61</w:t>
      </w:r>
      <w:r>
        <w:rPr>
          <w:rFonts w:eastAsia="方正仿宋_GBK"/>
          <w:color w:val="000000" w:themeColor="text1"/>
          <w:kern w:val="0"/>
          <w:sz w:val="32"/>
          <w:szCs w:val="32"/>
          <w14:textFill>
            <w14:solidFill>
              <w14:schemeClr w14:val="tx1"/>
            </w14:solidFill>
          </w14:textFill>
        </w:rPr>
        <w:t>个，计划投资24.</w:t>
      </w:r>
      <w:r>
        <w:rPr>
          <w:rFonts w:hint="eastAsia" w:eastAsia="方正仿宋_GBK"/>
          <w:color w:val="000000" w:themeColor="text1"/>
          <w:kern w:val="0"/>
          <w:sz w:val="32"/>
          <w:szCs w:val="32"/>
          <w14:textFill>
            <w14:solidFill>
              <w14:schemeClr w14:val="tx1"/>
            </w14:solidFill>
          </w14:textFill>
        </w:rPr>
        <w:t>9</w:t>
      </w:r>
      <w:r>
        <w:rPr>
          <w:rFonts w:eastAsia="方正仿宋_GBK"/>
          <w:color w:val="000000" w:themeColor="text1"/>
          <w:kern w:val="0"/>
          <w:sz w:val="32"/>
          <w:szCs w:val="32"/>
          <w14:textFill>
            <w14:solidFill>
              <w14:schemeClr w14:val="tx1"/>
            </w14:solidFill>
          </w14:textFill>
        </w:rPr>
        <w:t>亿元，占11.</w:t>
      </w:r>
      <w:r>
        <w:rPr>
          <w:rFonts w:hint="eastAsia" w:eastAsia="方正仿宋_GBK"/>
          <w:color w:val="000000" w:themeColor="text1"/>
          <w:kern w:val="0"/>
          <w:sz w:val="32"/>
          <w:szCs w:val="32"/>
          <w14:textFill>
            <w14:solidFill>
              <w14:schemeClr w14:val="tx1"/>
            </w14:solidFill>
          </w14:textFill>
        </w:rPr>
        <w:t>9</w:t>
      </w:r>
      <w:r>
        <w:rPr>
          <w:rFonts w:eastAsia="方正仿宋_GBK"/>
          <w:color w:val="000000" w:themeColor="text1"/>
          <w:kern w:val="0"/>
          <w:sz w:val="32"/>
          <w:szCs w:val="32"/>
          <w14:textFill>
            <w14:solidFill>
              <w14:schemeClr w14:val="tx1"/>
            </w14:solidFill>
          </w14:textFill>
        </w:rPr>
        <w:t>%；土地开发项目有25个，计划投资10</w:t>
      </w:r>
      <w:r>
        <w:rPr>
          <w:rFonts w:hint="eastAsia" w:eastAsia="方正仿宋_GBK"/>
          <w:color w:val="000000" w:themeColor="text1"/>
          <w:kern w:val="0"/>
          <w:sz w:val="32"/>
          <w:szCs w:val="32"/>
          <w14:textFill>
            <w14:solidFill>
              <w14:schemeClr w14:val="tx1"/>
            </w14:solidFill>
          </w14:textFill>
        </w:rPr>
        <w:t>9</w:t>
      </w:r>
      <w:r>
        <w:rPr>
          <w:rFonts w:eastAsia="方正仿宋_GBK"/>
          <w:color w:val="000000" w:themeColor="text1"/>
          <w:kern w:val="0"/>
          <w:sz w:val="32"/>
          <w:szCs w:val="32"/>
          <w14:textFill>
            <w14:solidFill>
              <w14:schemeClr w14:val="tx1"/>
            </w14:solidFill>
          </w14:textFill>
        </w:rPr>
        <w:t>.5亿元，占52.4%。同时，启动前期项目</w:t>
      </w:r>
      <w:r>
        <w:rPr>
          <w:rFonts w:hint="eastAsia" w:eastAsia="方正仿宋_GBK"/>
          <w:color w:val="000000" w:themeColor="text1"/>
          <w:kern w:val="0"/>
          <w:sz w:val="32"/>
          <w:szCs w:val="32"/>
          <w14:textFill>
            <w14:solidFill>
              <w14:schemeClr w14:val="tx1"/>
            </w14:solidFill>
          </w14:textFill>
        </w:rPr>
        <w:t>88</w:t>
      </w:r>
      <w:r>
        <w:rPr>
          <w:rFonts w:eastAsia="方正仿宋_GBK"/>
          <w:color w:val="000000" w:themeColor="text1"/>
          <w:kern w:val="0"/>
          <w:sz w:val="32"/>
          <w:szCs w:val="32"/>
          <w14:textFill>
            <w14:solidFill>
              <w14:schemeClr w14:val="tx1"/>
            </w14:solidFill>
          </w14:textFill>
        </w:rPr>
        <w:t>个，总投资475.6亿元。年度工作中，将加强“六个一批”项目调度，提速重点项目建设，加快推动前期项目开工，加大项目谋划储备，积极扩大投资增量，不断做大投资规模，确保全年</w:t>
      </w:r>
      <w:r>
        <w:rPr>
          <w:rFonts w:hint="eastAsia" w:eastAsia="方正仿宋_GBK"/>
          <w:color w:val="000000" w:themeColor="text1"/>
          <w:kern w:val="0"/>
          <w:sz w:val="32"/>
          <w:szCs w:val="32"/>
          <w14:textFill>
            <w14:solidFill>
              <w14:schemeClr w14:val="tx1"/>
            </w14:solidFill>
          </w14:textFill>
        </w:rPr>
        <w:t>全社会</w:t>
      </w:r>
      <w:r>
        <w:rPr>
          <w:rFonts w:eastAsia="方正仿宋_GBK"/>
          <w:color w:val="000000" w:themeColor="text1"/>
          <w:kern w:val="0"/>
          <w:sz w:val="32"/>
          <w:szCs w:val="32"/>
          <w14:textFill>
            <w14:solidFill>
              <w14:schemeClr w14:val="tx1"/>
            </w14:solidFill>
          </w14:textFill>
        </w:rPr>
        <w:t>固定资产投资同比增长7%。</w:t>
      </w:r>
    </w:p>
    <w:p>
      <w:pPr>
        <w:spacing w:line="594" w:lineRule="exact"/>
        <w:ind w:firstLine="640" w:firstLineChars="200"/>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三、2022年重点工作</w:t>
      </w:r>
    </w:p>
    <w:p>
      <w:pPr>
        <w:spacing w:line="594"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为确保国民经济和社会发展达到预期目标，2022年要坚持以习近平新时代中国特色社会主义思想为指导，</w:t>
      </w:r>
      <w:r>
        <w:rPr>
          <w:rFonts w:eastAsia="方正仿宋_GBK"/>
          <w:color w:val="000000"/>
          <w:kern w:val="0"/>
          <w:sz w:val="32"/>
          <w:szCs w:val="32"/>
        </w:rPr>
        <w:t>牢牢把握稳中求进工作总基调，</w:t>
      </w:r>
      <w:r>
        <w:rPr>
          <w:rFonts w:eastAsia="方正仿宋_GBK"/>
          <w:color w:val="000000" w:themeColor="text1"/>
          <w:kern w:val="0"/>
          <w:sz w:val="32"/>
          <w:szCs w:val="32"/>
          <w14:textFill>
            <w14:solidFill>
              <w14:schemeClr w14:val="tx1"/>
            </w14:solidFill>
          </w14:textFill>
        </w:rPr>
        <w:t>立足新发展阶段，完整、准确、全面贯彻新发展理念，服务和融入新发展格局，认真</w:t>
      </w:r>
      <w:r>
        <w:rPr>
          <w:rFonts w:eastAsia="方正仿宋_GBK"/>
          <w:color w:val="000000"/>
          <w:kern w:val="0"/>
          <w:sz w:val="32"/>
          <w:szCs w:val="32"/>
        </w:rPr>
        <w:t>落实中国共产党大渡口区第十三次代表大会决策部署，抢抓机遇、锐意进取，奋力建设“公园大渡口、多彩艺术湾”，推动经济社会发展取得新成效、开创新气象，以优异的成绩迎接党的二十大</w:t>
      </w:r>
      <w:r>
        <w:rPr>
          <w:rFonts w:hint="eastAsia" w:eastAsia="方正仿宋_GBK"/>
          <w:color w:val="000000"/>
          <w:kern w:val="0"/>
          <w:sz w:val="32"/>
          <w:szCs w:val="32"/>
        </w:rPr>
        <w:t>胜利</w:t>
      </w:r>
      <w:r>
        <w:rPr>
          <w:rFonts w:eastAsia="方正仿宋_GBK"/>
          <w:color w:val="000000"/>
          <w:kern w:val="0"/>
          <w:sz w:val="32"/>
          <w:szCs w:val="32"/>
        </w:rPr>
        <w:t>召开。重点组织实施好六个方面工作：</w:t>
      </w:r>
    </w:p>
    <w:p>
      <w:pPr>
        <w:spacing w:line="594" w:lineRule="exact"/>
        <w:ind w:firstLine="643" w:firstLineChars="200"/>
        <w:rPr>
          <w:rFonts w:eastAsia="方正楷体_GBK"/>
          <w:b/>
          <w:bCs/>
          <w:color w:val="000000"/>
          <w:sz w:val="32"/>
          <w:szCs w:val="32"/>
          <w:shd w:val="clear" w:color="auto" w:fill="FFFFFF"/>
        </w:rPr>
      </w:pPr>
      <w:r>
        <w:rPr>
          <w:rFonts w:eastAsia="方正楷体_GBK"/>
          <w:b/>
          <w:bCs/>
          <w:color w:val="000000"/>
          <w:sz w:val="32"/>
          <w:szCs w:val="32"/>
          <w:shd w:val="clear" w:color="auto" w:fill="FFFFFF"/>
        </w:rPr>
        <w:t>（一）提速重点片区开发，聚力</w:t>
      </w:r>
      <w:r>
        <w:rPr>
          <w:rFonts w:hint="eastAsia" w:eastAsia="方正楷体_GBK"/>
          <w:b/>
          <w:bCs/>
          <w:color w:val="000000"/>
          <w:sz w:val="32"/>
          <w:szCs w:val="32"/>
          <w:shd w:val="clear" w:color="auto" w:fill="FFFFFF"/>
        </w:rPr>
        <w:t>推动城市能级新提升</w:t>
      </w:r>
    </w:p>
    <w:p>
      <w:pPr>
        <w:tabs>
          <w:tab w:val="left" w:pos="1785"/>
          <w:tab w:val="left" w:pos="1995"/>
          <w:tab w:val="left" w:pos="6825"/>
        </w:tabs>
        <w:spacing w:line="594" w:lineRule="exact"/>
        <w:ind w:firstLine="640" w:firstLineChars="200"/>
        <w:rPr>
          <w:rFonts w:eastAsia="方正仿宋_GBK"/>
          <w:sz w:val="32"/>
          <w:szCs w:val="32"/>
        </w:rPr>
      </w:pPr>
      <w:r>
        <w:rPr>
          <w:rFonts w:eastAsia="方正仿宋_GBK"/>
          <w:color w:val="000000"/>
          <w:sz w:val="32"/>
          <w:szCs w:val="32"/>
          <w:shd w:val="clear" w:color="auto" w:fill="FFFFFF"/>
        </w:rPr>
        <w:t xml:space="preserve">1. </w:t>
      </w:r>
      <w:r>
        <w:rPr>
          <w:rFonts w:hint="eastAsia" w:ascii="方正楷体_GBK" w:eastAsia="方正楷体_GBK"/>
          <w:color w:val="000000"/>
          <w:sz w:val="32"/>
          <w:szCs w:val="32"/>
          <w:shd w:val="clear" w:color="auto" w:fill="FFFFFF"/>
        </w:rPr>
        <w:t>做靓“艺术湾”重庆新名片。</w:t>
      </w:r>
      <w:r>
        <w:rPr>
          <w:rFonts w:eastAsia="方正仿宋_GBK"/>
          <w:color w:val="000000" w:themeColor="text1"/>
          <w:kern w:val="0"/>
          <w:sz w:val="32"/>
          <w:szCs w:val="32"/>
          <w14:textFill>
            <w14:solidFill>
              <w14:schemeClr w14:val="tx1"/>
            </w14:solidFill>
          </w14:textFill>
        </w:rPr>
        <w:t>按照“国际化、绿色化、智能化、人文化”发展要求，高标准推进长江文化艺术湾区建设，加快文体旅融合发展。</w:t>
      </w:r>
      <w:r>
        <w:rPr>
          <w:rFonts w:eastAsia="方正仿宋_GBK"/>
          <w:color w:val="000000"/>
          <w:kern w:val="0"/>
          <w:sz w:val="32"/>
          <w:szCs w:val="32"/>
        </w:rPr>
        <w:t>完成钓鱼嘴音乐半岛土地征收，力促长江音乐厅</w:t>
      </w:r>
      <w:r>
        <w:rPr>
          <w:rFonts w:hint="eastAsia" w:eastAsia="方正仿宋_GBK"/>
          <w:color w:val="000000"/>
          <w:kern w:val="0"/>
          <w:sz w:val="32"/>
          <w:szCs w:val="32"/>
        </w:rPr>
        <w:t>主体基本建成</w:t>
      </w:r>
      <w:r>
        <w:rPr>
          <w:rFonts w:eastAsia="方正仿宋_GBK"/>
          <w:color w:val="000000"/>
          <w:kern w:val="0"/>
          <w:sz w:val="32"/>
          <w:szCs w:val="32"/>
        </w:rPr>
        <w:t>、长江音乐学院</w:t>
      </w:r>
      <w:r>
        <w:rPr>
          <w:rFonts w:hint="eastAsia" w:eastAsia="方正仿宋_GBK"/>
          <w:color w:val="000000"/>
          <w:kern w:val="0"/>
          <w:sz w:val="32"/>
          <w:szCs w:val="32"/>
        </w:rPr>
        <w:t>基础完工</w:t>
      </w:r>
      <w:r>
        <w:rPr>
          <w:rFonts w:eastAsia="方正仿宋_GBK"/>
          <w:color w:val="000000"/>
          <w:kern w:val="0"/>
          <w:sz w:val="32"/>
          <w:szCs w:val="32"/>
        </w:rPr>
        <w:t>，推动宝武</w:t>
      </w:r>
      <w:r>
        <w:rPr>
          <w:rFonts w:hint="eastAsia" w:eastAsia="方正仿宋_GBK"/>
          <w:color w:val="000000"/>
          <w:kern w:val="0"/>
          <w:sz w:val="32"/>
          <w:szCs w:val="32"/>
        </w:rPr>
        <w:t>集团</w:t>
      </w:r>
      <w:r>
        <w:rPr>
          <w:rFonts w:eastAsia="方正仿宋_GBK"/>
          <w:color w:val="000000"/>
          <w:kern w:val="0"/>
          <w:sz w:val="32"/>
          <w:szCs w:val="32"/>
        </w:rPr>
        <w:t>西南总部、</w:t>
      </w:r>
      <w:r>
        <w:rPr>
          <w:rFonts w:hint="eastAsia" w:eastAsia="方正仿宋_GBK"/>
          <w:color w:val="000000"/>
          <w:kern w:val="0"/>
          <w:sz w:val="32"/>
          <w:szCs w:val="32"/>
        </w:rPr>
        <w:t>茄子溪</w:t>
      </w:r>
      <w:r>
        <w:rPr>
          <w:rFonts w:eastAsia="方正仿宋_GBK"/>
          <w:color w:val="000000"/>
          <w:kern w:val="0"/>
          <w:sz w:val="32"/>
          <w:szCs w:val="32"/>
        </w:rPr>
        <w:t>长江音悦港、万吨商旅融合总部基地开工建设，</w:t>
      </w:r>
      <w:r>
        <w:rPr>
          <w:rFonts w:hint="eastAsia" w:eastAsia="方正仿宋_GBK"/>
          <w:sz w:val="32"/>
          <w:szCs w:val="32"/>
        </w:rPr>
        <w:t>加快</w:t>
      </w:r>
      <w:r>
        <w:rPr>
          <w:rFonts w:eastAsia="方正仿宋_GBK"/>
          <w:sz w:val="32"/>
          <w:szCs w:val="32"/>
        </w:rPr>
        <w:t>音乐博物馆、音乐营、音乐台、老重钢片区国际艺术交流中心、</w:t>
      </w:r>
      <w:r>
        <w:rPr>
          <w:rFonts w:eastAsia="方正仿宋_GBK"/>
          <w:kern w:val="0"/>
          <w:sz w:val="32"/>
          <w:szCs w:val="32"/>
        </w:rPr>
        <w:t>大渡村长江艺术村等项目前期工作。</w:t>
      </w:r>
      <w:r>
        <w:rPr>
          <w:rFonts w:eastAsia="方正仿宋_GBK"/>
          <w:sz w:val="32"/>
          <w:szCs w:val="32"/>
        </w:rPr>
        <w:t>提速钓鱼嘴、老重钢片区路网建设，建成钓鱼嘴音乐大道一期、</w:t>
      </w:r>
      <w:r>
        <w:rPr>
          <w:rFonts w:hint="eastAsia" w:eastAsia="方正仿宋_GBK"/>
          <w:sz w:val="32"/>
          <w:szCs w:val="32"/>
        </w:rPr>
        <w:t>重钢</w:t>
      </w:r>
      <w:r>
        <w:rPr>
          <w:rFonts w:eastAsia="方正仿宋_GBK"/>
          <w:sz w:val="32"/>
          <w:szCs w:val="32"/>
        </w:rPr>
        <w:t>南北干道、大滨路二期一段等道路，加快大滨路九滨路连接道、白居寺长江大桥西引道等道路建设，</w:t>
      </w:r>
      <w:r>
        <w:rPr>
          <w:rFonts w:eastAsia="方正仿宋_GBK"/>
          <w:kern w:val="0"/>
          <w:sz w:val="32"/>
          <w:szCs w:val="32"/>
          <w:lang w:val="zh-CN"/>
        </w:rPr>
        <w:t>启动</w:t>
      </w:r>
      <w:r>
        <w:rPr>
          <w:rFonts w:eastAsia="方正仿宋_GBK"/>
          <w:sz w:val="32"/>
          <w:szCs w:val="32"/>
        </w:rPr>
        <w:t>百花村观光缆车项目建设，</w:t>
      </w:r>
      <w:r>
        <w:rPr>
          <w:rFonts w:hint="eastAsia" w:eastAsia="方正仿宋_GBK"/>
          <w:sz w:val="32"/>
          <w:szCs w:val="32"/>
        </w:rPr>
        <w:t>建成</w:t>
      </w:r>
      <w:r>
        <w:rPr>
          <w:rFonts w:eastAsia="方正仿宋_GBK"/>
          <w:sz w:val="32"/>
          <w:szCs w:val="32"/>
        </w:rPr>
        <w:t>重钢崖线山城步道。推进</w:t>
      </w:r>
      <w:r>
        <w:rPr>
          <w:rFonts w:eastAsia="方正仿宋_GBK"/>
          <w:sz w:val="32"/>
          <w:szCs w:val="32"/>
          <w:lang w:val="zh-CN"/>
        </w:rPr>
        <w:t>公园绿地建设和滨江岸线整治，打造滨江生态景观大道</w:t>
      </w:r>
      <w:r>
        <w:rPr>
          <w:rFonts w:eastAsia="方正仿宋_GBK"/>
          <w:sz w:val="32"/>
          <w:szCs w:val="32"/>
        </w:rPr>
        <w:t>。</w:t>
      </w:r>
      <w:r>
        <w:rPr>
          <w:rFonts w:hint="eastAsia" w:eastAsia="方正仿宋_GBK"/>
          <w:sz w:val="32"/>
          <w:szCs w:val="32"/>
        </w:rPr>
        <w:t>加快</w:t>
      </w:r>
      <w:r>
        <w:rPr>
          <w:rFonts w:eastAsia="方正仿宋_GBK"/>
          <w:kern w:val="0"/>
          <w:sz w:val="32"/>
          <w:szCs w:val="32"/>
        </w:rPr>
        <w:t>培育发展音乐产业，</w:t>
      </w:r>
      <w:r>
        <w:rPr>
          <w:rFonts w:eastAsia="方正仿宋_GBK"/>
          <w:sz w:val="32"/>
          <w:szCs w:val="32"/>
        </w:rPr>
        <w:t>争取音乐产业发展市级专项扶持政策，促进音乐演艺、创作、教育、版权交易、数字音乐等多业态集聚，打造国家级音乐产业基地。促进文创、文旅、文体产业融合发展，举办城市定向赛、长江草莓音乐节</w:t>
      </w:r>
      <w:r>
        <w:rPr>
          <w:rFonts w:hint="eastAsia" w:eastAsia="方正仿宋_GBK"/>
          <w:sz w:val="32"/>
          <w:szCs w:val="32"/>
        </w:rPr>
        <w:t>、</w:t>
      </w:r>
      <w:r>
        <w:rPr>
          <w:rFonts w:eastAsia="方正仿宋_GBK"/>
          <w:sz w:val="32"/>
          <w:szCs w:val="32"/>
        </w:rPr>
        <w:t>穿越二号</w:t>
      </w:r>
      <w:bookmarkStart w:id="4" w:name="_Hlk92005484"/>
      <w:r>
        <w:rPr>
          <w:rFonts w:eastAsia="方正仿宋_GBK"/>
          <w:sz w:val="32"/>
          <w:szCs w:val="32"/>
        </w:rPr>
        <w:t>音乐节</w:t>
      </w:r>
      <w:bookmarkEnd w:id="4"/>
      <w:r>
        <w:rPr>
          <w:rFonts w:eastAsia="方正仿宋_GBK"/>
          <w:sz w:val="32"/>
          <w:szCs w:val="32"/>
        </w:rPr>
        <w:t>等文体活动，推</w:t>
      </w:r>
      <w:r>
        <w:rPr>
          <w:rFonts w:eastAsia="方正仿宋_GBK"/>
          <w:color w:val="000000"/>
          <w:kern w:val="0"/>
          <w:sz w:val="32"/>
          <w:szCs w:val="32"/>
        </w:rPr>
        <w:t>动工博馆、义渡古镇、重钢崖线等景点连线成面，做靓城市文旅品牌。</w:t>
      </w:r>
    </w:p>
    <w:p>
      <w:pPr>
        <w:tabs>
          <w:tab w:val="left" w:pos="1785"/>
          <w:tab w:val="left" w:pos="1995"/>
          <w:tab w:val="left" w:pos="6825"/>
        </w:tabs>
        <w:spacing w:line="594" w:lineRule="exact"/>
        <w:ind w:firstLine="640" w:firstLineChars="200"/>
        <w:rPr>
          <w:rFonts w:eastAsia="方正仿宋_GBK"/>
          <w:color w:val="000000"/>
          <w:kern w:val="0"/>
          <w:sz w:val="32"/>
          <w:szCs w:val="32"/>
        </w:rPr>
      </w:pPr>
      <w:r>
        <w:rPr>
          <w:rFonts w:eastAsia="方正仿宋_GBK"/>
          <w:color w:val="000000"/>
          <w:sz w:val="32"/>
          <w:szCs w:val="32"/>
          <w:shd w:val="clear" w:color="auto" w:fill="FFFFFF"/>
        </w:rPr>
        <w:t xml:space="preserve">2. </w:t>
      </w:r>
      <w:r>
        <w:rPr>
          <w:rFonts w:hint="eastAsia" w:ascii="方正楷体_GBK" w:eastAsia="方正楷体_GBK"/>
          <w:sz w:val="32"/>
          <w:szCs w:val="32"/>
        </w:rPr>
        <w:t>加快九宫庙—金桥片区核心消费带建设</w:t>
      </w:r>
      <w:r>
        <w:rPr>
          <w:rFonts w:hint="eastAsia" w:ascii="方正楷体_GBK" w:eastAsia="方正楷体_GBK"/>
          <w:color w:val="000000"/>
          <w:sz w:val="32"/>
          <w:szCs w:val="32"/>
          <w:shd w:val="clear" w:color="auto" w:fill="FFFFFF"/>
        </w:rPr>
        <w:t>。</w:t>
      </w:r>
      <w:r>
        <w:rPr>
          <w:rFonts w:hint="eastAsia" w:eastAsia="方正仿宋_GBK"/>
          <w:color w:val="000000"/>
          <w:sz w:val="32"/>
          <w:szCs w:val="32"/>
          <w:shd w:val="clear" w:color="auto" w:fill="FFFFFF"/>
        </w:rPr>
        <w:t>制定国际消费中心核心区培育建设方案，</w:t>
      </w:r>
      <w:r>
        <w:rPr>
          <w:rFonts w:eastAsia="方正仿宋_GBK"/>
          <w:color w:val="000000"/>
          <w:kern w:val="0"/>
          <w:sz w:val="32"/>
          <w:szCs w:val="32"/>
        </w:rPr>
        <w:t>联动九宫庙商圈、金桥片区打造现代化商圈，建设综合性消费地标</w:t>
      </w:r>
      <w:r>
        <w:rPr>
          <w:rFonts w:hint="eastAsia" w:eastAsia="方正仿宋_GBK"/>
          <w:color w:val="000000"/>
          <w:kern w:val="0"/>
          <w:sz w:val="32"/>
          <w:szCs w:val="32"/>
        </w:rPr>
        <w:t>。</w:t>
      </w:r>
      <w:r>
        <w:rPr>
          <w:rFonts w:eastAsia="方正仿宋_GBK"/>
          <w:color w:val="000000"/>
          <w:kern w:val="0"/>
          <w:sz w:val="32"/>
          <w:szCs w:val="32"/>
        </w:rPr>
        <w:t>编制九宫庙商圈新一轮提升</w:t>
      </w:r>
      <w:r>
        <w:rPr>
          <w:rFonts w:hint="eastAsia" w:eastAsia="方正仿宋_GBK"/>
          <w:bCs/>
          <w:sz w:val="32"/>
          <w:szCs w:val="32"/>
        </w:rPr>
        <w:t>行动计划</w:t>
      </w:r>
      <w:r>
        <w:rPr>
          <w:rFonts w:eastAsia="方正仿宋_GBK"/>
          <w:color w:val="000000"/>
          <w:kern w:val="0"/>
          <w:sz w:val="32"/>
          <w:szCs w:val="32"/>
        </w:rPr>
        <w:t>，实施步行街示范改造项目，优化商业街夜景灯光设计，推动地下空间商业化利用，完善智慧停车、智慧导购、智慧监控等智慧配套设施。推动华润万象汇</w:t>
      </w:r>
      <w:r>
        <w:rPr>
          <w:rFonts w:eastAsia="方正仿宋_GBK"/>
          <w:sz w:val="32"/>
          <w:szCs w:val="32"/>
        </w:rPr>
        <w:t>B</w:t>
      </w:r>
      <w:r>
        <w:rPr>
          <w:rFonts w:hint="eastAsia" w:eastAsia="方正仿宋_GBK"/>
          <w:sz w:val="32"/>
          <w:szCs w:val="32"/>
        </w:rPr>
        <w:t>馆</w:t>
      </w:r>
      <w:r>
        <w:rPr>
          <w:rFonts w:eastAsia="方正仿宋_GBK"/>
          <w:color w:val="000000"/>
          <w:kern w:val="0"/>
          <w:sz w:val="32"/>
          <w:szCs w:val="32"/>
        </w:rPr>
        <w:t>开业运营，</w:t>
      </w:r>
      <w:r>
        <w:rPr>
          <w:rFonts w:hint="eastAsia" w:eastAsia="方正仿宋_GBK"/>
          <w:color w:val="000000"/>
          <w:kern w:val="0"/>
          <w:sz w:val="32"/>
          <w:szCs w:val="32"/>
        </w:rPr>
        <w:t>开工建设</w:t>
      </w:r>
      <w:r>
        <w:rPr>
          <w:rFonts w:eastAsia="方正仿宋_GBK"/>
          <w:color w:val="000000"/>
          <w:kern w:val="0"/>
          <w:sz w:val="32"/>
          <w:szCs w:val="32"/>
        </w:rPr>
        <w:t>龙湖</w:t>
      </w:r>
      <w:r>
        <w:rPr>
          <w:rFonts w:hint="eastAsia" w:eastAsia="方正仿宋_GBK"/>
          <w:color w:val="000000"/>
          <w:kern w:val="0"/>
          <w:sz w:val="32"/>
          <w:szCs w:val="32"/>
        </w:rPr>
        <w:t>大渡口天街</w:t>
      </w:r>
      <w:r>
        <w:rPr>
          <w:rFonts w:eastAsia="方正仿宋_GBK"/>
          <w:color w:val="000000"/>
          <w:kern w:val="0"/>
          <w:sz w:val="32"/>
          <w:szCs w:val="32"/>
        </w:rPr>
        <w:t>，积极引进首店、概念店、体验店，发展品牌消费、体验消费等新业态。营造多功能消费场景、文化场景，完成中交丽景时光夜市、美德路风情街升级改造，推动钢城印象特色商业街开业运营。建设天安高端商务区，加快推进天安</w:t>
      </w:r>
      <w:r>
        <w:rPr>
          <w:rFonts w:hint="eastAsia" w:eastAsia="方正仿宋_GBK"/>
          <w:color w:val="000000"/>
          <w:kern w:val="0"/>
          <w:sz w:val="32"/>
          <w:szCs w:val="32"/>
        </w:rPr>
        <w:t>数码城</w:t>
      </w:r>
      <w:r>
        <w:rPr>
          <w:rFonts w:eastAsia="方正仿宋_GBK"/>
          <w:color w:val="000000"/>
          <w:kern w:val="0"/>
          <w:sz w:val="32"/>
          <w:szCs w:val="32"/>
        </w:rPr>
        <w:t>三期建设，盘活皖新大厦，推进商务楼宇整体规划招商，培育发展楼宇经济、总部经济、平台经济。</w:t>
      </w:r>
    </w:p>
    <w:p>
      <w:pPr>
        <w:spacing w:line="594" w:lineRule="exact"/>
        <w:ind w:firstLine="640" w:firstLineChars="200"/>
        <w:rPr>
          <w:rFonts w:eastAsia="方正仿宋_GBK"/>
          <w:color w:val="000000"/>
          <w:sz w:val="32"/>
          <w:szCs w:val="32"/>
        </w:rPr>
      </w:pPr>
      <w:r>
        <w:rPr>
          <w:rFonts w:eastAsia="方正仿宋_GBK"/>
          <w:color w:val="000000"/>
          <w:sz w:val="32"/>
          <w:szCs w:val="32"/>
          <w:shd w:val="clear" w:color="auto" w:fill="FFFFFF"/>
        </w:rPr>
        <w:t xml:space="preserve">3. </w:t>
      </w:r>
      <w:r>
        <w:rPr>
          <w:rFonts w:hint="eastAsia" w:ascii="方正楷体_GBK" w:eastAsia="方正楷体_GBK"/>
          <w:color w:val="000000"/>
          <w:sz w:val="32"/>
          <w:szCs w:val="32"/>
          <w:shd w:val="clear" w:color="auto" w:fill="FFFFFF"/>
        </w:rPr>
        <w:t>打造伏牛溪活力生态宜居新城。</w:t>
      </w:r>
      <w:r>
        <w:rPr>
          <w:rFonts w:hint="eastAsia" w:eastAsia="方正仿宋_GBK"/>
          <w:kern w:val="0"/>
          <w:sz w:val="32"/>
          <w:szCs w:val="32"/>
          <w:lang w:val="zh-CN"/>
        </w:rPr>
        <w:t>加快</w:t>
      </w:r>
      <w:r>
        <w:rPr>
          <w:rFonts w:hint="eastAsia" w:eastAsia="方正仿宋_GBK"/>
          <w:kern w:val="0"/>
          <w:sz w:val="32"/>
          <w:szCs w:val="32"/>
        </w:rPr>
        <w:t>重庆（国际）小球赛事中心</w:t>
      </w:r>
      <w:r>
        <w:rPr>
          <w:rFonts w:hint="eastAsia" w:eastAsia="方正仿宋_GBK"/>
          <w:kern w:val="0"/>
          <w:sz w:val="32"/>
          <w:szCs w:val="32"/>
          <w:lang w:val="zh-CN"/>
        </w:rPr>
        <w:t>前期工作，</w:t>
      </w:r>
      <w:r>
        <w:rPr>
          <w:rFonts w:hint="eastAsia" w:eastAsia="方正仿宋_GBK"/>
          <w:color w:val="000000"/>
          <w:sz w:val="32"/>
          <w:szCs w:val="32"/>
        </w:rPr>
        <w:t>开展</w:t>
      </w:r>
      <w:r>
        <w:rPr>
          <w:rFonts w:eastAsia="方正仿宋_GBK"/>
          <w:color w:val="000000"/>
          <w:sz w:val="32"/>
          <w:szCs w:val="32"/>
        </w:rPr>
        <w:t>项目控规维护和建筑方案设计，</w:t>
      </w:r>
      <w:r>
        <w:rPr>
          <w:rFonts w:hint="eastAsia" w:eastAsia="方正仿宋_GBK"/>
          <w:kern w:val="0"/>
          <w:sz w:val="32"/>
          <w:szCs w:val="32"/>
          <w:lang w:val="zh-CN"/>
        </w:rPr>
        <w:t>力争</w:t>
      </w:r>
      <w:r>
        <w:rPr>
          <w:rFonts w:hint="eastAsia" w:eastAsia="方正仿宋_GBK"/>
          <w:kern w:val="0"/>
          <w:sz w:val="32"/>
          <w:szCs w:val="32"/>
        </w:rPr>
        <w:t>启动建设</w:t>
      </w:r>
      <w:r>
        <w:rPr>
          <w:rFonts w:hint="eastAsia" w:eastAsia="方正仿宋_GBK"/>
          <w:color w:val="000000"/>
          <w:sz w:val="32"/>
          <w:szCs w:val="32"/>
        </w:rPr>
        <w:t>；</w:t>
      </w:r>
      <w:r>
        <w:rPr>
          <w:rFonts w:eastAsia="方正仿宋_GBK"/>
          <w:color w:val="000000"/>
          <w:sz w:val="32"/>
          <w:szCs w:val="32"/>
        </w:rPr>
        <w:t>推动赛事中心产业平台落地，同步开展“体育+”产业招商。加快城市开发和道路建设，持续推进西宸昱府、锦绣原麓及半岛佳园安置房等项目，建成金晟路网一期，加快推进福晟路网、新郭伏路（地产段）二期等道路建设，推动轨道交通18号线金鳌寺TOD开发方案落地。完善公共服务配套，开工建设李雪芮全民健身运动中心、李雪芮运动学校，竣工投用伏牛溪管网综合整治工程（口袋沟段）和伏牛大道坡坎崖绿化工程，推动I分区公园绿地、伏牛溪新城休闲步道品质提升工程等项目建设。市区联动加快推进伏牛溪油化品仓储基地搬迁，拓展城市发展空间。</w:t>
      </w:r>
    </w:p>
    <w:p>
      <w:pPr>
        <w:spacing w:line="594" w:lineRule="exact"/>
        <w:ind w:firstLine="640" w:firstLineChars="200"/>
        <w:rPr>
          <w:rFonts w:eastAsia="方正仿宋_GBK"/>
          <w:color w:val="000000"/>
          <w:kern w:val="0"/>
          <w:sz w:val="32"/>
          <w:szCs w:val="32"/>
        </w:rPr>
      </w:pPr>
      <w:r>
        <w:rPr>
          <w:rFonts w:eastAsia="方正仿宋_GBK"/>
          <w:color w:val="000000"/>
          <w:sz w:val="32"/>
          <w:szCs w:val="32"/>
          <w:shd w:val="clear" w:color="auto" w:fill="FFFFFF"/>
        </w:rPr>
        <w:t xml:space="preserve">4. </w:t>
      </w:r>
      <w:r>
        <w:rPr>
          <w:rFonts w:hint="eastAsia" w:ascii="方正楷体_GBK" w:eastAsia="方正楷体_GBK"/>
          <w:color w:val="000000"/>
          <w:sz w:val="32"/>
          <w:szCs w:val="32"/>
          <w:shd w:val="clear" w:color="auto" w:fill="FFFFFF"/>
        </w:rPr>
        <w:t>推动高新区建桥园高质量发展。</w:t>
      </w:r>
      <w:r>
        <w:rPr>
          <w:rFonts w:eastAsia="方正仿宋_GBK"/>
          <w:color w:val="000000"/>
          <w:kern w:val="0"/>
          <w:sz w:val="32"/>
          <w:szCs w:val="32"/>
        </w:rPr>
        <w:t>积极融入西部科学城建设，突出产城融合功能，</w:t>
      </w:r>
      <w:r>
        <w:rPr>
          <w:rFonts w:eastAsia="方正仿宋_GBK"/>
          <w:sz w:val="32"/>
          <w:szCs w:val="32"/>
        </w:rPr>
        <w:t>打造高科技、多功能、复合式产业园区</w:t>
      </w:r>
      <w:r>
        <w:rPr>
          <w:rFonts w:eastAsia="方正仿宋_GBK"/>
          <w:color w:val="000000"/>
          <w:kern w:val="0"/>
          <w:sz w:val="32"/>
          <w:szCs w:val="32"/>
        </w:rPr>
        <w:t>。统筹做好园区生产、生活、生态布局，盘活闲置低效用地，规划新增跳磴镇产业用地，建成标准厂房10.5万平方米，优化周边商业、教育、医疗等生活配套，启动双石河一期绿化</w:t>
      </w:r>
      <w:r>
        <w:rPr>
          <w:rFonts w:hint="eastAsia" w:eastAsia="方正仿宋_GBK"/>
          <w:color w:val="000000"/>
          <w:kern w:val="0"/>
          <w:sz w:val="32"/>
          <w:szCs w:val="32"/>
        </w:rPr>
        <w:t>提升</w:t>
      </w:r>
      <w:r>
        <w:rPr>
          <w:rFonts w:eastAsia="方正仿宋_GBK"/>
          <w:color w:val="000000"/>
          <w:kern w:val="0"/>
          <w:sz w:val="32"/>
          <w:szCs w:val="32"/>
        </w:rPr>
        <w:t>工程，打造宜业宜居环境。</w:t>
      </w:r>
      <w:r>
        <w:rPr>
          <w:rFonts w:eastAsia="方正仿宋_GBK"/>
          <w:sz w:val="32"/>
          <w:szCs w:val="32"/>
        </w:rPr>
        <w:t>严格产业准入，聚焦</w:t>
      </w:r>
      <w:r>
        <w:rPr>
          <w:rFonts w:eastAsia="方正仿宋_GBK"/>
          <w:color w:val="000000"/>
          <w:kern w:val="0"/>
          <w:sz w:val="32"/>
          <w:szCs w:val="32"/>
        </w:rPr>
        <w:t>智能制造、生物医药</w:t>
      </w:r>
      <w:r>
        <w:rPr>
          <w:rFonts w:eastAsia="方正仿宋_GBK"/>
          <w:sz w:val="32"/>
          <w:szCs w:val="32"/>
        </w:rPr>
        <w:t>、</w:t>
      </w:r>
      <w:r>
        <w:rPr>
          <w:rFonts w:eastAsia="方正仿宋_GBK"/>
          <w:color w:val="000000"/>
          <w:kern w:val="0"/>
          <w:sz w:val="32"/>
          <w:szCs w:val="32"/>
        </w:rPr>
        <w:t>生态环保、</w:t>
      </w:r>
      <w:r>
        <w:rPr>
          <w:rFonts w:eastAsia="方正仿宋_GBK"/>
          <w:sz w:val="32"/>
          <w:szCs w:val="32"/>
        </w:rPr>
        <w:t>新材料等重点产业精准招商，</w:t>
      </w:r>
      <w:r>
        <w:rPr>
          <w:rFonts w:eastAsia="方正仿宋_GBK"/>
          <w:color w:val="000000"/>
          <w:sz w:val="32"/>
          <w:szCs w:val="32"/>
        </w:rPr>
        <w:t>引育高新技术企业</w:t>
      </w:r>
      <w:r>
        <w:rPr>
          <w:rFonts w:eastAsia="方正仿宋_GBK"/>
          <w:color w:val="000000"/>
          <w:kern w:val="0"/>
          <w:sz w:val="32"/>
          <w:szCs w:val="32"/>
        </w:rPr>
        <w:t>。</w:t>
      </w:r>
      <w:r>
        <w:rPr>
          <w:rFonts w:eastAsia="方正仿宋_GBK"/>
          <w:color w:val="000000"/>
          <w:sz w:val="32"/>
          <w:szCs w:val="32"/>
        </w:rPr>
        <w:t>加快建设建桥先进制造产业园，完工五洲世纪图书采配基地等项目，</w:t>
      </w:r>
      <w:r>
        <w:rPr>
          <w:rFonts w:eastAsia="方正仿宋_GBK"/>
          <w:color w:val="000000"/>
          <w:kern w:val="0"/>
          <w:sz w:val="32"/>
          <w:szCs w:val="32"/>
        </w:rPr>
        <w:t>鼓励存量企业转型升级，推动优质中小企业入园发展，</w:t>
      </w:r>
      <w:r>
        <w:rPr>
          <w:rFonts w:eastAsia="方正仿宋_GBK"/>
          <w:sz w:val="32"/>
          <w:szCs w:val="32"/>
        </w:rPr>
        <w:t>实现工业投资稳步增长，全年园区实现规上工业总产值</w:t>
      </w:r>
      <w:r>
        <w:rPr>
          <w:rFonts w:hint="eastAsia" w:eastAsia="方正仿宋_GBK"/>
          <w:sz w:val="32"/>
          <w:szCs w:val="32"/>
        </w:rPr>
        <w:t>325</w:t>
      </w:r>
      <w:r>
        <w:rPr>
          <w:rFonts w:eastAsia="方正仿宋_GBK"/>
          <w:sz w:val="32"/>
          <w:szCs w:val="32"/>
        </w:rPr>
        <w:t>亿元</w:t>
      </w:r>
      <w:r>
        <w:rPr>
          <w:rFonts w:hint="eastAsia" w:eastAsia="方正仿宋_GBK"/>
          <w:sz w:val="32"/>
          <w:szCs w:val="32"/>
        </w:rPr>
        <w:t>、</w:t>
      </w:r>
      <w:r>
        <w:rPr>
          <w:rFonts w:eastAsia="方正仿宋_GBK"/>
          <w:sz w:val="32"/>
          <w:szCs w:val="32"/>
        </w:rPr>
        <w:t>同比增长</w:t>
      </w:r>
      <w:r>
        <w:rPr>
          <w:rFonts w:hint="eastAsia" w:eastAsia="方正仿宋_GBK"/>
          <w:sz w:val="32"/>
          <w:szCs w:val="32"/>
        </w:rPr>
        <w:t>15</w:t>
      </w:r>
      <w:r>
        <w:rPr>
          <w:rFonts w:eastAsia="方正仿宋_GBK"/>
          <w:sz w:val="32"/>
          <w:szCs w:val="32"/>
        </w:rPr>
        <w:t>%。</w:t>
      </w:r>
    </w:p>
    <w:p>
      <w:pPr>
        <w:spacing w:line="594" w:lineRule="exact"/>
        <w:ind w:firstLine="643" w:firstLineChars="200"/>
        <w:rPr>
          <w:rFonts w:eastAsia="方正楷体_GBK"/>
          <w:b/>
          <w:bCs/>
          <w:color w:val="000000"/>
          <w:sz w:val="32"/>
          <w:szCs w:val="32"/>
          <w:shd w:val="clear" w:color="auto" w:fill="FFFFFF"/>
        </w:rPr>
      </w:pPr>
      <w:r>
        <w:rPr>
          <w:rFonts w:eastAsia="方正楷体_GBK"/>
          <w:b/>
          <w:bCs/>
          <w:color w:val="000000"/>
          <w:sz w:val="32"/>
          <w:szCs w:val="32"/>
          <w:shd w:val="clear" w:color="auto" w:fill="FFFFFF"/>
        </w:rPr>
        <w:t>（二）构建现代产业体系，全力培育产业竞争新优势</w:t>
      </w:r>
    </w:p>
    <w:p>
      <w:pPr>
        <w:pStyle w:val="18"/>
        <w:spacing w:line="594" w:lineRule="exact"/>
        <w:ind w:firstLine="640"/>
        <w:jc w:val="left"/>
        <w:rPr>
          <w:rFonts w:eastAsia="方正仿宋_GBK"/>
          <w:sz w:val="32"/>
          <w:szCs w:val="32"/>
        </w:rPr>
      </w:pPr>
      <w:r>
        <w:rPr>
          <w:rFonts w:eastAsia="方正仿宋_GBK"/>
          <w:color w:val="000000"/>
          <w:sz w:val="32"/>
          <w:szCs w:val="32"/>
          <w:shd w:val="clear" w:color="auto" w:fill="FFFFFF"/>
        </w:rPr>
        <w:t xml:space="preserve">5. </w:t>
      </w:r>
      <w:r>
        <w:rPr>
          <w:rFonts w:hint="eastAsia" w:ascii="方正楷体_GBK" w:eastAsia="方正楷体_GBK"/>
          <w:color w:val="000000"/>
          <w:sz w:val="32"/>
          <w:szCs w:val="32"/>
          <w:shd w:val="clear" w:color="auto" w:fill="FFFFFF"/>
        </w:rPr>
        <w:t>加快五大百亿级产业集群建设。</w:t>
      </w:r>
      <w:r>
        <w:rPr>
          <w:rFonts w:eastAsia="方正仿宋_GBK"/>
          <w:sz w:val="32"/>
          <w:szCs w:val="32"/>
        </w:rPr>
        <w:t>聚力打造国家产业转型升级示范区，制定五大百亿级产业集群行动方案，提升产业链供应链现代化水平。做大做强大数据智能化产业集群，加快建设海康威视三期、萤石智能家居项目，推动宁海吉义等项目建成投产，力促昆山捷利锦顺、苏州栎玛仕等智能视觉产业链企业落户，打造“西部视谷”；支持太极信息、久远银海、中威软件等信创企业发展，支持快手重庆创新中心及浪胃仙文化、抖起来科技等企业发展壮大，培育发展数字内容产业，全年实现营业收入120亿元。做精做优大健康生物医药产业集群，建成投用建桥C区生物医药园二期，启动中元汇吉生物科技园建设，推动中瀚盛泰体外诊断试剂产品研发生产、迪艾斯质谱、亚中医疗楼宇等项目加快建设，大力发展体外诊断试剂及设备产业、第三方医学诊断服务，推进医疗器械、精准治疗服务发展，全年实现营业收入120亿元。培育壮大生态环保产业集群，依托三峰环境拓展垃圾焚烧处理产业链，推进飞灰危废等离子熔融处理等项目落地；壮大固废资源循环利用行业，推动盎瑞悦、臻焱节能环保、中能能源环保等企业扩大市场规模，全年实现营收75亿元。加快构建新材料产业集群，支持国际复合上市，</w:t>
      </w:r>
      <w:r>
        <w:rPr>
          <w:rFonts w:hint="eastAsia" w:eastAsia="方正仿宋_GBK"/>
          <w:sz w:val="32"/>
          <w:szCs w:val="32"/>
        </w:rPr>
        <w:t>启动</w:t>
      </w:r>
      <w:r>
        <w:rPr>
          <w:rFonts w:eastAsia="方正仿宋_GBK"/>
          <w:sz w:val="32"/>
          <w:szCs w:val="32"/>
        </w:rPr>
        <w:t>风渡新材料</w:t>
      </w:r>
      <w:r>
        <w:rPr>
          <w:rFonts w:hint="eastAsia" w:eastAsia="方正仿宋_GBK"/>
          <w:sz w:val="32"/>
          <w:szCs w:val="32"/>
        </w:rPr>
        <w:t>扩能项目建设</w:t>
      </w:r>
      <w:r>
        <w:rPr>
          <w:rFonts w:eastAsia="方正仿宋_GBK"/>
          <w:sz w:val="32"/>
          <w:szCs w:val="32"/>
        </w:rPr>
        <w:t>，</w:t>
      </w:r>
      <w:r>
        <w:rPr>
          <w:rFonts w:hint="eastAsia" w:eastAsia="方正仿宋_GBK"/>
          <w:sz w:val="32"/>
          <w:szCs w:val="32"/>
        </w:rPr>
        <w:t>推进</w:t>
      </w:r>
      <w:r>
        <w:rPr>
          <w:rFonts w:eastAsia="方正仿宋_GBK"/>
          <w:sz w:val="32"/>
          <w:szCs w:val="32"/>
        </w:rPr>
        <w:t>清洁能源新材料研发生产基地</w:t>
      </w:r>
      <w:r>
        <w:rPr>
          <w:rFonts w:hint="eastAsia" w:eastAsia="方正仿宋_GBK"/>
          <w:sz w:val="32"/>
          <w:szCs w:val="32"/>
        </w:rPr>
        <w:t>项目前期工作</w:t>
      </w:r>
      <w:r>
        <w:rPr>
          <w:rFonts w:eastAsia="方正仿宋_GBK"/>
          <w:sz w:val="32"/>
          <w:szCs w:val="32"/>
        </w:rPr>
        <w:t>，全年实现营业收入</w:t>
      </w:r>
      <w:r>
        <w:rPr>
          <w:rFonts w:hint="eastAsia" w:eastAsia="方正仿宋_GBK"/>
          <w:sz w:val="32"/>
          <w:szCs w:val="32"/>
        </w:rPr>
        <w:t>3</w:t>
      </w:r>
      <w:r>
        <w:rPr>
          <w:rFonts w:eastAsia="方正仿宋_GBK"/>
          <w:sz w:val="32"/>
          <w:szCs w:val="32"/>
        </w:rPr>
        <w:t>0亿元。积极培育重庆小面产业集群，加快推进重庆小面产业园建设，完成重庆小面团体标准、地方标准制定</w:t>
      </w:r>
      <w:r>
        <w:rPr>
          <w:rFonts w:hint="eastAsia" w:eastAsia="方正仿宋_GBK"/>
          <w:sz w:val="32"/>
          <w:szCs w:val="32"/>
        </w:rPr>
        <w:t>和区域品牌</w:t>
      </w:r>
      <w:r>
        <w:rPr>
          <w:rFonts w:eastAsia="方正仿宋_GBK"/>
          <w:sz w:val="32"/>
          <w:szCs w:val="32"/>
        </w:rPr>
        <w:t>发布，招引上下游配套企业，构建网络营销、电商培训、电商直播、快递物流等产业生态体系；</w:t>
      </w:r>
      <w:r>
        <w:rPr>
          <w:rFonts w:hint="eastAsia" w:eastAsia="方正仿宋_GBK"/>
          <w:sz w:val="32"/>
          <w:szCs w:val="32"/>
        </w:rPr>
        <w:t>培育发展以重庆小面为主导的快消品产业</w:t>
      </w:r>
      <w:r>
        <w:rPr>
          <w:rFonts w:eastAsia="方正仿宋_GBK"/>
          <w:sz w:val="32"/>
          <w:szCs w:val="32"/>
        </w:rPr>
        <w:t>，完工红九九扩能搬迁、</w:t>
      </w:r>
      <w:r>
        <w:rPr>
          <w:rFonts w:eastAsia="方正仿宋_GBK"/>
          <w:color w:val="000000"/>
          <w:sz w:val="32"/>
          <w:szCs w:val="32"/>
        </w:rPr>
        <w:t>禄苑西南总部基地</w:t>
      </w:r>
      <w:r>
        <w:rPr>
          <w:rFonts w:eastAsia="方正仿宋_GBK"/>
          <w:sz w:val="32"/>
          <w:szCs w:val="32"/>
        </w:rPr>
        <w:t>等项目，全年实现营业收入20亿元。</w:t>
      </w:r>
    </w:p>
    <w:p>
      <w:pPr>
        <w:spacing w:line="594" w:lineRule="exact"/>
        <w:ind w:firstLine="640" w:firstLineChars="200"/>
        <w:rPr>
          <w:rFonts w:eastAsia="方正仿宋_GBK"/>
          <w:sz w:val="32"/>
          <w:szCs w:val="32"/>
        </w:rPr>
      </w:pPr>
      <w:r>
        <w:rPr>
          <w:rFonts w:eastAsia="方正仿宋_GBK"/>
          <w:color w:val="000000"/>
          <w:kern w:val="0"/>
          <w:sz w:val="32"/>
          <w:szCs w:val="32"/>
          <w:shd w:val="clear" w:color="auto" w:fill="FFFFFF"/>
        </w:rPr>
        <w:t xml:space="preserve">6. </w:t>
      </w:r>
      <w:r>
        <w:rPr>
          <w:rFonts w:hint="eastAsia" w:ascii="方正楷体_GBK" w:eastAsia="方正楷体_GBK"/>
          <w:color w:val="000000"/>
          <w:kern w:val="0"/>
          <w:sz w:val="32"/>
          <w:szCs w:val="32"/>
          <w:shd w:val="clear" w:color="auto" w:fill="FFFFFF"/>
        </w:rPr>
        <w:t>加快传统产业转型升级。</w:t>
      </w:r>
      <w:r>
        <w:rPr>
          <w:rFonts w:eastAsia="方正仿宋_GBK"/>
          <w:bCs/>
          <w:sz w:val="32"/>
          <w:szCs w:val="32"/>
        </w:rPr>
        <w:t>深入实施智能制造、绿色制造，鼓励制造业企业加大数字化装备应用，建设数字化车间和智能工厂2个，支持企业“上云上平台”，加快工业制造技术和工艺软件化、数字化。促进数字经济与实体经济融合发展，打造工业互联网平台，推</w:t>
      </w:r>
      <w:r>
        <w:rPr>
          <w:rFonts w:hint="eastAsia" w:eastAsia="方正仿宋_GBK"/>
          <w:bCs/>
          <w:sz w:val="32"/>
          <w:szCs w:val="32"/>
        </w:rPr>
        <w:t>动</w:t>
      </w:r>
      <w:r>
        <w:rPr>
          <w:rFonts w:eastAsia="方正仿宋_GBK"/>
          <w:bCs/>
          <w:sz w:val="32"/>
          <w:szCs w:val="32"/>
        </w:rPr>
        <w:t>西部（重庆）再生资源交易中心平台、</w:t>
      </w:r>
      <w:r>
        <w:rPr>
          <w:rFonts w:eastAsia="方正仿宋_GBK"/>
          <w:sz w:val="32"/>
          <w:szCs w:val="32"/>
        </w:rPr>
        <w:t>万吨交易平台、油殿能源科技结算平台、</w:t>
      </w:r>
      <w:r>
        <w:rPr>
          <w:rFonts w:eastAsia="方正仿宋_GBK"/>
          <w:bCs/>
          <w:sz w:val="32"/>
          <w:szCs w:val="32"/>
        </w:rPr>
        <w:t>产业链供应链公共服务平台</w:t>
      </w:r>
      <w:r>
        <w:rPr>
          <w:rFonts w:hint="eastAsia" w:eastAsia="方正仿宋_GBK"/>
          <w:bCs/>
          <w:sz w:val="32"/>
          <w:szCs w:val="32"/>
        </w:rPr>
        <w:t>等项目</w:t>
      </w:r>
      <w:r>
        <w:rPr>
          <w:rFonts w:eastAsia="方正仿宋_GBK"/>
          <w:bCs/>
          <w:sz w:val="32"/>
          <w:szCs w:val="32"/>
        </w:rPr>
        <w:t>落地。大力发展智能装配式建筑和绿色建材，</w:t>
      </w:r>
      <w:r>
        <w:rPr>
          <w:rFonts w:hint="eastAsia" w:eastAsia="方正仿宋_GBK"/>
          <w:bCs/>
          <w:sz w:val="32"/>
          <w:szCs w:val="32"/>
        </w:rPr>
        <w:t>完成</w:t>
      </w:r>
      <w:r>
        <w:rPr>
          <w:rFonts w:eastAsia="方正仿宋_GBK"/>
          <w:bCs/>
          <w:sz w:val="32"/>
          <w:szCs w:val="32"/>
        </w:rPr>
        <w:t>中冶建工绿色建筑材料产业示范基地</w:t>
      </w:r>
      <w:r>
        <w:rPr>
          <w:rFonts w:hint="eastAsia" w:eastAsia="方正仿宋_GBK"/>
          <w:bCs/>
          <w:sz w:val="32"/>
          <w:szCs w:val="32"/>
        </w:rPr>
        <w:t>建设</w:t>
      </w:r>
      <w:r>
        <w:rPr>
          <w:rFonts w:eastAsia="方正仿宋_GBK"/>
          <w:bCs/>
          <w:sz w:val="32"/>
          <w:szCs w:val="32"/>
        </w:rPr>
        <w:t>，引导小南海水泥厂等传统产能绿色转型，引进建筑业总部企业，</w:t>
      </w:r>
      <w:r>
        <w:rPr>
          <w:rFonts w:eastAsia="方正仿宋_GBK"/>
          <w:kern w:val="0"/>
          <w:sz w:val="32"/>
          <w:szCs w:val="32"/>
        </w:rPr>
        <w:t>支持建筑业企业向产业链上下游延伸，拓展勘察设计咨询等领域服务</w:t>
      </w:r>
      <w:r>
        <w:rPr>
          <w:rFonts w:eastAsia="方正仿宋_GBK"/>
          <w:bCs/>
          <w:sz w:val="32"/>
          <w:szCs w:val="32"/>
        </w:rPr>
        <w:t>，实现建筑业产值284亿元、增长6%</w:t>
      </w:r>
      <w:r>
        <w:rPr>
          <w:rFonts w:eastAsia="方正仿宋_GBK"/>
          <w:sz w:val="32"/>
          <w:szCs w:val="32"/>
        </w:rPr>
        <w:t>。</w:t>
      </w:r>
    </w:p>
    <w:p>
      <w:pPr>
        <w:spacing w:line="594" w:lineRule="exact"/>
        <w:ind w:firstLine="640" w:firstLineChars="200"/>
        <w:rPr>
          <w:rFonts w:eastAsia="方正仿宋_GBK"/>
          <w:kern w:val="0"/>
          <w:sz w:val="32"/>
          <w:szCs w:val="32"/>
        </w:rPr>
      </w:pPr>
      <w:r>
        <w:rPr>
          <w:rFonts w:eastAsia="方正仿宋_GBK"/>
          <w:sz w:val="32"/>
          <w:szCs w:val="32"/>
        </w:rPr>
        <w:t>7</w:t>
      </w:r>
      <w:r>
        <w:rPr>
          <w:rFonts w:eastAsia="方正仿宋_GBK"/>
          <w:color w:val="000000"/>
          <w:kern w:val="0"/>
          <w:sz w:val="32"/>
          <w:szCs w:val="32"/>
          <w:shd w:val="clear" w:color="auto" w:fill="FFFFFF"/>
        </w:rPr>
        <w:t xml:space="preserve">. </w:t>
      </w:r>
      <w:r>
        <w:rPr>
          <w:rFonts w:hint="eastAsia" w:ascii="方正楷体_GBK" w:eastAsia="方正楷体_GBK"/>
          <w:color w:val="000000"/>
          <w:kern w:val="0"/>
          <w:sz w:val="32"/>
          <w:szCs w:val="32"/>
          <w:shd w:val="clear" w:color="auto" w:fill="FFFFFF"/>
        </w:rPr>
        <w:t>提升服务业现代化水平。</w:t>
      </w:r>
      <w:r>
        <w:rPr>
          <w:rFonts w:eastAsia="方正仿宋_GBK"/>
          <w:color w:val="000000"/>
          <w:kern w:val="0"/>
          <w:sz w:val="32"/>
          <w:szCs w:val="32"/>
        </w:rPr>
        <w:t>提质发展现代商贸业，聚焦“吃住行游购娱”，推出美食节、街头音乐周等特色消费体验活动，培育音乐艺术、滨江亲水、康养温泉、体育运动等消费热点，</w:t>
      </w:r>
      <w:r>
        <w:rPr>
          <w:rFonts w:hint="eastAsia" w:eastAsia="方正仿宋_GBK"/>
          <w:sz w:val="32"/>
          <w:szCs w:val="32"/>
        </w:rPr>
        <w:t>引进高品质酒店项目</w:t>
      </w:r>
      <w:r>
        <w:rPr>
          <w:rFonts w:eastAsia="方正仿宋_GBK"/>
          <w:sz w:val="32"/>
          <w:szCs w:val="32"/>
        </w:rPr>
        <w:t>，</w:t>
      </w:r>
      <w:r>
        <w:rPr>
          <w:rFonts w:eastAsia="方正仿宋_GBK"/>
          <w:color w:val="000000"/>
          <w:kern w:val="0"/>
          <w:sz w:val="32"/>
          <w:szCs w:val="32"/>
        </w:rPr>
        <w:t>打造社区商业消费新场景，全年社会消费品零售总额增长15%，服务业增加值增长</w:t>
      </w:r>
      <w:r>
        <w:rPr>
          <w:rFonts w:hint="eastAsia" w:eastAsia="方正仿宋_GBK"/>
          <w:color w:val="000000"/>
          <w:kern w:val="0"/>
          <w:sz w:val="32"/>
          <w:szCs w:val="32"/>
        </w:rPr>
        <w:t>6</w:t>
      </w:r>
      <w:r>
        <w:rPr>
          <w:rFonts w:eastAsia="方正仿宋_GBK"/>
          <w:color w:val="000000"/>
          <w:kern w:val="0"/>
          <w:sz w:val="32"/>
          <w:szCs w:val="32"/>
        </w:rPr>
        <w:t>%。大力</w:t>
      </w:r>
      <w:r>
        <w:rPr>
          <w:rFonts w:eastAsia="方正仿宋_GBK"/>
          <w:kern w:val="0"/>
          <w:sz w:val="32"/>
          <w:szCs w:val="32"/>
        </w:rPr>
        <w:t>发展专业服务业，加快建设天安大健康、建桥节能环保服务集聚区，引进培育人力资源、科技服务等业态，</w:t>
      </w:r>
      <w:r>
        <w:rPr>
          <w:rFonts w:eastAsia="方正仿宋_GBK"/>
          <w:bCs/>
          <w:sz w:val="32"/>
          <w:szCs w:val="32"/>
        </w:rPr>
        <w:t>依托精准医疗产业专利导航中心、天安数码城知识产权发展基金等载体，拓展知识产权全链条服务。</w:t>
      </w:r>
      <w:r>
        <w:rPr>
          <w:rFonts w:eastAsia="方正仿宋_GBK"/>
          <w:kern w:val="0"/>
          <w:sz w:val="32"/>
          <w:szCs w:val="32"/>
        </w:rPr>
        <w:t>做优现代物流业，提速恒通超标智能化仓库建设，推动龙文钢材智能物流平台项目落地。</w:t>
      </w:r>
      <w:r>
        <w:rPr>
          <w:rFonts w:eastAsia="方正仿宋_GBK"/>
          <w:sz w:val="32"/>
          <w:szCs w:val="32"/>
        </w:rPr>
        <w:t>创新金融产品和服务，扩大“诚信贷”“知识价值信用贷”等政银合作信用贷款产品规模，全年金融机构人民币存贷款余额增长</w:t>
      </w:r>
      <w:r>
        <w:rPr>
          <w:rFonts w:eastAsia="方正仿宋_GBK"/>
          <w:color w:val="000000"/>
          <w:kern w:val="0"/>
          <w:sz w:val="32"/>
          <w:szCs w:val="32"/>
        </w:rPr>
        <w:t>10</w:t>
      </w:r>
      <w:r>
        <w:rPr>
          <w:rFonts w:eastAsia="方正仿宋_GBK"/>
          <w:sz w:val="32"/>
          <w:szCs w:val="32"/>
        </w:rPr>
        <w:t>%。推动房地产业平稳健康发展，</w:t>
      </w:r>
      <w:r>
        <w:rPr>
          <w:rFonts w:eastAsia="方正仿宋_GBK"/>
          <w:color w:val="000000" w:themeColor="text1"/>
          <w:sz w:val="32"/>
          <w:szCs w:val="32"/>
          <w14:textFill>
            <w14:solidFill>
              <w14:schemeClr w14:val="tx1"/>
            </w14:solidFill>
          </w14:textFill>
        </w:rPr>
        <w:t>实现商品房销售面积180万平方米。</w:t>
      </w:r>
    </w:p>
    <w:p>
      <w:pPr>
        <w:spacing w:line="600" w:lineRule="exact"/>
        <w:jc w:val="center"/>
        <w:rPr>
          <w:rFonts w:eastAsia="方正黑体_GBK"/>
          <w:color w:val="000000" w:themeColor="text1"/>
          <w:sz w:val="28"/>
          <w:szCs w:val="28"/>
          <w14:textFill>
            <w14:solidFill>
              <w14:schemeClr w14:val="tx1"/>
            </w14:solidFill>
          </w14:textFill>
        </w:rPr>
      </w:pPr>
      <w:r>
        <w:rPr>
          <w:rFonts w:eastAsia="方正黑体_GBK"/>
          <w:color w:val="000000" w:themeColor="text1"/>
          <w:sz w:val="28"/>
          <w:szCs w:val="28"/>
          <w14:textFill>
            <w14:solidFill>
              <w14:schemeClr w14:val="tx1"/>
            </w14:solidFill>
          </w14:textFill>
        </w:rPr>
        <w:t>专栏</w:t>
      </w:r>
      <w:r>
        <w:rPr>
          <w:rFonts w:hint="eastAsia" w:eastAsia="方正黑体_GBK"/>
          <w:color w:val="000000" w:themeColor="text1"/>
          <w:sz w:val="28"/>
          <w:szCs w:val="28"/>
          <w:lang w:val="en-US" w:eastAsia="zh-CN"/>
          <w14:textFill>
            <w14:solidFill>
              <w14:schemeClr w14:val="tx1"/>
            </w14:solidFill>
          </w14:textFill>
        </w:rPr>
        <w:t>2</w:t>
      </w:r>
      <w:r>
        <w:rPr>
          <w:rFonts w:eastAsia="方正黑体_GBK"/>
          <w:color w:val="000000" w:themeColor="text1"/>
          <w:sz w:val="28"/>
          <w:szCs w:val="28"/>
          <w14:textFill>
            <w14:solidFill>
              <w14:schemeClr w14:val="tx1"/>
            </w14:solidFill>
          </w14:textFill>
        </w:rPr>
        <w:t>：2022年产业建设重点项目</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965" w:type="dxa"/>
            <w:vAlign w:val="center"/>
          </w:tcPr>
          <w:p>
            <w:pPr>
              <w:tabs>
                <w:tab w:val="left" w:pos="1534"/>
              </w:tabs>
              <w:spacing w:line="270" w:lineRule="exact"/>
              <w:rPr>
                <w:rFonts w:eastAsia="方正仿宋_GBK"/>
                <w:color w:val="000000" w:themeColor="text1"/>
                <w:szCs w:val="21"/>
                <w14:textFill>
                  <w14:solidFill>
                    <w14:schemeClr w14:val="tx1"/>
                  </w14:solidFill>
                </w14:textFill>
              </w:rPr>
            </w:pPr>
            <w:r>
              <w:rPr>
                <w:rFonts w:hint="eastAsia" w:ascii="方正黑体_GBK" w:eastAsia="方正黑体_GBK"/>
                <w:bCs/>
                <w:color w:val="000000" w:themeColor="text1"/>
                <w:szCs w:val="21"/>
                <w14:textFill>
                  <w14:solidFill>
                    <w14:schemeClr w14:val="tx1"/>
                  </w14:solidFill>
                </w14:textFill>
              </w:rPr>
              <w:t>新兴产业项目：</w:t>
            </w:r>
            <w:r>
              <w:rPr>
                <w:rFonts w:eastAsia="方正仿宋_GBK"/>
                <w:color w:val="000000" w:themeColor="text1"/>
                <w:szCs w:val="21"/>
                <w14:textFill>
                  <w14:solidFill>
                    <w14:schemeClr w14:val="tx1"/>
                  </w14:solidFill>
                </w14:textFill>
              </w:rPr>
              <w:t>N43地块先进制造产业园、海康威视科技园三期、萤石生产基地、杭州里德高清摄像机及核心零部件重庆生产基地、智能监控系统核心零部件重庆生产基地、明鑫电器制造智能摄像机核心零部件项目、数码模车身功能件智能制造四期、新能源汽车齿轮生产线改扩建、建桥C区生物医药园、中元汇吉生物科技园、体外诊断试剂产品研发及生产、上海伯豪肿瘤个体化用药基因检测研发生产、武汉迪艾斯质谱项目、风渡新材料拉挤片材生产线扩能、三峡森晶公司天然竹原纤维复合材料、绿色建筑材料产业示范基地、重庆小面产业园、红九九扩能搬迁、红九九总部项目、快消品研发生产基地标准厂房项目、禄苑西南总部基地建设。</w:t>
            </w:r>
          </w:p>
          <w:p>
            <w:pPr>
              <w:tabs>
                <w:tab w:val="left" w:pos="1534"/>
              </w:tabs>
              <w:spacing w:line="270" w:lineRule="exact"/>
              <w:rPr>
                <w:rFonts w:eastAsia="方正黑体_GBK"/>
                <w:color w:val="000000" w:themeColor="text1"/>
                <w:szCs w:val="21"/>
                <w14:textFill>
                  <w14:solidFill>
                    <w14:schemeClr w14:val="tx1"/>
                  </w14:solidFill>
                </w14:textFill>
              </w:rPr>
            </w:pPr>
            <w:r>
              <w:rPr>
                <w:rFonts w:eastAsia="方正黑体_GBK"/>
                <w:bCs/>
                <w:color w:val="000000" w:themeColor="text1"/>
                <w:szCs w:val="21"/>
                <w14:textFill>
                  <w14:solidFill>
                    <w14:schemeClr w14:val="tx1"/>
                  </w14:solidFill>
                </w14:textFill>
              </w:rPr>
              <w:t>现代服务业项目：</w:t>
            </w:r>
            <w:r>
              <w:rPr>
                <w:rFonts w:eastAsia="方正仿宋_GBK"/>
                <w:color w:val="000000" w:themeColor="text1"/>
                <w:szCs w:val="21"/>
                <w14:textFill>
                  <w14:solidFill>
                    <w14:schemeClr w14:val="tx1"/>
                  </w14:solidFill>
                </w14:textFill>
              </w:rPr>
              <w:t>天安产业三期、宝武</w:t>
            </w:r>
            <w:r>
              <w:rPr>
                <w:rFonts w:hint="eastAsia" w:eastAsia="方正仿宋_GBK"/>
                <w:color w:val="000000" w:themeColor="text1"/>
                <w:szCs w:val="21"/>
                <w14:textFill>
                  <w14:solidFill>
                    <w14:schemeClr w14:val="tx1"/>
                  </w14:solidFill>
                </w14:textFill>
              </w:rPr>
              <w:t>集团</w:t>
            </w:r>
            <w:r>
              <w:rPr>
                <w:rFonts w:eastAsia="方正仿宋_GBK"/>
                <w:color w:val="000000" w:themeColor="text1"/>
                <w:szCs w:val="21"/>
                <w14:textFill>
                  <w14:solidFill>
                    <w14:schemeClr w14:val="tx1"/>
                  </w14:solidFill>
                </w14:textFill>
              </w:rPr>
              <w:t>西南总部、原重钢红白楼改造、重庆万吨商旅融合总部基地、中交茄子溪转型升级、跳磴镇生态小镇、五洲世纪图书采配基地。</w:t>
            </w:r>
          </w:p>
        </w:tc>
      </w:tr>
    </w:tbl>
    <w:p>
      <w:pPr>
        <w:spacing w:line="594" w:lineRule="exact"/>
        <w:ind w:firstLine="643" w:firstLineChars="200"/>
        <w:rPr>
          <w:rFonts w:eastAsia="方正楷体_GBK"/>
          <w:b/>
          <w:bCs/>
          <w:color w:val="000000"/>
          <w:sz w:val="32"/>
          <w:szCs w:val="32"/>
          <w:shd w:val="clear" w:color="auto" w:fill="FFFFFF"/>
        </w:rPr>
      </w:pPr>
      <w:r>
        <w:rPr>
          <w:rFonts w:eastAsia="方正楷体_GBK"/>
          <w:b/>
          <w:bCs/>
          <w:color w:val="000000"/>
          <w:sz w:val="32"/>
          <w:szCs w:val="32"/>
          <w:shd w:val="clear" w:color="auto" w:fill="FFFFFF"/>
        </w:rPr>
        <w:t>（</w:t>
      </w:r>
      <w:r>
        <w:rPr>
          <w:rFonts w:hint="eastAsia" w:eastAsia="方正楷体_GBK"/>
          <w:b/>
          <w:bCs/>
          <w:color w:val="000000"/>
          <w:sz w:val="32"/>
          <w:szCs w:val="32"/>
          <w:shd w:val="clear" w:color="auto" w:fill="FFFFFF"/>
        </w:rPr>
        <w:t>三</w:t>
      </w:r>
      <w:r>
        <w:rPr>
          <w:rFonts w:eastAsia="方正楷体_GBK"/>
          <w:b/>
          <w:bCs/>
          <w:color w:val="000000"/>
          <w:sz w:val="32"/>
          <w:szCs w:val="32"/>
          <w:shd w:val="clear" w:color="auto" w:fill="FFFFFF"/>
        </w:rPr>
        <w:t>）推进城市有机更新，加快塑造公园城市新风貌</w:t>
      </w:r>
    </w:p>
    <w:p>
      <w:pPr>
        <w:spacing w:line="594" w:lineRule="exact"/>
        <w:ind w:firstLine="640" w:firstLineChars="200"/>
        <w:rPr>
          <w:rFonts w:eastAsia="方正仿宋_GBK"/>
          <w:sz w:val="32"/>
          <w:szCs w:val="32"/>
        </w:rPr>
      </w:pPr>
      <w:r>
        <w:rPr>
          <w:rFonts w:hint="eastAsia" w:eastAsia="方正仿宋_GBK"/>
          <w:color w:val="000000"/>
          <w:kern w:val="0"/>
          <w:sz w:val="32"/>
          <w:szCs w:val="32"/>
          <w:shd w:val="clear" w:color="auto" w:fill="FFFFFF"/>
        </w:rPr>
        <w:t>8</w:t>
      </w:r>
      <w:r>
        <w:rPr>
          <w:rFonts w:eastAsia="方正仿宋_GBK"/>
          <w:color w:val="000000"/>
          <w:kern w:val="0"/>
          <w:sz w:val="32"/>
          <w:szCs w:val="32"/>
          <w:shd w:val="clear" w:color="auto" w:fill="FFFFFF"/>
        </w:rPr>
        <w:t xml:space="preserve">. </w:t>
      </w:r>
      <w:r>
        <w:rPr>
          <w:rFonts w:hint="eastAsia" w:ascii="方正楷体_GBK" w:eastAsia="方正楷体_GBK"/>
          <w:color w:val="000000"/>
          <w:kern w:val="0"/>
          <w:sz w:val="32"/>
          <w:szCs w:val="32"/>
          <w:shd w:val="clear" w:color="auto" w:fill="FFFFFF"/>
        </w:rPr>
        <w:t>推进公园城市建设。</w:t>
      </w:r>
      <w:r>
        <w:rPr>
          <w:rFonts w:eastAsia="方正仿宋_GBK"/>
          <w:color w:val="000000"/>
          <w:kern w:val="0"/>
          <w:sz w:val="32"/>
          <w:szCs w:val="32"/>
          <w:shd w:val="clear" w:color="auto" w:fill="FFFFFF"/>
        </w:rPr>
        <w:t>绘就公园城市底色，</w:t>
      </w:r>
      <w:r>
        <w:rPr>
          <w:rFonts w:eastAsia="方正仿宋_GBK"/>
          <w:sz w:val="32"/>
          <w:szCs w:val="32"/>
        </w:rPr>
        <w:t>完成绿地系统规划，</w:t>
      </w:r>
      <w:r>
        <w:rPr>
          <w:rFonts w:hint="eastAsia" w:eastAsia="方正仿宋_GBK"/>
          <w:sz w:val="32"/>
          <w:szCs w:val="32"/>
        </w:rPr>
        <w:t>编制</w:t>
      </w:r>
      <w:r>
        <w:rPr>
          <w:rFonts w:eastAsia="方正仿宋_GBK"/>
          <w:sz w:val="32"/>
          <w:szCs w:val="32"/>
        </w:rPr>
        <w:t>公园城市</w:t>
      </w:r>
      <w:r>
        <w:rPr>
          <w:rFonts w:hint="eastAsia" w:eastAsia="方正仿宋_GBK"/>
          <w:sz w:val="32"/>
          <w:szCs w:val="32"/>
        </w:rPr>
        <w:t>建设规划方案</w:t>
      </w:r>
      <w:r>
        <w:rPr>
          <w:rFonts w:eastAsia="方正仿宋_GBK"/>
          <w:sz w:val="32"/>
          <w:szCs w:val="32"/>
        </w:rPr>
        <w:t>，强化公园城市</w:t>
      </w:r>
      <w:r>
        <w:rPr>
          <w:rFonts w:hint="eastAsia" w:eastAsia="方正仿宋_GBK"/>
          <w:sz w:val="32"/>
          <w:szCs w:val="32"/>
        </w:rPr>
        <w:t>建设</w:t>
      </w:r>
      <w:r>
        <w:rPr>
          <w:rFonts w:eastAsia="方正仿宋_GBK"/>
          <w:sz w:val="32"/>
          <w:szCs w:val="32"/>
        </w:rPr>
        <w:t>组织保障，启</w:t>
      </w:r>
      <w:r>
        <w:rPr>
          <w:rFonts w:hint="eastAsia" w:eastAsia="方正仿宋_GBK"/>
          <w:sz w:val="32"/>
          <w:szCs w:val="32"/>
        </w:rPr>
        <w:t>动国家生态园林城市创建。完成</w:t>
      </w:r>
      <w:r>
        <w:rPr>
          <w:rFonts w:eastAsia="方正仿宋_GBK"/>
          <w:sz w:val="32"/>
          <w:szCs w:val="32"/>
        </w:rPr>
        <w:t>大渡口公园改造二期，打造城市公园示范。</w:t>
      </w:r>
      <w:r>
        <w:rPr>
          <w:rFonts w:hint="eastAsia" w:eastAsia="方正仿宋_GBK"/>
          <w:sz w:val="32"/>
          <w:szCs w:val="32"/>
        </w:rPr>
        <w:t>完成葛老溪段滨江公园建设和心湖公园、义渡公园、</w:t>
      </w:r>
      <w:r>
        <w:rPr>
          <w:rFonts w:eastAsia="方正仿宋_GBK"/>
          <w:sz w:val="32"/>
          <w:szCs w:val="32"/>
        </w:rPr>
        <w:t>澜玥公园、</w:t>
      </w:r>
      <w:r>
        <w:rPr>
          <w:rFonts w:hint="eastAsia" w:eastAsia="方正仿宋_GBK"/>
          <w:sz w:val="32"/>
          <w:szCs w:val="32"/>
        </w:rPr>
        <w:t>美德公园整治</w:t>
      </w:r>
      <w:r>
        <w:rPr>
          <w:rFonts w:eastAsia="方正仿宋_GBK"/>
          <w:sz w:val="32"/>
          <w:szCs w:val="32"/>
        </w:rPr>
        <w:t>提升</w:t>
      </w:r>
      <w:r>
        <w:rPr>
          <w:rFonts w:hint="eastAsia" w:eastAsia="方正仿宋_GBK"/>
          <w:sz w:val="32"/>
          <w:szCs w:val="32"/>
        </w:rPr>
        <w:t>，谋划推动钓鱼嘴生态公园、伏牛溪片区绿地建设，</w:t>
      </w:r>
      <w:r>
        <w:rPr>
          <w:rFonts w:eastAsia="方正仿宋_GBK"/>
          <w:sz w:val="32"/>
          <w:szCs w:val="32"/>
        </w:rPr>
        <w:t>启动白居寺公园、双山公园提档升级</w:t>
      </w:r>
      <w:r>
        <w:rPr>
          <w:rFonts w:hint="eastAsia" w:eastAsia="方正仿宋_GBK"/>
          <w:sz w:val="32"/>
          <w:szCs w:val="32"/>
        </w:rPr>
        <w:t>，实施中顺大道、钢花路、福茄路等城市道路绿化品质提升，</w:t>
      </w:r>
      <w:r>
        <w:rPr>
          <w:rFonts w:eastAsia="方正仿宋_GBK"/>
          <w:sz w:val="32"/>
          <w:szCs w:val="32"/>
        </w:rPr>
        <w:t>新增绿化面积40万平方米。</w:t>
      </w:r>
      <w:r>
        <w:rPr>
          <w:rFonts w:hint="eastAsia" w:eastAsia="方正仿宋_GBK"/>
          <w:sz w:val="32"/>
          <w:szCs w:val="32"/>
        </w:rPr>
        <w:t>实施城市增亮行动</w:t>
      </w:r>
      <w:r>
        <w:rPr>
          <w:rFonts w:eastAsia="方正仿宋_GBK"/>
          <w:color w:val="000000"/>
          <w:kern w:val="0"/>
          <w:sz w:val="32"/>
          <w:szCs w:val="32"/>
          <w:shd w:val="clear" w:color="auto" w:fill="FFFFFF"/>
        </w:rPr>
        <w:t>，</w:t>
      </w:r>
      <w:r>
        <w:rPr>
          <w:rFonts w:hint="eastAsia" w:eastAsia="方正仿宋_GBK"/>
          <w:sz w:val="32"/>
          <w:szCs w:val="32"/>
        </w:rPr>
        <w:t>推行</w:t>
      </w:r>
      <w:r>
        <w:rPr>
          <w:rFonts w:eastAsia="方正仿宋_GBK"/>
          <w:sz w:val="32"/>
          <w:szCs w:val="32"/>
        </w:rPr>
        <w:t>绿色照明，</w:t>
      </w:r>
      <w:r>
        <w:rPr>
          <w:rFonts w:hint="eastAsia" w:eastAsia="方正仿宋_GBK"/>
          <w:sz w:val="32"/>
          <w:szCs w:val="32"/>
        </w:rPr>
        <w:t>实施“艺术湾”等重要区域、重要节点夜间照明提升工程</w:t>
      </w:r>
      <w:r>
        <w:rPr>
          <w:rFonts w:eastAsia="方正仿宋_GBK"/>
          <w:sz w:val="32"/>
          <w:szCs w:val="32"/>
        </w:rPr>
        <w:t>，</w:t>
      </w:r>
      <w:r>
        <w:rPr>
          <w:rFonts w:eastAsia="方正仿宋_GBK"/>
          <w:color w:val="000000"/>
          <w:kern w:val="0"/>
          <w:sz w:val="32"/>
          <w:szCs w:val="32"/>
          <w:shd w:val="clear" w:color="auto" w:fill="FFFFFF"/>
        </w:rPr>
        <w:t>点亮多彩城市生活</w:t>
      </w:r>
      <w:r>
        <w:rPr>
          <w:rFonts w:hint="eastAsia" w:eastAsia="方正仿宋_GBK"/>
          <w:color w:val="000000"/>
          <w:kern w:val="0"/>
          <w:sz w:val="32"/>
          <w:szCs w:val="32"/>
          <w:shd w:val="clear" w:color="auto" w:fill="FFFFFF"/>
        </w:rPr>
        <w:t>。</w:t>
      </w:r>
      <w:r>
        <w:rPr>
          <w:rFonts w:eastAsia="方正仿宋_GBK"/>
          <w:sz w:val="32"/>
          <w:szCs w:val="32"/>
        </w:rPr>
        <w:t>实施城市活力提升行动，策划开展丰富多彩的文化艺术体育活动，培育“公园商圈、多彩生活”消费品牌。加快城市更新改造，启动大堰、锦霞等14个片区老旧小区改造，完成翠园、月光、东正等16个片区老旧小区改造</w:t>
      </w:r>
      <w:r>
        <w:rPr>
          <w:rFonts w:hint="eastAsia" w:eastAsia="方正仿宋_GBK"/>
          <w:sz w:val="32"/>
          <w:szCs w:val="32"/>
        </w:rPr>
        <w:t>，全面改善老旧社区人居环境</w:t>
      </w:r>
      <w:r>
        <w:rPr>
          <w:rFonts w:eastAsia="方正仿宋_GBK"/>
          <w:sz w:val="32"/>
          <w:szCs w:val="32"/>
        </w:rPr>
        <w:t>。</w:t>
      </w:r>
    </w:p>
    <w:p>
      <w:pPr>
        <w:spacing w:line="594" w:lineRule="exact"/>
        <w:ind w:firstLine="640" w:firstLineChars="200"/>
        <w:rPr>
          <w:rFonts w:eastAsia="方正仿宋_GBK"/>
          <w:color w:val="FF0000"/>
          <w:sz w:val="32"/>
          <w:szCs w:val="32"/>
        </w:rPr>
      </w:pPr>
      <w:r>
        <w:rPr>
          <w:rFonts w:hint="eastAsia" w:eastAsia="方正仿宋_GBK"/>
          <w:color w:val="000000"/>
          <w:kern w:val="0"/>
          <w:sz w:val="32"/>
          <w:szCs w:val="32"/>
          <w:shd w:val="clear" w:color="auto" w:fill="FFFFFF"/>
        </w:rPr>
        <w:t>9</w:t>
      </w:r>
      <w:r>
        <w:rPr>
          <w:rFonts w:eastAsia="方正仿宋_GBK"/>
          <w:color w:val="000000"/>
          <w:kern w:val="0"/>
          <w:sz w:val="32"/>
          <w:szCs w:val="32"/>
          <w:shd w:val="clear" w:color="auto" w:fill="FFFFFF"/>
        </w:rPr>
        <w:t xml:space="preserve">. </w:t>
      </w:r>
      <w:r>
        <w:rPr>
          <w:rFonts w:hint="eastAsia" w:ascii="方正楷体_GBK" w:eastAsia="方正楷体_GBK"/>
          <w:color w:val="000000"/>
          <w:kern w:val="0"/>
          <w:sz w:val="32"/>
          <w:szCs w:val="32"/>
          <w:shd w:val="clear" w:color="auto" w:fill="FFFFFF"/>
        </w:rPr>
        <w:t>完善城市功能配套。</w:t>
      </w:r>
      <w:r>
        <w:rPr>
          <w:rFonts w:eastAsia="方正仿宋_GBK"/>
          <w:color w:val="000000" w:themeColor="text1"/>
          <w:sz w:val="32"/>
          <w:szCs w:val="32"/>
          <w14:textFill>
            <w14:solidFill>
              <w14:schemeClr w14:val="tx1"/>
            </w14:solidFill>
          </w14:textFill>
        </w:rPr>
        <w:t>全年完成农村征地2000亩、国有土地上房屋征收15万平方米，确保完成土地出让1000亩、力争</w:t>
      </w:r>
      <w:r>
        <w:rPr>
          <w:rFonts w:hint="eastAsia" w:eastAsia="方正仿宋_GBK"/>
          <w:color w:val="000000" w:themeColor="text1"/>
          <w:sz w:val="32"/>
          <w:szCs w:val="32"/>
          <w14:textFill>
            <w14:solidFill>
              <w14:schemeClr w14:val="tx1"/>
            </w14:solidFill>
          </w14:textFill>
        </w:rPr>
        <w:t>完成</w:t>
      </w:r>
      <w:r>
        <w:rPr>
          <w:rFonts w:eastAsia="方正仿宋_GBK"/>
          <w:color w:val="000000" w:themeColor="text1"/>
          <w:sz w:val="32"/>
          <w:szCs w:val="32"/>
          <w14:textFill>
            <w14:solidFill>
              <w14:schemeClr w14:val="tx1"/>
            </w14:solidFill>
          </w14:textFill>
        </w:rPr>
        <w:t>1500亩。</w:t>
      </w:r>
      <w:r>
        <w:rPr>
          <w:rFonts w:eastAsia="方正仿宋_GBK"/>
          <w:sz w:val="32"/>
          <w:szCs w:val="32"/>
        </w:rPr>
        <w:t>加大基础设施补短板力度，完工白居寺长江大桥、三纵线五台山至双山段改造、新九中路二期等项目，提速陶家隧道、嘉南线连接道等出区通道建设，启动</w:t>
      </w:r>
      <w:r>
        <w:rPr>
          <w:rFonts w:hint="eastAsia" w:eastAsia="方正仿宋_GBK"/>
          <w:sz w:val="32"/>
          <w:szCs w:val="32"/>
        </w:rPr>
        <w:t>新袁茄路南段、</w:t>
      </w:r>
      <w:r>
        <w:rPr>
          <w:rFonts w:eastAsia="方正仿宋_GBK"/>
          <w:sz w:val="32"/>
          <w:szCs w:val="32"/>
        </w:rPr>
        <w:t>刘家坝路网二期、跳磴</w:t>
      </w:r>
      <w:r>
        <w:rPr>
          <w:rFonts w:hint="eastAsia" w:eastAsia="方正仿宋_GBK"/>
          <w:sz w:val="32"/>
          <w:szCs w:val="32"/>
        </w:rPr>
        <w:t>“</w:t>
      </w:r>
      <w:r>
        <w:rPr>
          <w:rFonts w:eastAsia="方正仿宋_GBK"/>
          <w:sz w:val="32"/>
          <w:szCs w:val="32"/>
        </w:rPr>
        <w:t>两横一纵</w:t>
      </w:r>
      <w:r>
        <w:rPr>
          <w:rFonts w:hint="eastAsia" w:eastAsia="方正仿宋_GBK"/>
          <w:sz w:val="32"/>
          <w:szCs w:val="32"/>
        </w:rPr>
        <w:t>”</w:t>
      </w:r>
      <w:r>
        <w:rPr>
          <w:rFonts w:eastAsia="方正仿宋_GBK"/>
          <w:sz w:val="32"/>
          <w:szCs w:val="32"/>
        </w:rPr>
        <w:t>等道路建设。完工投用轨道江跳线，加快建设成渝铁路改造工程、轨道18号线。积极推进黄桷堡公交站场、白居寺公交站场建设，开工建设雨污水管网整治工程五期、跃进村片区雨污水管网整治工程，加快推进伏牛溪污水处理厂建设，启动35千伏中征一、二线及110千伏柏敖线等电力迁改项目。推动城市管理精细化、智慧化，</w:t>
      </w:r>
      <w:r>
        <w:rPr>
          <w:rFonts w:eastAsia="方正仿宋_GBK"/>
          <w:sz w:val="32"/>
          <w:szCs w:val="40"/>
        </w:rPr>
        <w:t>深化“</w:t>
      </w:r>
      <w:r>
        <w:rPr>
          <w:rFonts w:eastAsia="方正仿宋_GBK"/>
          <w:sz w:val="32"/>
          <w:szCs w:val="32"/>
        </w:rPr>
        <w:t>大城三管</w:t>
      </w:r>
      <w:r>
        <w:rPr>
          <w:rFonts w:eastAsia="方正仿宋_GBK"/>
          <w:sz w:val="32"/>
          <w:szCs w:val="40"/>
        </w:rPr>
        <w:t>”</w:t>
      </w:r>
      <w:r>
        <w:rPr>
          <w:rFonts w:eastAsia="方正仿宋_GBK"/>
          <w:sz w:val="32"/>
          <w:szCs w:val="32"/>
        </w:rPr>
        <w:t>，</w:t>
      </w:r>
      <w:r>
        <w:rPr>
          <w:rStyle w:val="22"/>
          <w:rFonts w:eastAsia="方正仿宋_GBK"/>
          <w:bCs/>
          <w:kern w:val="0"/>
          <w:szCs w:val="32"/>
        </w:rPr>
        <w:t>推广“五长制”“门前三包”APP智能应用，</w:t>
      </w:r>
      <w:r>
        <w:rPr>
          <w:rFonts w:eastAsia="方正仿宋_GBK"/>
          <w:color w:val="000000" w:themeColor="text1"/>
          <w:sz w:val="32"/>
          <w:szCs w:val="32"/>
          <w14:textFill>
            <w14:solidFill>
              <w14:schemeClr w14:val="tx1"/>
            </w14:solidFill>
          </w14:textFill>
        </w:rPr>
        <w:t>建设1个标准化智慧化菜市场，新改建城市公厕8座，整治春晖路、钢花路等老城区道路20万平方米，</w:t>
      </w:r>
      <w:r>
        <w:rPr>
          <w:rFonts w:eastAsia="方正仿宋_GBK"/>
          <w:sz w:val="32"/>
          <w:szCs w:val="32"/>
        </w:rPr>
        <w:t>确保停车泊位增长10%、路内停车位智能覆盖率达100%。</w:t>
      </w:r>
    </w:p>
    <w:p>
      <w:pPr>
        <w:spacing w:line="594" w:lineRule="exact"/>
        <w:ind w:firstLine="640" w:firstLineChars="200"/>
        <w:rPr>
          <w:rFonts w:eastAsia="方正仿宋_GBK"/>
          <w:sz w:val="32"/>
          <w:szCs w:val="32"/>
        </w:rPr>
      </w:pPr>
      <w:bookmarkStart w:id="5" w:name="OLE_LINK2"/>
      <w:r>
        <w:rPr>
          <w:rFonts w:eastAsia="方正仿宋_GBK"/>
          <w:color w:val="000000"/>
          <w:kern w:val="0"/>
          <w:sz w:val="32"/>
          <w:szCs w:val="32"/>
          <w:shd w:val="clear" w:color="auto" w:fill="FFFFFF"/>
        </w:rPr>
        <w:t>1</w:t>
      </w:r>
      <w:r>
        <w:rPr>
          <w:rFonts w:hint="eastAsia" w:eastAsia="方正仿宋_GBK"/>
          <w:color w:val="000000"/>
          <w:kern w:val="0"/>
          <w:sz w:val="32"/>
          <w:szCs w:val="32"/>
          <w:shd w:val="clear" w:color="auto" w:fill="FFFFFF"/>
        </w:rPr>
        <w:t>0</w:t>
      </w:r>
      <w:r>
        <w:rPr>
          <w:rFonts w:eastAsia="方正仿宋_GBK"/>
          <w:color w:val="000000"/>
          <w:kern w:val="0"/>
          <w:sz w:val="32"/>
          <w:szCs w:val="32"/>
          <w:shd w:val="clear" w:color="auto" w:fill="FFFFFF"/>
        </w:rPr>
        <w:t xml:space="preserve">. </w:t>
      </w:r>
      <w:r>
        <w:rPr>
          <w:rFonts w:hint="eastAsia" w:ascii="方正楷体_GBK" w:eastAsia="方正楷体_GBK"/>
          <w:color w:val="000000"/>
          <w:kern w:val="0"/>
          <w:sz w:val="32"/>
          <w:szCs w:val="32"/>
          <w:shd w:val="clear" w:color="auto" w:fill="FFFFFF"/>
        </w:rPr>
        <w:t>建设美丽宜居乡村。</w:t>
      </w:r>
      <w:r>
        <w:rPr>
          <w:rFonts w:eastAsia="方正仿宋_GBK"/>
          <w:sz w:val="32"/>
          <w:szCs w:val="32"/>
        </w:rPr>
        <w:t>编制实施乡村建设行动方案、农村人居环境整治5年行动方案，建设跳陶路、云新路、石新路等农村公路10公里，完成金沙路一期地质滑坡治理，推动农村人居环境成片整治工作。围绕乡村振兴，开展中梁山生态旅游发展项目策划，推进跳磴镇生态小镇建设，支持小南海温泉改造升级，实施“稻花香”“义渡桃园”等乡村旅游项目，推进金鳌田园综合体项目建设，打造中梁山—金鳌山乡村旅游标杆。发展现代都市农业，建设高标准农田1000亩，延伸柑橘产业链条，开展智慧农业项目试点，支持禄苑食品、井谷元等农产品加工企业发展壮大，农产品加工示范企业达6家。扩面深化农村“三变”改革试点，全面推广乡村治理“积分制”，开展乡村治理试点示范创建。</w:t>
      </w:r>
    </w:p>
    <w:bookmarkEnd w:id="5"/>
    <w:p>
      <w:pPr>
        <w:spacing w:line="600" w:lineRule="exact"/>
        <w:jc w:val="center"/>
        <w:rPr>
          <w:rFonts w:eastAsia="方正黑体_GBK"/>
          <w:color w:val="000000" w:themeColor="text1"/>
          <w:sz w:val="28"/>
          <w:szCs w:val="28"/>
          <w14:textFill>
            <w14:solidFill>
              <w14:schemeClr w14:val="tx1"/>
            </w14:solidFill>
          </w14:textFill>
        </w:rPr>
      </w:pPr>
      <w:r>
        <w:rPr>
          <w:rFonts w:eastAsia="方正黑体_GBK"/>
          <w:color w:val="000000" w:themeColor="text1"/>
          <w:sz w:val="28"/>
          <w:szCs w:val="28"/>
          <w14:textFill>
            <w14:solidFill>
              <w14:schemeClr w14:val="tx1"/>
            </w14:solidFill>
          </w14:textFill>
        </w:rPr>
        <w:t>专栏</w:t>
      </w:r>
      <w:r>
        <w:rPr>
          <w:rFonts w:hint="eastAsia" w:eastAsia="方正黑体_GBK"/>
          <w:color w:val="000000" w:themeColor="text1"/>
          <w:sz w:val="28"/>
          <w:szCs w:val="28"/>
          <w:lang w:val="en-US" w:eastAsia="zh-CN"/>
          <w14:textFill>
            <w14:solidFill>
              <w14:schemeClr w14:val="tx1"/>
            </w14:solidFill>
          </w14:textFill>
        </w:rPr>
        <w:t>3</w:t>
      </w:r>
      <w:r>
        <w:rPr>
          <w:rFonts w:eastAsia="方正黑体_GBK"/>
          <w:color w:val="000000" w:themeColor="text1"/>
          <w:sz w:val="28"/>
          <w:szCs w:val="28"/>
          <w14:textFill>
            <w14:solidFill>
              <w14:schemeClr w14:val="tx1"/>
            </w14:solidFill>
          </w14:textFill>
        </w:rPr>
        <w:t>：2022年城市更新重点项目</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5" w:hRule="atLeast"/>
          <w:jc w:val="center"/>
        </w:trPr>
        <w:tc>
          <w:tcPr>
            <w:tcW w:w="9039" w:type="dxa"/>
          </w:tcPr>
          <w:p>
            <w:pPr>
              <w:spacing w:line="310" w:lineRule="exact"/>
              <w:rPr>
                <w:rFonts w:eastAsia="方正仿宋_GBK"/>
                <w:color w:val="000000" w:themeColor="text1"/>
                <w:szCs w:val="21"/>
                <w14:textFill>
                  <w14:solidFill>
                    <w14:schemeClr w14:val="tx1"/>
                  </w14:solidFill>
                </w14:textFill>
              </w:rPr>
            </w:pPr>
            <w:r>
              <w:rPr>
                <w:rFonts w:eastAsia="方正黑体_GBK"/>
                <w:bCs/>
                <w:color w:val="000000" w:themeColor="text1"/>
                <w:szCs w:val="21"/>
                <w14:textFill>
                  <w14:solidFill>
                    <w14:schemeClr w14:val="tx1"/>
                  </w14:solidFill>
                </w14:textFill>
              </w:rPr>
              <w:t>公园建设：</w:t>
            </w:r>
            <w:r>
              <w:rPr>
                <w:rFonts w:eastAsia="方正仿宋_GBK"/>
                <w:color w:val="000000" w:themeColor="text1"/>
                <w:szCs w:val="21"/>
                <w14:textFill>
                  <w14:solidFill>
                    <w14:schemeClr w14:val="tx1"/>
                  </w14:solidFill>
                </w14:textFill>
              </w:rPr>
              <w:t>重钢崖线山城步道二期、心湖公园水体综合治理及景观提升、义渡公园、澜玥公园、美德公园等景观提升、大渡口区公园照明提升工程、街头绿地提升项目、双山公园品质提升工程。</w:t>
            </w:r>
          </w:p>
          <w:p>
            <w:pPr>
              <w:spacing w:line="310" w:lineRule="exact"/>
              <w:rPr>
                <w:rFonts w:eastAsia="方正仿宋_GBK"/>
                <w:color w:val="000000" w:themeColor="text1"/>
                <w:szCs w:val="21"/>
                <w14:textFill>
                  <w14:solidFill>
                    <w14:schemeClr w14:val="tx1"/>
                  </w14:solidFill>
                </w14:textFill>
              </w:rPr>
            </w:pPr>
            <w:r>
              <w:rPr>
                <w:rFonts w:eastAsia="方正黑体_GBK"/>
                <w:bCs/>
                <w:color w:val="000000" w:themeColor="text1"/>
                <w:szCs w:val="21"/>
                <w14:textFill>
                  <w14:solidFill>
                    <w14:schemeClr w14:val="tx1"/>
                  </w14:solidFill>
                </w14:textFill>
              </w:rPr>
              <w:t>道路交通：</w:t>
            </w:r>
            <w:r>
              <w:rPr>
                <w:rFonts w:eastAsia="方正仿宋_GBK"/>
                <w:color w:val="000000" w:themeColor="text1"/>
                <w:szCs w:val="21"/>
                <w14:textFill>
                  <w14:solidFill>
                    <w14:schemeClr w14:val="tx1"/>
                  </w14:solidFill>
                </w14:textFill>
              </w:rPr>
              <w:t>新开工项目：老成渝铁路改造项目大渡口段、成渝铁路改造项目大渡口区站房配套设施工程、音乐大道北延伸段、新袁茄路南段工程、新郭伏路福茄路至金建路段（地产段二期）、福晟路网、刘家坝片区路网二期、JK片区路网、八桥安置房周边道路整治工程；竣工项目：白居寺长江大桥、陈家阁立交、白居寺大桥西引道及钓鱼嘴立交、五台山立交至双山隧道、中坝路二期、新九中路道路工程二期、刘家坝片区路网一期、八桥镇金晟路网一二期。</w:t>
            </w:r>
          </w:p>
          <w:p>
            <w:pPr>
              <w:spacing w:line="310" w:lineRule="exact"/>
              <w:rPr>
                <w:rFonts w:eastAsia="方正仿宋_GBK"/>
                <w:color w:val="000000" w:themeColor="text1"/>
                <w:szCs w:val="21"/>
                <w14:textFill>
                  <w14:solidFill>
                    <w14:schemeClr w14:val="tx1"/>
                  </w14:solidFill>
                </w14:textFill>
              </w:rPr>
            </w:pPr>
            <w:r>
              <w:rPr>
                <w:rFonts w:eastAsia="方正黑体_GBK"/>
                <w:bCs/>
                <w:color w:val="000000" w:themeColor="text1"/>
                <w:szCs w:val="21"/>
                <w14:textFill>
                  <w14:solidFill>
                    <w14:schemeClr w14:val="tx1"/>
                  </w14:solidFill>
                </w14:textFill>
              </w:rPr>
              <w:t>能源配套：</w:t>
            </w:r>
            <w:r>
              <w:rPr>
                <w:rFonts w:eastAsia="方正仿宋_GBK"/>
                <w:color w:val="000000" w:themeColor="text1"/>
                <w:szCs w:val="21"/>
                <w14:textFill>
                  <w14:solidFill>
                    <w14:schemeClr w14:val="tx1"/>
                  </w14:solidFill>
                </w14:textFill>
              </w:rPr>
              <w:t>建桥C区环保科技产业园配电项目、35千伏中征一、二线及110千伏柏敖线迁改、35千伏刘海线迁改工程、刘家坝10千伏电力迁改、10千伏刘重线电力迁改。</w:t>
            </w:r>
          </w:p>
          <w:p>
            <w:pPr>
              <w:spacing w:line="310" w:lineRule="exact"/>
              <w:rPr>
                <w:rFonts w:eastAsia="方正仿宋_GBK"/>
                <w:color w:val="000000" w:themeColor="text1"/>
                <w:szCs w:val="21"/>
                <w14:textFill>
                  <w14:solidFill>
                    <w14:schemeClr w14:val="tx1"/>
                  </w14:solidFill>
                </w14:textFill>
              </w:rPr>
            </w:pPr>
            <w:r>
              <w:rPr>
                <w:rFonts w:eastAsia="方正黑体_GBK"/>
                <w:bCs/>
                <w:color w:val="000000" w:themeColor="text1"/>
                <w:szCs w:val="21"/>
                <w14:textFill>
                  <w14:solidFill>
                    <w14:schemeClr w14:val="tx1"/>
                  </w14:solidFill>
                </w14:textFill>
              </w:rPr>
              <w:t>公共配套：</w:t>
            </w:r>
            <w:r>
              <w:rPr>
                <w:rFonts w:eastAsia="方正仿宋_GBK"/>
                <w:color w:val="000000" w:themeColor="text1"/>
                <w:szCs w:val="21"/>
                <w14:textFill>
                  <w14:solidFill>
                    <w14:schemeClr w14:val="tx1"/>
                  </w14:solidFill>
                </w14:textFill>
              </w:rPr>
              <w:t>N06/03地块公交站场、中冶城邦国际旁人行天桥、37中门口人行天桥、万达广场人行天桥、大渡口区雨污水管网整治工程五期、跃进村片区雨污水管网整治工程、新建改建公厕项目、农村人居环境整治示范片项目。</w:t>
            </w:r>
          </w:p>
          <w:p>
            <w:pPr>
              <w:pStyle w:val="5"/>
              <w:spacing w:line="310" w:lineRule="exact"/>
            </w:pPr>
            <w:r>
              <w:rPr>
                <w:rFonts w:ascii="Times New Roman" w:hAnsi="Times New Roman" w:eastAsia="方正黑体_GBK"/>
                <w:bCs/>
                <w:color w:val="000000" w:themeColor="text1"/>
                <w:szCs w:val="21"/>
                <w14:textFill>
                  <w14:solidFill>
                    <w14:schemeClr w14:val="tx1"/>
                  </w14:solidFill>
                </w14:textFill>
              </w:rPr>
              <w:t>老旧小区改造：</w:t>
            </w:r>
            <w:r>
              <w:rPr>
                <w:rFonts w:ascii="Times New Roman" w:hAnsi="Times New Roman" w:eastAsia="方正仿宋_GBK"/>
                <w:color w:val="000000" w:themeColor="text1"/>
                <w:szCs w:val="21"/>
                <w14:textFill>
                  <w14:solidFill>
                    <w14:schemeClr w14:val="tx1"/>
                  </w14:solidFill>
                </w14:textFill>
              </w:rPr>
              <w:t>白沙沱社区老旧改、技光村片区老旧改、革马中心片区老旧改、大堰-堰兴片区老旧改、大堰二村片区老旧改、渝铁片区老旧改、跃新社区老旧改、跃进-钢花片区老旧改、永丰社区老旧改、创新社区老旧改、沪汉社区老旧改、锁口丘社区老旧改、翠园-新华片区老旧改、锦霞片区老旧改、新工片区老旧改、月光片区老旧改、伏牛溪社区老旧改、大堰三村片区老旧改、平安-锦凤片区老旧改、百花-庹家坳片区老旧改。</w:t>
            </w:r>
          </w:p>
        </w:tc>
      </w:tr>
    </w:tbl>
    <w:p>
      <w:pPr>
        <w:pStyle w:val="18"/>
        <w:spacing w:line="594" w:lineRule="exact"/>
        <w:ind w:firstLine="643"/>
        <w:rPr>
          <w:rFonts w:eastAsia="方正楷体_GBK"/>
          <w:b/>
          <w:bCs/>
          <w:sz w:val="32"/>
          <w:szCs w:val="32"/>
        </w:rPr>
      </w:pPr>
      <w:r>
        <w:rPr>
          <w:rFonts w:eastAsia="方正楷体_GBK"/>
          <w:b/>
          <w:bCs/>
          <w:color w:val="000000"/>
          <w:sz w:val="32"/>
          <w:szCs w:val="32"/>
          <w:shd w:val="clear" w:color="auto" w:fill="FFFFFF"/>
        </w:rPr>
        <w:t>（</w:t>
      </w:r>
      <w:r>
        <w:rPr>
          <w:rFonts w:hint="eastAsia" w:eastAsia="方正楷体_GBK"/>
          <w:b/>
          <w:bCs/>
          <w:color w:val="000000"/>
          <w:sz w:val="32"/>
          <w:szCs w:val="32"/>
          <w:shd w:val="clear" w:color="auto" w:fill="FFFFFF"/>
        </w:rPr>
        <w:t>四</w:t>
      </w:r>
      <w:r>
        <w:rPr>
          <w:rFonts w:eastAsia="方正楷体_GBK"/>
          <w:b/>
          <w:bCs/>
          <w:color w:val="000000"/>
          <w:sz w:val="32"/>
          <w:szCs w:val="32"/>
          <w:shd w:val="clear" w:color="auto" w:fill="FFFFFF"/>
        </w:rPr>
        <w:t>）深化改革开放创新，积极营造活力有序新环境</w:t>
      </w:r>
    </w:p>
    <w:p>
      <w:pPr>
        <w:spacing w:line="594" w:lineRule="exact"/>
        <w:ind w:firstLine="640" w:firstLineChars="200"/>
        <w:rPr>
          <w:rFonts w:eastAsia="方正仿宋_GBK"/>
          <w:sz w:val="32"/>
          <w:szCs w:val="32"/>
        </w:rPr>
      </w:pPr>
      <w:r>
        <w:rPr>
          <w:rFonts w:hint="eastAsia" w:eastAsia="方正仿宋_GBK"/>
          <w:color w:val="000000"/>
          <w:kern w:val="0"/>
          <w:sz w:val="32"/>
          <w:szCs w:val="32"/>
          <w:shd w:val="clear" w:color="auto" w:fill="FFFFFF"/>
        </w:rPr>
        <w:t>11</w:t>
      </w:r>
      <w:r>
        <w:rPr>
          <w:rFonts w:eastAsia="方正仿宋_GBK"/>
          <w:color w:val="000000"/>
          <w:kern w:val="0"/>
          <w:sz w:val="32"/>
          <w:szCs w:val="32"/>
          <w:shd w:val="clear" w:color="auto" w:fill="FFFFFF"/>
        </w:rPr>
        <w:t xml:space="preserve">. </w:t>
      </w:r>
      <w:r>
        <w:rPr>
          <w:rFonts w:hint="eastAsia" w:ascii="方正楷体_GBK" w:eastAsia="方正楷体_GBK"/>
          <w:color w:val="000000"/>
          <w:kern w:val="0"/>
          <w:sz w:val="32"/>
          <w:szCs w:val="32"/>
          <w:shd w:val="clear" w:color="auto" w:fill="FFFFFF"/>
        </w:rPr>
        <w:t>推动改革走深走实。</w:t>
      </w:r>
      <w:r>
        <w:rPr>
          <w:rFonts w:eastAsia="方正仿宋_GBK"/>
          <w:sz w:val="32"/>
          <w:szCs w:val="32"/>
        </w:rPr>
        <w:t>持续优化营商环境，深化“放管服”改革，全面推行“一网通办”“一窗综办”及线上线下融合办理，提升服务质效，助推全市营商环境创新试点城市建设。推动市场监管改革，实现市场监管领域“双随机、一公开”监管全覆盖，落实公平竞争审查制度。加强社会信用体系建设，完善信用分级分类监管标准，形成全区信用联合奖惩“一张单”，打造“诚信义渡”营商环境品牌。推动民营经济健康发展，全面兑现惠企政策，加强能源、用工等要素保障，构建全生命周期服务体系，促进民营经济市场主体增速达17%、民营企业增速达12%</w:t>
      </w:r>
      <w:r>
        <w:rPr>
          <w:rFonts w:hint="eastAsia" w:eastAsia="方正仿宋_GBK"/>
          <w:sz w:val="32"/>
          <w:szCs w:val="32"/>
        </w:rPr>
        <w:t>、</w:t>
      </w:r>
      <w:r>
        <w:rPr>
          <w:rFonts w:eastAsia="方正仿宋_GBK"/>
          <w:sz w:val="32"/>
          <w:szCs w:val="32"/>
        </w:rPr>
        <w:t>民营经济增加值增长6%。深化区属国资国企改革，完成国有企业改革三年行动任务，启用全区一体化国资国企在线监管平台，推动完善现代企业制度。创新投融资模式，加快推进“两江四岸”治理提升工程大滨路渔鳅浩段PPP项目，推动市级平台公司加大在区储备地开发力度，引导社会资本参与基础性、公益性项目建设运营。</w:t>
      </w:r>
    </w:p>
    <w:p>
      <w:pPr>
        <w:spacing w:line="594" w:lineRule="exact"/>
        <w:ind w:firstLine="640" w:firstLineChars="200"/>
        <w:rPr>
          <w:rFonts w:eastAsia="方正楷体_GBK"/>
        </w:rPr>
      </w:pPr>
      <w:r>
        <w:rPr>
          <w:rFonts w:hint="eastAsia" w:eastAsia="方正仿宋_GBK"/>
          <w:color w:val="000000"/>
          <w:kern w:val="0"/>
          <w:sz w:val="32"/>
          <w:szCs w:val="32"/>
          <w:shd w:val="clear" w:color="auto" w:fill="FFFFFF"/>
        </w:rPr>
        <w:t>12</w:t>
      </w:r>
      <w:r>
        <w:rPr>
          <w:rFonts w:eastAsia="方正仿宋_GBK"/>
          <w:color w:val="000000"/>
          <w:kern w:val="0"/>
          <w:sz w:val="32"/>
          <w:szCs w:val="32"/>
          <w:shd w:val="clear" w:color="auto" w:fill="FFFFFF"/>
        </w:rPr>
        <w:t xml:space="preserve">. </w:t>
      </w:r>
      <w:r>
        <w:rPr>
          <w:rFonts w:hint="eastAsia" w:ascii="方正楷体_GBK" w:eastAsia="方正楷体_GBK"/>
          <w:color w:val="000000"/>
          <w:kern w:val="0"/>
          <w:sz w:val="32"/>
          <w:szCs w:val="32"/>
          <w:shd w:val="clear" w:color="auto" w:fill="FFFFFF"/>
        </w:rPr>
        <w:t>提升开放合作水平。</w:t>
      </w:r>
      <w:r>
        <w:rPr>
          <w:rFonts w:eastAsia="方正仿宋_GBK"/>
          <w:sz w:val="32"/>
          <w:szCs w:val="32"/>
        </w:rPr>
        <w:t>做深做实区域协调发展，加快融入成渝地区双城经济圈建设，在产业链创新链协同发展、政务服务互联互通、社会事业共建共享、生态环境共治共保等领域持续发力。配合市级编制南部人文之城总体规划，加强与九龙坡、巴南等毗邻地区联动合作，共同打造</w:t>
      </w:r>
      <w:r>
        <w:rPr>
          <w:rFonts w:hint="eastAsia" w:eastAsia="方正仿宋_GBK"/>
          <w:sz w:val="32"/>
          <w:szCs w:val="32"/>
        </w:rPr>
        <w:t>“</w:t>
      </w:r>
      <w:r>
        <w:rPr>
          <w:rFonts w:eastAsia="方正仿宋_GBK"/>
          <w:sz w:val="32"/>
          <w:szCs w:val="32"/>
        </w:rPr>
        <w:t>艺术湾</w:t>
      </w:r>
      <w:r>
        <w:rPr>
          <w:rFonts w:hint="eastAsia" w:eastAsia="方正仿宋_GBK"/>
          <w:sz w:val="32"/>
          <w:szCs w:val="32"/>
        </w:rPr>
        <w:t>”</w:t>
      </w:r>
      <w:r>
        <w:rPr>
          <w:rFonts w:eastAsia="方正仿宋_GBK"/>
          <w:sz w:val="32"/>
          <w:szCs w:val="32"/>
        </w:rPr>
        <w:t>新名片，提升区域竞争力。深入落实“一区两群”协调发展部署，深化与“两群”在资源、市场、人力、资本等多领域对接互动，围绕产业园区共建、美丽乡村建设等方面实施一批对口协同示范项目。</w:t>
      </w:r>
      <w:r>
        <w:rPr>
          <w:rFonts w:eastAsia="方正仿宋_GBK"/>
          <w:color w:val="000000"/>
          <w:sz w:val="32"/>
          <w:szCs w:val="32"/>
          <w:shd w:val="clear" w:color="auto" w:fill="FFFFFF"/>
        </w:rPr>
        <w:t>加快发展开放型经济，深度融入全市内陆开放高地建设，争取高新区、自贸试验区政策，</w:t>
      </w:r>
      <w:r>
        <w:rPr>
          <w:rFonts w:eastAsia="方正仿宋_GBK"/>
          <w:sz w:val="32"/>
          <w:szCs w:val="32"/>
        </w:rPr>
        <w:t>推广应用国际贸易“单一窗口”</w:t>
      </w:r>
      <w:r>
        <w:rPr>
          <w:rFonts w:eastAsia="方正仿宋_GBK"/>
          <w:color w:val="000000"/>
          <w:sz w:val="32"/>
          <w:szCs w:val="32"/>
          <w:shd w:val="clear" w:color="auto" w:fill="FFFFFF"/>
        </w:rPr>
        <w:t>，扩大贸易便利化，主动对接RCEP经贸规则，推动扩大与东盟经贸合作范围。推动台湾中小企业产业园等开放平台升级，力争保税仓库建设落地。</w:t>
      </w:r>
      <w:r>
        <w:rPr>
          <w:rFonts w:eastAsia="方正仿宋_GBK"/>
          <w:sz w:val="32"/>
          <w:szCs w:val="32"/>
        </w:rPr>
        <w:t>围绕重点产业加大精准招商，支持国际复合、中元汇吉、虬龙科技等外贸优势企业扩大境外贸易规模，支持小规模外贸企业拓展外贸业务，积极培育跨境电商、服务外包等外贸新增长点，力争协议引资350亿元、到位资金60亿元以上，外贸进出口总额增长5%</w:t>
      </w:r>
      <w:r>
        <w:rPr>
          <w:rFonts w:hint="eastAsia" w:eastAsia="方正仿宋_GBK"/>
          <w:sz w:val="32"/>
          <w:szCs w:val="32"/>
        </w:rPr>
        <w:t>以上</w:t>
      </w:r>
      <w:r>
        <w:rPr>
          <w:rFonts w:eastAsia="方正仿宋_GBK"/>
          <w:sz w:val="32"/>
          <w:szCs w:val="32"/>
        </w:rPr>
        <w:t>。</w:t>
      </w:r>
    </w:p>
    <w:p>
      <w:pPr>
        <w:spacing w:line="594" w:lineRule="exact"/>
        <w:ind w:firstLine="640" w:firstLineChars="200"/>
        <w:rPr>
          <w:rFonts w:eastAsia="方正仿宋_GBK"/>
          <w:sz w:val="32"/>
          <w:szCs w:val="32"/>
        </w:rPr>
      </w:pPr>
      <w:r>
        <w:rPr>
          <w:rFonts w:eastAsia="方正仿宋_GBK"/>
          <w:color w:val="000000"/>
          <w:kern w:val="0"/>
          <w:sz w:val="32"/>
          <w:szCs w:val="32"/>
          <w:shd w:val="clear" w:color="auto" w:fill="FFFFFF"/>
        </w:rPr>
        <w:t>1</w:t>
      </w:r>
      <w:r>
        <w:rPr>
          <w:rFonts w:hint="eastAsia" w:eastAsia="方正仿宋_GBK"/>
          <w:color w:val="000000"/>
          <w:kern w:val="0"/>
          <w:sz w:val="32"/>
          <w:szCs w:val="32"/>
          <w:shd w:val="clear" w:color="auto" w:fill="FFFFFF"/>
        </w:rPr>
        <w:t>3</w:t>
      </w:r>
      <w:r>
        <w:rPr>
          <w:rFonts w:eastAsia="方正仿宋_GBK"/>
          <w:color w:val="000000"/>
          <w:kern w:val="0"/>
          <w:sz w:val="32"/>
          <w:szCs w:val="32"/>
          <w:shd w:val="clear" w:color="auto" w:fill="FFFFFF"/>
        </w:rPr>
        <w:t xml:space="preserve">. </w:t>
      </w:r>
      <w:r>
        <w:rPr>
          <w:rFonts w:hint="eastAsia" w:ascii="方正楷体_GBK" w:eastAsia="方正楷体_GBK"/>
          <w:color w:val="000000"/>
          <w:kern w:val="0"/>
          <w:sz w:val="32"/>
          <w:szCs w:val="32"/>
          <w:shd w:val="clear" w:color="auto" w:fill="FFFFFF"/>
        </w:rPr>
        <w:t>激发创新创造活力。</w:t>
      </w:r>
      <w:r>
        <w:rPr>
          <w:rFonts w:eastAsia="方正仿宋_GBK"/>
          <w:sz w:val="32"/>
          <w:szCs w:val="32"/>
        </w:rPr>
        <w:t>高标准建设国家双创示范基地，提升天安众创空间等现有载体孵化运营能力，完善公共服务平台，培育双创活动品牌。培育壮大创新力量，</w:t>
      </w:r>
      <w:r>
        <w:rPr>
          <w:rFonts w:hint="eastAsia" w:eastAsia="方正仿宋_GBK"/>
          <w:sz w:val="32"/>
          <w:szCs w:val="32"/>
        </w:rPr>
        <w:t>推动国家</w:t>
      </w:r>
      <w:r>
        <w:rPr>
          <w:rFonts w:eastAsia="方正仿宋_GBK"/>
          <w:sz w:val="32"/>
          <w:szCs w:val="32"/>
        </w:rPr>
        <w:t>高新技术企业达到120家、科技型企业达到450家</w:t>
      </w:r>
      <w:r>
        <w:rPr>
          <w:rFonts w:hint="eastAsia" w:eastAsia="方正仿宋_GBK"/>
          <w:sz w:val="32"/>
          <w:szCs w:val="32"/>
        </w:rPr>
        <w:t>、</w:t>
      </w:r>
      <w:r>
        <w:rPr>
          <w:rFonts w:eastAsia="方正仿宋_GBK"/>
          <w:sz w:val="32"/>
          <w:szCs w:val="32"/>
        </w:rPr>
        <w:t>市级以上研发机构达到50家。实施“科技融合产业”计划，围绕</w:t>
      </w:r>
      <w:r>
        <w:rPr>
          <w:rFonts w:eastAsia="方正仿宋_GBK"/>
          <w:bCs/>
          <w:sz w:val="32"/>
          <w:szCs w:val="32"/>
        </w:rPr>
        <w:t>产业发展需求，融合开展科技招商、主体培育、</w:t>
      </w:r>
      <w:r>
        <w:rPr>
          <w:rFonts w:eastAsia="方正仿宋_GBK"/>
          <w:sz w:val="32"/>
          <w:szCs w:val="32"/>
        </w:rPr>
        <w:t>科研攻关，深化与重庆医科大学、重庆邮电大学等科研院所“产学研”合作，支持中元汇吉创建重庆IVD研究院、IVD技术创新中心</w:t>
      </w:r>
      <w:bookmarkStart w:id="6" w:name="_Toc76660853"/>
      <w:bookmarkStart w:id="7" w:name="_Toc60777133"/>
      <w:bookmarkStart w:id="8" w:name="_Toc74045073"/>
      <w:bookmarkStart w:id="9" w:name="_Toc74045067"/>
      <w:bookmarkStart w:id="10" w:name="_Toc76660859"/>
      <w:r>
        <w:rPr>
          <w:rFonts w:eastAsia="方正仿宋_GBK"/>
          <w:sz w:val="32"/>
          <w:szCs w:val="32"/>
        </w:rPr>
        <w:t>。健全科技创新体制机制，修订完善科技奖励扶持办法，建立健全多渠道科技成果转化投入机制</w:t>
      </w:r>
      <w:bookmarkEnd w:id="6"/>
      <w:bookmarkEnd w:id="7"/>
      <w:bookmarkEnd w:id="8"/>
      <w:bookmarkEnd w:id="9"/>
      <w:bookmarkEnd w:id="10"/>
      <w:r>
        <w:rPr>
          <w:rFonts w:eastAsia="方正仿宋_GBK"/>
          <w:sz w:val="32"/>
          <w:szCs w:val="32"/>
        </w:rPr>
        <w:t xml:space="preserve">，统筹安排各类创新驱动发展资金，支持企业加大研发投入，全社会研发经费投入占GDP比重保持全市前列。积极引育创新人才，扎实推进博士后科研工作站建站管理，做好企业人才、鸿雁计划、重庆英才等项目计划申报指导和人才服务工作，引进优秀紧缺人才200名、其中高精尖缺人才60名。 </w:t>
      </w:r>
    </w:p>
    <w:p>
      <w:pPr>
        <w:spacing w:line="594" w:lineRule="exact"/>
        <w:ind w:firstLine="643" w:firstLineChars="200"/>
        <w:rPr>
          <w:rFonts w:eastAsia="方正楷体_GBK"/>
          <w:b/>
          <w:bCs/>
          <w:sz w:val="32"/>
          <w:szCs w:val="32"/>
        </w:rPr>
      </w:pPr>
      <w:r>
        <w:rPr>
          <w:rFonts w:eastAsia="方正楷体_GBK"/>
          <w:b/>
          <w:bCs/>
          <w:sz w:val="32"/>
          <w:szCs w:val="32"/>
        </w:rPr>
        <w:t>（五）践行绿色发展理念，共建共享生态文明新成果</w:t>
      </w:r>
    </w:p>
    <w:p>
      <w:pPr>
        <w:spacing w:line="594" w:lineRule="exact"/>
        <w:ind w:firstLine="640" w:firstLineChars="200"/>
        <w:rPr>
          <w:rFonts w:eastAsia="方正仿宋_GBK"/>
          <w:sz w:val="32"/>
          <w:szCs w:val="32"/>
        </w:rPr>
      </w:pPr>
      <w:r>
        <w:rPr>
          <w:rFonts w:eastAsia="方正仿宋_GBK"/>
          <w:color w:val="000000"/>
          <w:kern w:val="0"/>
          <w:sz w:val="32"/>
          <w:szCs w:val="32"/>
          <w:shd w:val="clear" w:color="auto" w:fill="FFFFFF"/>
        </w:rPr>
        <w:t xml:space="preserve">14. </w:t>
      </w:r>
      <w:r>
        <w:rPr>
          <w:rFonts w:hint="eastAsia" w:ascii="方正楷体_GBK" w:eastAsia="方正楷体_GBK"/>
          <w:color w:val="000000"/>
          <w:kern w:val="0"/>
          <w:sz w:val="32"/>
          <w:szCs w:val="32"/>
          <w:shd w:val="clear" w:color="auto" w:fill="FFFFFF"/>
        </w:rPr>
        <w:t>筑牢生态安全屏障。</w:t>
      </w:r>
      <w:r>
        <w:rPr>
          <w:rFonts w:eastAsia="方正仿宋_GBK"/>
          <w:sz w:val="32"/>
          <w:szCs w:val="32"/>
        </w:rPr>
        <w:t>编制实施《大渡口区国土空间生态修复规划（2021—2035年）》，深入实施“三线一单”分区管控，统筹划定落实三条控制线，完成永久基本农田核实整改补足工作。统筹推进山水林田湖草生态保护修复，全面推进林长制，开展国土绿化行动，完成矿山生态修复450亩。深化河长制，抓好“</w:t>
      </w:r>
      <w:r>
        <w:rPr>
          <w:rFonts w:eastAsia="方正仿宋_GBK"/>
          <w:color w:val="000000" w:themeColor="text1"/>
          <w:sz w:val="32"/>
          <w:szCs w:val="32"/>
          <w14:textFill>
            <w14:solidFill>
              <w14:schemeClr w14:val="tx1"/>
            </w14:solidFill>
          </w14:textFill>
        </w:rPr>
        <w:t>两江四岸</w:t>
      </w:r>
      <w:r>
        <w:rPr>
          <w:rFonts w:eastAsia="方正仿宋_GBK"/>
          <w:sz w:val="32"/>
          <w:szCs w:val="32"/>
        </w:rPr>
        <w:t>”</w:t>
      </w:r>
      <w:r>
        <w:rPr>
          <w:rFonts w:eastAsia="方正仿宋_GBK"/>
          <w:color w:val="000000" w:themeColor="text1"/>
          <w:sz w:val="32"/>
          <w:szCs w:val="32"/>
          <w14:textFill>
            <w14:solidFill>
              <w14:schemeClr w14:val="tx1"/>
            </w14:solidFill>
          </w14:textFill>
        </w:rPr>
        <w:t>项目提质，推进葛老溪段、渔鳅浩段、茄子溪段及钓鱼嘴滨江段建设，确保长江文化艺术湾区范围内岸线治理工程全建成。</w:t>
      </w:r>
      <w:r>
        <w:rPr>
          <w:rFonts w:eastAsia="方正仿宋_GBK"/>
          <w:sz w:val="32"/>
          <w:szCs w:val="32"/>
        </w:rPr>
        <w:t>抓好长江十年禁渔，</w:t>
      </w:r>
      <w:r>
        <w:rPr>
          <w:rFonts w:eastAsia="方正仿宋_GBK"/>
          <w:sz w:val="32"/>
          <w:szCs w:val="32"/>
          <w:shd w:val="clear" w:color="auto" w:fill="FFFFFF"/>
        </w:rPr>
        <w:t>推进长江水生生物多样性恢复。</w:t>
      </w:r>
    </w:p>
    <w:p>
      <w:pPr>
        <w:spacing w:line="594" w:lineRule="exact"/>
        <w:ind w:firstLine="640" w:firstLineChars="200"/>
        <w:rPr>
          <w:rFonts w:eastAsia="方正仿宋_GBK"/>
          <w:sz w:val="32"/>
          <w:szCs w:val="32"/>
        </w:rPr>
      </w:pPr>
      <w:r>
        <w:rPr>
          <w:rFonts w:eastAsia="方正仿宋_GBK"/>
          <w:color w:val="000000"/>
          <w:kern w:val="0"/>
          <w:sz w:val="32"/>
          <w:szCs w:val="32"/>
          <w:shd w:val="clear" w:color="auto" w:fill="FFFFFF"/>
        </w:rPr>
        <w:t>15.</w:t>
      </w:r>
      <w:r>
        <w:rPr>
          <w:rFonts w:eastAsia="方正仿宋_GBK"/>
          <w:color w:val="000000"/>
          <w:kern w:val="0"/>
          <w:sz w:val="36"/>
          <w:szCs w:val="36"/>
          <w:shd w:val="clear" w:color="auto" w:fill="FFFFFF"/>
        </w:rPr>
        <w:t xml:space="preserve"> </w:t>
      </w:r>
      <w:r>
        <w:rPr>
          <w:rFonts w:eastAsia="方正楷体_GBK"/>
          <w:sz w:val="32"/>
          <w:szCs w:val="32"/>
        </w:rPr>
        <w:t>加大污染防治力度。</w:t>
      </w:r>
      <w:r>
        <w:rPr>
          <w:rFonts w:eastAsia="方正仿宋_GBK"/>
          <w:sz w:val="32"/>
          <w:szCs w:val="32"/>
        </w:rPr>
        <w:t>扎实推进第二轮中央生态环保督察和市级环保集中督察反馈问题整改，深入开展环境安全隐患排查整治专项行动，确保生态环境领域安全稳定。强化大气污染联防联治，抓好工地扬尘控制、道路交通污染和企业废气综合治理，空气质量优良天数达到315天以上。强化水污染防治，完成跳磴河“清水绿岸”</w:t>
      </w:r>
      <w:r>
        <w:rPr>
          <w:rFonts w:hint="eastAsia" w:eastAsia="方正仿宋_GBK"/>
          <w:sz w:val="32"/>
          <w:szCs w:val="32"/>
          <w:lang w:eastAsia="zh-CN"/>
        </w:rPr>
        <w:t>治理提升工程</w:t>
      </w:r>
      <w:r>
        <w:rPr>
          <w:rFonts w:eastAsia="方正仿宋_GBK"/>
          <w:sz w:val="32"/>
          <w:szCs w:val="32"/>
        </w:rPr>
        <w:t>二期建设，深入落实市总河长令，抓好农业面源污染防治和入河排污口治理，确保饮用水源地水质达标率100%。加快重钢片区污染地块治理修复进度，完成土壤治理修复500亩，巩固土壤安全。强化噪声排放源监督管理，严格执行施工、工业、交通、社会噪声排放限值或排放标准，改善全区声环境质量。</w:t>
      </w:r>
    </w:p>
    <w:p>
      <w:pPr>
        <w:spacing w:line="594" w:lineRule="exact"/>
        <w:ind w:firstLine="640" w:firstLineChars="200"/>
        <w:rPr>
          <w:rFonts w:eastAsia="方正仿宋_GBK"/>
          <w:sz w:val="32"/>
          <w:szCs w:val="32"/>
        </w:rPr>
      </w:pPr>
      <w:r>
        <w:rPr>
          <w:rFonts w:eastAsia="方正仿宋_GBK"/>
          <w:sz w:val="32"/>
          <w:szCs w:val="32"/>
        </w:rPr>
        <w:t xml:space="preserve">16. </w:t>
      </w:r>
      <w:r>
        <w:rPr>
          <w:rFonts w:eastAsia="方正楷体_GBK"/>
          <w:sz w:val="32"/>
          <w:szCs w:val="32"/>
        </w:rPr>
        <w:t>加快绿色低碳发展。</w:t>
      </w:r>
      <w:r>
        <w:rPr>
          <w:rFonts w:eastAsia="方正仿宋_GBK"/>
          <w:sz w:val="32"/>
          <w:szCs w:val="32"/>
        </w:rPr>
        <w:t>扎实推进碳达峰碳中和工作，编制实施“十四五”碳达峰工作行动方案和行动计划，加强能源消费总量和强度“双控”，抓好“两高”项目排查整改，推动用能权、碳排放权交易。促进资源节约集约循环利用，推动高新区建桥园绿色化、循环化改造，全面推进清洁生产。深入开展生活垃圾分类，加强塑料污染治理，推进建筑垃圾、工业废弃物、危险废弃物等资源化利用和无害化处理，倡导绿色出行、绿色消费等绿色生活方式，推进减污降碳协同增效。</w:t>
      </w:r>
    </w:p>
    <w:p>
      <w:pPr>
        <w:spacing w:line="600" w:lineRule="exact"/>
        <w:jc w:val="center"/>
        <w:rPr>
          <w:rFonts w:eastAsia="方正黑体_GBK"/>
          <w:color w:val="000000" w:themeColor="text1"/>
          <w:sz w:val="28"/>
          <w:szCs w:val="28"/>
          <w14:textFill>
            <w14:solidFill>
              <w14:schemeClr w14:val="tx1"/>
            </w14:solidFill>
          </w14:textFill>
        </w:rPr>
      </w:pPr>
      <w:r>
        <w:rPr>
          <w:rFonts w:eastAsia="方正黑体_GBK"/>
          <w:color w:val="000000" w:themeColor="text1"/>
          <w:sz w:val="28"/>
          <w:szCs w:val="28"/>
          <w14:textFill>
            <w14:solidFill>
              <w14:schemeClr w14:val="tx1"/>
            </w14:solidFill>
          </w14:textFill>
        </w:rPr>
        <w:t>专栏</w:t>
      </w:r>
      <w:r>
        <w:rPr>
          <w:rFonts w:hint="eastAsia" w:eastAsia="方正黑体_GBK"/>
          <w:color w:val="000000" w:themeColor="text1"/>
          <w:sz w:val="28"/>
          <w:szCs w:val="28"/>
          <w:lang w:val="en-US" w:eastAsia="zh-CN"/>
          <w14:textFill>
            <w14:solidFill>
              <w14:schemeClr w14:val="tx1"/>
            </w14:solidFill>
          </w14:textFill>
        </w:rPr>
        <w:t>4</w:t>
      </w:r>
      <w:r>
        <w:rPr>
          <w:rFonts w:eastAsia="方正黑体_GBK"/>
          <w:color w:val="000000" w:themeColor="text1"/>
          <w:sz w:val="28"/>
          <w:szCs w:val="28"/>
          <w14:textFill>
            <w14:solidFill>
              <w14:schemeClr w14:val="tx1"/>
            </w14:solidFill>
          </w14:textFill>
        </w:rPr>
        <w:t>：2022年环境治理提升项目</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940" w:type="dxa"/>
            <w:vAlign w:val="center"/>
          </w:tcPr>
          <w:p>
            <w:pPr>
              <w:spacing w:line="270" w:lineRule="exact"/>
              <w:rPr>
                <w:rFonts w:eastAsia="方正仿宋_GBK"/>
                <w:color w:val="000000" w:themeColor="text1"/>
                <w:szCs w:val="21"/>
                <w14:textFill>
                  <w14:solidFill>
                    <w14:schemeClr w14:val="tx1"/>
                  </w14:solidFill>
                </w14:textFill>
              </w:rPr>
            </w:pPr>
            <w:r>
              <w:rPr>
                <w:rFonts w:eastAsia="方正仿宋_GBK"/>
                <w:color w:val="000000" w:themeColor="text1"/>
                <w:szCs w:val="21"/>
                <w14:textFill>
                  <w14:solidFill>
                    <w14:schemeClr w14:val="tx1"/>
                  </w14:solidFill>
                </w14:textFill>
              </w:rPr>
              <w:t>“两江四岸”治理提升工程大滨路葛老溪段、“两江四岸”治理提升建设工程大滨路渔鳅浩段、“两江四岸”治理提升工程大滨路茄子溪段、“两江四岸”治理提升工程钓鱼嘴半岛滨江岸线段、跳磴河“清水绿岸”治理提升工程、伏牛溪污水处理厂建设工程一期、茄子溪片区土壤污染治理工程、刘家坝东片区土壤污染治理工程、H01-2-1、H01-2-2、H01-3地块土壤污染治理修复工程。</w:t>
            </w:r>
          </w:p>
        </w:tc>
      </w:tr>
    </w:tbl>
    <w:p>
      <w:pPr>
        <w:pStyle w:val="18"/>
        <w:spacing w:line="594" w:lineRule="exact"/>
        <w:ind w:firstLine="643"/>
        <w:rPr>
          <w:rFonts w:eastAsia="方正楷体_GBK"/>
          <w:b/>
          <w:bCs/>
          <w:sz w:val="32"/>
          <w:szCs w:val="32"/>
        </w:rPr>
      </w:pPr>
      <w:r>
        <w:rPr>
          <w:rFonts w:eastAsia="方正楷体_GBK"/>
          <w:b/>
          <w:bCs/>
          <w:sz w:val="32"/>
          <w:szCs w:val="32"/>
        </w:rPr>
        <w:t>（六）实施民生改善行动，努力满足人民群众新期盼</w:t>
      </w:r>
    </w:p>
    <w:p>
      <w:pPr>
        <w:spacing w:line="594" w:lineRule="exact"/>
        <w:ind w:firstLine="640" w:firstLineChars="200"/>
      </w:pPr>
      <w:r>
        <w:rPr>
          <w:rFonts w:eastAsia="方正仿宋_GBK"/>
          <w:sz w:val="32"/>
          <w:szCs w:val="32"/>
        </w:rPr>
        <w:t>17.</w:t>
      </w:r>
      <w:r>
        <w:rPr>
          <w:rFonts w:eastAsia="方正楷体_GBK"/>
          <w:sz w:val="32"/>
          <w:szCs w:val="32"/>
        </w:rPr>
        <w:t xml:space="preserve"> 切实兜牢民生底线。</w:t>
      </w:r>
      <w:r>
        <w:rPr>
          <w:rFonts w:eastAsia="方正仿宋_GBK"/>
          <w:sz w:val="32"/>
          <w:szCs w:val="32"/>
        </w:rPr>
        <w:t>全力促进居民就业增收，深入开展就业援助月、春风行动、民营企业招聘月、“助企用工、暖心送岗”等专项行动，启动“智能+技能”高新技能人才新职业培训，突出抓好高校毕业生、“零就业家庭”等重点群体多渠道就业工作，全年开展职业技能培训5000人，新增城镇就业10000人。巩固全民参保登记成果，突出农民工、灵活就业人员、新业态从业人员等重点群体参保扩面，确保养老保险参保率巩固在95%以上；做好农村人口医保参保工作，落实城乡居民“两病”门诊用药保障，持续推进跨省异地联网结算。健全分层分类社会救助体系，完善“社会救助+慈善+关爱援助”联动机制，加强残疾人、贫困人口基本生活保障。关爱妇女儿童、青少年，积极推进妇女儿童活动中心、青少年活动中心置换选址工作。做好退役军人服务保障工作</w:t>
      </w:r>
      <w:r>
        <w:rPr>
          <w:rFonts w:hint="eastAsia" w:eastAsia="方正仿宋_GBK"/>
          <w:sz w:val="32"/>
          <w:szCs w:val="32"/>
        </w:rPr>
        <w:t>，完成全国示范型退役军人服务中心创建工作</w:t>
      </w:r>
      <w:r>
        <w:rPr>
          <w:rFonts w:eastAsia="方正仿宋_GBK"/>
          <w:sz w:val="32"/>
          <w:szCs w:val="32"/>
        </w:rPr>
        <w:t>。</w:t>
      </w:r>
      <w:r>
        <w:rPr>
          <w:rFonts w:hint="eastAsia" w:eastAsia="方正仿宋_GBK"/>
          <w:sz w:val="32"/>
          <w:szCs w:val="32"/>
        </w:rPr>
        <w:t>继续</w:t>
      </w:r>
      <w:r>
        <w:rPr>
          <w:rFonts w:eastAsia="方正仿宋_GBK"/>
          <w:sz w:val="32"/>
          <w:szCs w:val="32"/>
        </w:rPr>
        <w:t>办好一批“急难愁盼”民生实事，提升群众幸福指数。</w:t>
      </w:r>
    </w:p>
    <w:p>
      <w:pPr>
        <w:spacing w:line="594" w:lineRule="exact"/>
        <w:ind w:firstLine="640" w:firstLineChars="200"/>
      </w:pPr>
      <w:r>
        <w:rPr>
          <w:rFonts w:eastAsia="方正仿宋_GBK"/>
          <w:sz w:val="32"/>
          <w:szCs w:val="32"/>
        </w:rPr>
        <w:t xml:space="preserve">18. </w:t>
      </w:r>
      <w:r>
        <w:rPr>
          <w:rFonts w:hint="eastAsia" w:ascii="方正楷体_GBK" w:eastAsia="方正楷体_GBK"/>
          <w:sz w:val="32"/>
          <w:szCs w:val="32"/>
        </w:rPr>
        <w:t>优化公共服务供给。</w:t>
      </w:r>
      <w:r>
        <w:rPr>
          <w:rFonts w:eastAsia="方正仿宋_GBK"/>
          <w:sz w:val="32"/>
          <w:szCs w:val="32"/>
        </w:rPr>
        <w:t>以争创全国文明城区为抓手，全力提升公共服务水平。加快补齐教育资源短板，持续扩大集团化办学规模，推进林语春风、天邻山水等4所普惠性幼儿园建设，公办园在园幼儿人数占比达54%以上、普惠率达93%以上。竣工投用F10地块（朵力迎宾大道旁）新建小学，完工M36地块（荣安林语春风南侧）、I03地块（荣盛城西北侧）、I59地块（天邻山水安置房东南侧）新建学校，新开工李雪芮运动学校等5所学校，启动音乐附中、附小前期工作。大力推进产教融合，支持高等教育、职业教育发展。提升公共卫生服务水平，</w:t>
      </w:r>
      <w:r>
        <w:rPr>
          <w:rFonts w:hint="eastAsia" w:eastAsia="方正仿宋_GBK"/>
          <w:sz w:val="32"/>
          <w:szCs w:val="32"/>
        </w:rPr>
        <w:t>启动三级医院创建工作，</w:t>
      </w:r>
      <w:r>
        <w:rPr>
          <w:rFonts w:eastAsia="方正仿宋_GBK"/>
          <w:sz w:val="32"/>
          <w:szCs w:val="32"/>
        </w:rPr>
        <w:t>加快建设重医</w:t>
      </w:r>
      <w:r>
        <w:rPr>
          <w:rFonts w:hint="eastAsia" w:eastAsia="方正仿宋_GBK"/>
          <w:sz w:val="32"/>
          <w:szCs w:val="32"/>
        </w:rPr>
        <w:t>大</w:t>
      </w:r>
      <w:r>
        <w:rPr>
          <w:rFonts w:eastAsia="方正仿宋_GBK"/>
          <w:sz w:val="32"/>
          <w:szCs w:val="32"/>
        </w:rPr>
        <w:t>附属康复医院和区中医院新建工程，稳步推进疾病预防控制体系改革，实施“三通”医共体建设。扎实做好常态化疫情防控和局部应急处置，统筹推进新冠疫苗全民免费接种工作。实施健康中国15个专项行动，全面推进爱国卫生运动、健康细胞建设。促进文体事业繁荣发展，支持工业博物馆申报4A级景区，积极推进文化馆搬迁、钢花影剧院修缮利用、</w:t>
      </w:r>
      <w:r>
        <w:rPr>
          <w:rFonts w:hint="eastAsia" w:eastAsia="方正仿宋_GBK"/>
          <w:sz w:val="32"/>
          <w:szCs w:val="32"/>
        </w:rPr>
        <w:t>区</w:t>
      </w:r>
      <w:r>
        <w:rPr>
          <w:rFonts w:eastAsia="方正仿宋_GBK"/>
          <w:sz w:val="32"/>
          <w:szCs w:val="32"/>
        </w:rPr>
        <w:t>美术馆建设，加快24小时城市书房和博物馆数字化建设，启动文物保护利用项目3个</w:t>
      </w:r>
      <w:r>
        <w:rPr>
          <w:rFonts w:hint="eastAsia" w:eastAsia="方正仿宋_GBK"/>
          <w:sz w:val="32"/>
          <w:szCs w:val="32"/>
        </w:rPr>
        <w:t>。</w:t>
      </w:r>
      <w:r>
        <w:rPr>
          <w:rFonts w:eastAsia="方正仿宋_GBK"/>
          <w:sz w:val="32"/>
          <w:szCs w:val="32"/>
        </w:rPr>
        <w:t>广泛开展群众身边的健身活动，办好精品体育赛事，全力备战市第七届运动会。加强养老服务多元供给，实现农村养老服务设施全覆盖，试点推进</w:t>
      </w:r>
      <w:r>
        <w:rPr>
          <w:rFonts w:hint="eastAsia" w:ascii="方正仿宋_GBK" w:eastAsia="方正仿宋_GBK"/>
          <w:sz w:val="32"/>
          <w:szCs w:val="32"/>
        </w:rPr>
        <w:t>“</w:t>
      </w:r>
      <w:r>
        <w:rPr>
          <w:rFonts w:eastAsia="方正仿宋_GBK"/>
          <w:sz w:val="32"/>
          <w:szCs w:val="32"/>
        </w:rPr>
        <w:t>家庭床位</w:t>
      </w:r>
      <w:r>
        <w:rPr>
          <w:rFonts w:hint="eastAsia" w:ascii="方正仿宋_GBK" w:eastAsia="方正仿宋_GBK"/>
          <w:sz w:val="32"/>
          <w:szCs w:val="32"/>
        </w:rPr>
        <w:t>”</w:t>
      </w:r>
      <w:r>
        <w:rPr>
          <w:rFonts w:eastAsia="方正仿宋_GBK"/>
          <w:sz w:val="32"/>
          <w:szCs w:val="32"/>
        </w:rPr>
        <w:t>建设，持续开展养老机构服务质量专项提升行动。</w:t>
      </w:r>
    </w:p>
    <w:p>
      <w:pPr>
        <w:spacing w:line="600" w:lineRule="exact"/>
        <w:jc w:val="center"/>
        <w:rPr>
          <w:rFonts w:eastAsia="方正黑体_GBK"/>
          <w:color w:val="000000" w:themeColor="text1"/>
          <w:sz w:val="28"/>
          <w:szCs w:val="28"/>
          <w14:textFill>
            <w14:solidFill>
              <w14:schemeClr w14:val="tx1"/>
            </w14:solidFill>
          </w14:textFill>
        </w:rPr>
      </w:pPr>
      <w:r>
        <w:rPr>
          <w:rFonts w:eastAsia="方正黑体_GBK"/>
          <w:color w:val="000000" w:themeColor="text1"/>
          <w:sz w:val="28"/>
          <w:szCs w:val="28"/>
          <w14:textFill>
            <w14:solidFill>
              <w14:schemeClr w14:val="tx1"/>
            </w14:solidFill>
          </w14:textFill>
        </w:rPr>
        <w:t>专栏</w:t>
      </w:r>
      <w:r>
        <w:rPr>
          <w:rFonts w:hint="eastAsia" w:eastAsia="方正黑体_GBK"/>
          <w:color w:val="000000" w:themeColor="text1"/>
          <w:sz w:val="28"/>
          <w:szCs w:val="28"/>
          <w:lang w:val="en-US" w:eastAsia="zh-CN"/>
          <w14:textFill>
            <w14:solidFill>
              <w14:schemeClr w14:val="tx1"/>
            </w14:solidFill>
          </w14:textFill>
        </w:rPr>
        <w:t>5</w:t>
      </w:r>
      <w:r>
        <w:rPr>
          <w:rFonts w:eastAsia="方正黑体_GBK"/>
          <w:color w:val="000000" w:themeColor="text1"/>
          <w:sz w:val="28"/>
          <w:szCs w:val="28"/>
          <w14:textFill>
            <w14:solidFill>
              <w14:schemeClr w14:val="tx1"/>
            </w14:solidFill>
          </w14:textFill>
        </w:rPr>
        <w:t>：2022年公共服务建设项目</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6" w:type="dxa"/>
          </w:tcPr>
          <w:p>
            <w:pPr>
              <w:spacing w:line="270" w:lineRule="exact"/>
              <w:rPr>
                <w:rFonts w:eastAsia="方正仿宋_GBK"/>
                <w:color w:val="000000" w:themeColor="text1"/>
                <w:szCs w:val="21"/>
                <w14:textFill>
                  <w14:solidFill>
                    <w14:schemeClr w14:val="tx1"/>
                  </w14:solidFill>
                </w14:textFill>
              </w:rPr>
            </w:pPr>
            <w:r>
              <w:rPr>
                <w:rFonts w:hint="eastAsia" w:ascii="方正黑体_GBK" w:eastAsia="方正黑体_GBK"/>
                <w:bCs/>
                <w:color w:val="000000" w:themeColor="text1"/>
                <w:szCs w:val="21"/>
                <w14:textFill>
                  <w14:solidFill>
                    <w14:schemeClr w14:val="tx1"/>
                  </w14:solidFill>
                </w14:textFill>
              </w:rPr>
              <w:t>学校建设：</w:t>
            </w:r>
            <w:r>
              <w:rPr>
                <w:rFonts w:eastAsia="方正仿宋_GBK"/>
                <w:color w:val="000000" w:themeColor="text1"/>
                <w:szCs w:val="21"/>
                <w14:textFill>
                  <w14:solidFill>
                    <w14:schemeClr w14:val="tx1"/>
                  </w14:solidFill>
                </w14:textFill>
              </w:rPr>
              <w:t>新开工项目：长江音乐学院、李雪芮运动学校、茄子溪中学扩建工程、区实验小学扩建、37中A区综合楼扩建、F11地块（中铁建西派宸樾南侧）新建小学、L29地块(工业博物馆西侧）新建小学、D9地块（华仁万有广场北侧）新建学校、J5地块（公民小学南侧）新建初中；竣工项目：民族中学</w:t>
            </w:r>
            <w:r>
              <w:rPr>
                <w:rFonts w:hint="eastAsia" w:eastAsia="方正仿宋_GBK"/>
                <w:color w:val="000000" w:themeColor="text1"/>
                <w:szCs w:val="21"/>
                <w14:textFill>
                  <w14:solidFill>
                    <w14:schemeClr w14:val="tx1"/>
                  </w14:solidFill>
                </w14:textFill>
              </w:rPr>
              <w:t>和</w:t>
            </w:r>
            <w:r>
              <w:rPr>
                <w:rFonts w:eastAsia="方正仿宋_GBK"/>
                <w:color w:val="000000" w:themeColor="text1"/>
                <w:szCs w:val="21"/>
                <w14:textFill>
                  <w14:solidFill>
                    <w14:schemeClr w14:val="tx1"/>
                  </w14:solidFill>
                </w14:textFill>
              </w:rPr>
              <w:t>庹家坳小学扩建、M36地块（荣安林语春风南侧）新建小学、F10地块（朵力迎宾大道旁）新建小学、I03地块（荣盛城西北侧）新建小学、I59地块（天邻山水安置房东南侧）新建小学。</w:t>
            </w:r>
          </w:p>
          <w:p>
            <w:pPr>
              <w:spacing w:line="270" w:lineRule="exact"/>
              <w:rPr>
                <w:rFonts w:eastAsia="方正仿宋_GBK"/>
                <w:color w:val="000000" w:themeColor="text1"/>
                <w:szCs w:val="21"/>
                <w14:textFill>
                  <w14:solidFill>
                    <w14:schemeClr w14:val="tx1"/>
                  </w14:solidFill>
                </w14:textFill>
              </w:rPr>
            </w:pPr>
            <w:r>
              <w:rPr>
                <w:rFonts w:hint="eastAsia" w:ascii="方正黑体_GBK" w:eastAsia="方正黑体_GBK"/>
                <w:bCs/>
                <w:color w:val="000000" w:themeColor="text1"/>
                <w:szCs w:val="21"/>
                <w14:textFill>
                  <w14:solidFill>
                    <w14:schemeClr w14:val="tx1"/>
                  </w14:solidFill>
                </w14:textFill>
              </w:rPr>
              <w:t>文体设施：</w:t>
            </w:r>
            <w:r>
              <w:rPr>
                <w:rFonts w:eastAsia="方正仿宋_GBK"/>
                <w:color w:val="000000" w:themeColor="text1"/>
                <w:szCs w:val="21"/>
                <w14:textFill>
                  <w14:solidFill>
                    <w14:schemeClr w14:val="tx1"/>
                  </w14:solidFill>
                </w14:textFill>
              </w:rPr>
              <w:t>钢花影剧院活化利用项目、区美术馆改建项目、李雪芮全民健身运动中心。</w:t>
            </w:r>
          </w:p>
          <w:p>
            <w:pPr>
              <w:spacing w:line="270" w:lineRule="exact"/>
              <w:rPr>
                <w:rFonts w:eastAsia="方正仿宋_GBK"/>
                <w:color w:val="000000" w:themeColor="text1"/>
                <w:szCs w:val="21"/>
                <w14:textFill>
                  <w14:solidFill>
                    <w14:schemeClr w14:val="tx1"/>
                  </w14:solidFill>
                </w14:textFill>
              </w:rPr>
            </w:pPr>
            <w:r>
              <w:rPr>
                <w:rFonts w:hint="eastAsia" w:ascii="方正黑体_GBK" w:eastAsia="方正黑体_GBK"/>
                <w:bCs/>
                <w:color w:val="000000" w:themeColor="text1"/>
                <w:szCs w:val="21"/>
                <w14:textFill>
                  <w14:solidFill>
                    <w14:schemeClr w14:val="tx1"/>
                  </w14:solidFill>
                </w14:textFill>
              </w:rPr>
              <w:t>医疗卫生：</w:t>
            </w:r>
            <w:r>
              <w:rPr>
                <w:rFonts w:eastAsia="方正仿宋_GBK"/>
                <w:color w:val="000000" w:themeColor="text1"/>
                <w:szCs w:val="21"/>
                <w14:textFill>
                  <w14:solidFill>
                    <w14:schemeClr w14:val="tx1"/>
                  </w14:solidFill>
                </w14:textFill>
              </w:rPr>
              <w:t>重庆市残疾人康复中心一期升级改造工程、重庆市残疾人康复中心二期工程、区中医院新建工程、新山村社区卫生服务中心华润院区。</w:t>
            </w:r>
          </w:p>
          <w:p>
            <w:pPr>
              <w:spacing w:line="270" w:lineRule="exact"/>
              <w:rPr>
                <w:rFonts w:eastAsia="方正仿宋_GBK"/>
                <w:color w:val="000000" w:themeColor="text1"/>
                <w:sz w:val="24"/>
                <w:szCs w:val="24"/>
                <w14:textFill>
                  <w14:solidFill>
                    <w14:schemeClr w14:val="tx1"/>
                  </w14:solidFill>
                </w14:textFill>
              </w:rPr>
            </w:pPr>
            <w:r>
              <w:rPr>
                <w:rFonts w:hint="eastAsia" w:ascii="方正黑体_GBK" w:eastAsia="方正黑体_GBK"/>
                <w:bCs/>
                <w:color w:val="000000" w:themeColor="text1"/>
                <w:szCs w:val="21"/>
                <w14:textFill>
                  <w14:solidFill>
                    <w14:schemeClr w14:val="tx1"/>
                  </w14:solidFill>
                </w14:textFill>
              </w:rPr>
              <w:t>安置房项目：</w:t>
            </w:r>
            <w:r>
              <w:rPr>
                <w:rFonts w:eastAsia="方正仿宋_GBK"/>
                <w:color w:val="000000" w:themeColor="text1"/>
                <w:szCs w:val="21"/>
                <w14:textFill>
                  <w14:solidFill>
                    <w14:schemeClr w14:val="tx1"/>
                  </w14:solidFill>
                </w14:textFill>
              </w:rPr>
              <w:t>P1安置房1#2#地块、半岛佳园安置房、K6&amp;K9安置房项目、桥隆和锦苑。</w:t>
            </w:r>
          </w:p>
        </w:tc>
      </w:tr>
    </w:tbl>
    <w:p>
      <w:pPr>
        <w:pStyle w:val="2"/>
        <w:spacing w:after="0" w:line="594" w:lineRule="exact"/>
        <w:ind w:firstLine="640" w:firstLineChars="200"/>
      </w:pPr>
      <w:r>
        <w:rPr>
          <w:rFonts w:eastAsia="方正仿宋_GBK"/>
          <w:sz w:val="32"/>
          <w:szCs w:val="32"/>
        </w:rPr>
        <w:t xml:space="preserve">19. </w:t>
      </w:r>
      <w:r>
        <w:rPr>
          <w:rFonts w:hint="eastAsia" w:ascii="方正楷体_GBK" w:eastAsia="方正楷体_GBK"/>
          <w:sz w:val="32"/>
          <w:szCs w:val="32"/>
        </w:rPr>
        <w:t>维护社会安全稳定。</w:t>
      </w:r>
      <w:r>
        <w:rPr>
          <w:rFonts w:eastAsia="方正仿宋_GBK"/>
          <w:sz w:val="32"/>
          <w:szCs w:val="32"/>
        </w:rPr>
        <w:t>推动基层治理现代化，实施信访突出问题专项治理，</w:t>
      </w:r>
      <w:r>
        <w:rPr>
          <w:rFonts w:hint="eastAsia" w:eastAsia="方正仿宋_GBK"/>
          <w:sz w:val="32"/>
          <w:szCs w:val="32"/>
        </w:rPr>
        <w:t>完善“</w:t>
      </w:r>
      <w:r>
        <w:rPr>
          <w:rFonts w:eastAsia="方正仿宋_GBK"/>
          <w:sz w:val="32"/>
          <w:szCs w:val="32"/>
        </w:rPr>
        <w:t>莎姐</w:t>
      </w:r>
      <w:r>
        <w:rPr>
          <w:rFonts w:hint="eastAsia" w:eastAsia="方正仿宋_GBK"/>
          <w:sz w:val="32"/>
          <w:szCs w:val="32"/>
        </w:rPr>
        <w:t>”三级矛盾纠纷调处机制</w:t>
      </w:r>
      <w:r>
        <w:rPr>
          <w:rFonts w:eastAsia="方正仿宋_GBK"/>
          <w:sz w:val="32"/>
          <w:szCs w:val="32"/>
        </w:rPr>
        <w:t>，强化数字化治理，</w:t>
      </w:r>
      <w:r>
        <w:rPr>
          <w:rFonts w:hint="eastAsia" w:eastAsia="方正仿宋_GBK"/>
          <w:sz w:val="32"/>
          <w:szCs w:val="32"/>
        </w:rPr>
        <w:t>启动城市综合管理暨智慧应急平台建设，</w:t>
      </w:r>
      <w:r>
        <w:rPr>
          <w:rFonts w:eastAsia="方正仿宋_GBK"/>
          <w:sz w:val="32"/>
          <w:szCs w:val="32"/>
        </w:rPr>
        <w:t>探索</w:t>
      </w:r>
      <w:r>
        <w:rPr>
          <w:rFonts w:hint="eastAsia" w:eastAsia="方正仿宋_GBK"/>
          <w:sz w:val="32"/>
          <w:szCs w:val="32"/>
        </w:rPr>
        <w:t>“</w:t>
      </w:r>
      <w:r>
        <w:rPr>
          <w:rFonts w:eastAsia="方正仿宋_GBK"/>
          <w:sz w:val="32"/>
          <w:szCs w:val="32"/>
        </w:rPr>
        <w:t>雪亮+</w:t>
      </w:r>
      <w:r>
        <w:rPr>
          <w:rFonts w:hint="eastAsia" w:eastAsia="方正仿宋_GBK"/>
          <w:sz w:val="32"/>
          <w:szCs w:val="32"/>
        </w:rPr>
        <w:t>”</w:t>
      </w:r>
      <w:r>
        <w:rPr>
          <w:rFonts w:eastAsia="方正仿宋_GBK"/>
          <w:sz w:val="32"/>
          <w:szCs w:val="32"/>
        </w:rPr>
        <w:t>深度应用，推进社会资源整合上云。健全社会治安防控体系，启动9个治安立体防控体系建设项目、</w:t>
      </w:r>
      <w:r>
        <w:rPr>
          <w:rFonts w:eastAsia="方正仿宋_GBK"/>
          <w:color w:val="000000"/>
          <w:sz w:val="32"/>
          <w:szCs w:val="32"/>
        </w:rPr>
        <w:t>8个镇街派出所中心警务室建设，</w:t>
      </w:r>
      <w:r>
        <w:rPr>
          <w:rFonts w:hint="eastAsia" w:eastAsia="方正仿宋_GBK"/>
          <w:sz w:val="32"/>
          <w:szCs w:val="32"/>
        </w:rPr>
        <w:t>开工</w:t>
      </w:r>
      <w:r>
        <w:rPr>
          <w:rFonts w:eastAsia="方正仿宋_GBK"/>
          <w:sz w:val="32"/>
          <w:szCs w:val="32"/>
        </w:rPr>
        <w:t>建设武警巡逻中队营房及综合基地，</w:t>
      </w:r>
      <w:r>
        <w:rPr>
          <w:rFonts w:eastAsia="方正仿宋_GBK"/>
          <w:kern w:val="0"/>
          <w:sz w:val="32"/>
          <w:szCs w:val="32"/>
        </w:rPr>
        <w:t>持续巩固扫黑除恶专项斗争成果，保持打击违法犯罪高压态势。</w:t>
      </w:r>
      <w:r>
        <w:rPr>
          <w:rFonts w:eastAsia="方正仿宋_GBK"/>
          <w:sz w:val="32"/>
          <w:szCs w:val="32"/>
        </w:rPr>
        <w:t>加强公共安全监管，强化道路交通、大型活动、景区、高层建筑、消防、校园和水电油气等重点领域安全管理，启动钓鱼嘴消防站暨训练基地建设。深化安全生产专项整治行动，坚决遏制重特大安全事故发生。提升食品药品安全保障水平，加快</w:t>
      </w:r>
      <w:r>
        <w:rPr>
          <w:rFonts w:hint="eastAsia" w:eastAsia="方正仿宋_GBK"/>
          <w:sz w:val="32"/>
          <w:szCs w:val="32"/>
        </w:rPr>
        <w:t>“</w:t>
      </w:r>
      <w:r>
        <w:rPr>
          <w:rFonts w:eastAsia="方正仿宋_GBK"/>
          <w:sz w:val="32"/>
          <w:szCs w:val="32"/>
        </w:rPr>
        <w:t>互联网+明厨亮灶+AI智能识别</w:t>
      </w:r>
      <w:r>
        <w:rPr>
          <w:rFonts w:hint="eastAsia" w:eastAsia="方正仿宋_GBK"/>
          <w:sz w:val="32"/>
          <w:szCs w:val="32"/>
        </w:rPr>
        <w:t>”</w:t>
      </w:r>
      <w:r>
        <w:rPr>
          <w:rFonts w:eastAsia="方正仿宋_GBK"/>
          <w:sz w:val="32"/>
          <w:szCs w:val="32"/>
        </w:rPr>
        <w:t>建设，实施</w:t>
      </w:r>
      <w:r>
        <w:rPr>
          <w:rFonts w:hint="eastAsia" w:eastAsia="方正仿宋_GBK"/>
          <w:sz w:val="32"/>
          <w:szCs w:val="32"/>
        </w:rPr>
        <w:t>“</w:t>
      </w:r>
      <w:r>
        <w:rPr>
          <w:rFonts w:eastAsia="方正仿宋_GBK"/>
          <w:sz w:val="32"/>
          <w:szCs w:val="32"/>
        </w:rPr>
        <w:t>冷链市场</w:t>
      </w:r>
      <w:r>
        <w:rPr>
          <w:rFonts w:hint="eastAsia" w:eastAsia="方正仿宋_GBK"/>
          <w:sz w:val="32"/>
          <w:szCs w:val="32"/>
        </w:rPr>
        <w:t>”</w:t>
      </w:r>
      <w:r>
        <w:rPr>
          <w:rFonts w:eastAsia="方正仿宋_GBK"/>
          <w:sz w:val="32"/>
          <w:szCs w:val="32"/>
        </w:rPr>
        <w:t>智慧监管示范工程</w:t>
      </w:r>
      <w:r>
        <w:rPr>
          <w:rFonts w:hint="eastAsia" w:eastAsia="方正仿宋_GBK"/>
          <w:sz w:val="32"/>
          <w:szCs w:val="32"/>
        </w:rPr>
        <w:t>。</w:t>
      </w:r>
      <w:r>
        <w:rPr>
          <w:rFonts w:eastAsia="方正仿宋_GBK"/>
          <w:sz w:val="32"/>
          <w:szCs w:val="32"/>
        </w:rPr>
        <w:t>落实粮食安全首长责任制，做好粮食安全保障和保供稳价工作。加强应急管理体系建设，提升防灾减灾抗灾能力</w:t>
      </w:r>
      <w:r>
        <w:rPr>
          <w:rFonts w:hint="eastAsia" w:eastAsia="方正仿宋_GBK"/>
          <w:sz w:val="32"/>
          <w:szCs w:val="32"/>
        </w:rPr>
        <w:t>。争创平安中国建设示范区，</w:t>
      </w:r>
      <w:r>
        <w:rPr>
          <w:rFonts w:eastAsia="方正仿宋_GBK"/>
          <w:sz w:val="32"/>
          <w:szCs w:val="32"/>
        </w:rPr>
        <w:t>确保社会大局</w:t>
      </w:r>
      <w:r>
        <w:rPr>
          <w:rFonts w:hint="eastAsia" w:eastAsia="方正仿宋_GBK"/>
          <w:sz w:val="32"/>
          <w:szCs w:val="32"/>
        </w:rPr>
        <w:t>和谐</w:t>
      </w:r>
      <w:r>
        <w:rPr>
          <w:rFonts w:eastAsia="方正仿宋_GBK"/>
          <w:sz w:val="32"/>
          <w:szCs w:val="32"/>
        </w:rPr>
        <w:t>稳定。</w:t>
      </w:r>
    </w:p>
    <w:sectPr>
      <w:footerReference r:id="rId3" w:type="default"/>
      <w:footerReference r:id="rId4" w:type="even"/>
      <w:pgSz w:w="11906" w:h="16838"/>
      <w:pgMar w:top="1985" w:right="1446" w:bottom="1644" w:left="1446"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FZFSK--GBK1-0">
    <w:altName w:val="微软雅黑"/>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08581491"/>
    </w:sdtPr>
    <w:sdtEndPr>
      <w:rPr>
        <w:sz w:val="28"/>
        <w:szCs w:val="28"/>
      </w:rPr>
    </w:sdtEndPr>
    <w:sdtContent>
      <w:p>
        <w:pPr>
          <w:pStyle w:val="6"/>
          <w:jc w:val="right"/>
          <w:rPr>
            <w:sz w:val="28"/>
            <w:szCs w:val="28"/>
          </w:rPr>
        </w:pPr>
        <w:r>
          <w:rPr>
            <w:rFonts w:asciiTheme="minorEastAsia" w:hAnsiTheme="minorEastAsia" w:eastAsiaTheme="minorEastAsia"/>
            <w:sz w:val="28"/>
            <w:szCs w:val="28"/>
          </w:rPr>
          <w:t>—</w:t>
        </w: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43</w:t>
        </w:r>
        <w:r>
          <w:rPr>
            <w:sz w:val="28"/>
            <w:szCs w:val="28"/>
          </w:rPr>
          <w:fldChar w:fldCharType="end"/>
        </w:r>
        <w:r>
          <w:rPr>
            <w:sz w:val="28"/>
            <w:szCs w:val="28"/>
          </w:rPr>
          <w:t xml:space="preserve"> </w:t>
        </w:r>
        <w:r>
          <w:rPr>
            <w:rFonts w:asciiTheme="minorEastAsia" w:hAnsiTheme="minorEastAsia" w:eastAsia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153570940"/>
    </w:sdtPr>
    <w:sdtEndPr>
      <w:rPr>
        <w:sz w:val="28"/>
        <w:szCs w:val="28"/>
      </w:rPr>
    </w:sdtEndPr>
    <w:sdtContent>
      <w:p>
        <w:pPr>
          <w:pStyle w:val="6"/>
          <w:rPr>
            <w:sz w:val="28"/>
            <w:szCs w:val="28"/>
          </w:rPr>
        </w:pPr>
        <w:r>
          <w:rPr>
            <w:rFonts w:asciiTheme="minorEastAsia" w:hAnsiTheme="minorEastAsia" w:eastAsiaTheme="minor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72</w:t>
        </w:r>
        <w:r>
          <w:rPr>
            <w:sz w:val="28"/>
            <w:szCs w:val="28"/>
          </w:rPr>
          <w:fldChar w:fldCharType="end"/>
        </w:r>
        <w:r>
          <w:rPr>
            <w:sz w:val="28"/>
            <w:szCs w:val="28"/>
          </w:rPr>
          <w:t xml:space="preserve"> </w:t>
        </w:r>
        <w:r>
          <w:rPr>
            <w:rFonts w:asciiTheme="minorEastAsia" w:hAnsiTheme="minorEastAsia" w:eastAsiaTheme="min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documentProtection w:enforcement="0"/>
  <w:defaultTabStop w:val="420"/>
  <w:evenAndOddHeaders w:val="1"/>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C7181"/>
    <w:rsid w:val="00000826"/>
    <w:rsid w:val="00007520"/>
    <w:rsid w:val="0001495B"/>
    <w:rsid w:val="000264CB"/>
    <w:rsid w:val="00027936"/>
    <w:rsid w:val="00033429"/>
    <w:rsid w:val="00033529"/>
    <w:rsid w:val="000358EF"/>
    <w:rsid w:val="00047315"/>
    <w:rsid w:val="00052E29"/>
    <w:rsid w:val="000673F5"/>
    <w:rsid w:val="000749C3"/>
    <w:rsid w:val="000769E1"/>
    <w:rsid w:val="00076CCC"/>
    <w:rsid w:val="0008538A"/>
    <w:rsid w:val="00091BD2"/>
    <w:rsid w:val="000A101D"/>
    <w:rsid w:val="000A6097"/>
    <w:rsid w:val="000B1E99"/>
    <w:rsid w:val="000B5308"/>
    <w:rsid w:val="000C20FA"/>
    <w:rsid w:val="000D6718"/>
    <w:rsid w:val="000D6D3C"/>
    <w:rsid w:val="000F266A"/>
    <w:rsid w:val="00107F95"/>
    <w:rsid w:val="00112B20"/>
    <w:rsid w:val="0011410A"/>
    <w:rsid w:val="00132360"/>
    <w:rsid w:val="00133411"/>
    <w:rsid w:val="00133F46"/>
    <w:rsid w:val="00143B51"/>
    <w:rsid w:val="001448F7"/>
    <w:rsid w:val="00151F29"/>
    <w:rsid w:val="00154E8C"/>
    <w:rsid w:val="00155AD3"/>
    <w:rsid w:val="00164664"/>
    <w:rsid w:val="00181E7E"/>
    <w:rsid w:val="0018208C"/>
    <w:rsid w:val="00182140"/>
    <w:rsid w:val="00194A26"/>
    <w:rsid w:val="001B12CF"/>
    <w:rsid w:val="001B17F3"/>
    <w:rsid w:val="001B7000"/>
    <w:rsid w:val="001C1F5D"/>
    <w:rsid w:val="001C2515"/>
    <w:rsid w:val="001C7B9A"/>
    <w:rsid w:val="001D3237"/>
    <w:rsid w:val="001E2224"/>
    <w:rsid w:val="001E3D8F"/>
    <w:rsid w:val="001F1DF0"/>
    <w:rsid w:val="001F5A8A"/>
    <w:rsid w:val="001F6F72"/>
    <w:rsid w:val="002022C5"/>
    <w:rsid w:val="002034E6"/>
    <w:rsid w:val="00204E4D"/>
    <w:rsid w:val="0021084C"/>
    <w:rsid w:val="00213B73"/>
    <w:rsid w:val="00215104"/>
    <w:rsid w:val="00220375"/>
    <w:rsid w:val="002304F5"/>
    <w:rsid w:val="00237734"/>
    <w:rsid w:val="00240547"/>
    <w:rsid w:val="00252259"/>
    <w:rsid w:val="0025250F"/>
    <w:rsid w:val="00253263"/>
    <w:rsid w:val="0025675D"/>
    <w:rsid w:val="00262306"/>
    <w:rsid w:val="0027586A"/>
    <w:rsid w:val="0029142F"/>
    <w:rsid w:val="002A19B0"/>
    <w:rsid w:val="002A2544"/>
    <w:rsid w:val="002B27C1"/>
    <w:rsid w:val="002B786C"/>
    <w:rsid w:val="002D21D5"/>
    <w:rsid w:val="002D69B3"/>
    <w:rsid w:val="002D7FC8"/>
    <w:rsid w:val="002E235F"/>
    <w:rsid w:val="002E3956"/>
    <w:rsid w:val="002E6D63"/>
    <w:rsid w:val="00315730"/>
    <w:rsid w:val="00316516"/>
    <w:rsid w:val="003179EA"/>
    <w:rsid w:val="003275B0"/>
    <w:rsid w:val="00327681"/>
    <w:rsid w:val="00330106"/>
    <w:rsid w:val="00332C95"/>
    <w:rsid w:val="00337A5D"/>
    <w:rsid w:val="00344114"/>
    <w:rsid w:val="00352227"/>
    <w:rsid w:val="00354324"/>
    <w:rsid w:val="0035496C"/>
    <w:rsid w:val="003568B2"/>
    <w:rsid w:val="00360667"/>
    <w:rsid w:val="00376DF7"/>
    <w:rsid w:val="003819EE"/>
    <w:rsid w:val="00384C34"/>
    <w:rsid w:val="003862D0"/>
    <w:rsid w:val="0039147C"/>
    <w:rsid w:val="00395F35"/>
    <w:rsid w:val="003A08FF"/>
    <w:rsid w:val="003A2097"/>
    <w:rsid w:val="003A4C27"/>
    <w:rsid w:val="003A53DB"/>
    <w:rsid w:val="003A6A30"/>
    <w:rsid w:val="003A7358"/>
    <w:rsid w:val="003B1E84"/>
    <w:rsid w:val="003B4E7C"/>
    <w:rsid w:val="003B5724"/>
    <w:rsid w:val="003C54D6"/>
    <w:rsid w:val="003C66B9"/>
    <w:rsid w:val="003D0B6A"/>
    <w:rsid w:val="003E3EF3"/>
    <w:rsid w:val="003F57CA"/>
    <w:rsid w:val="004007DA"/>
    <w:rsid w:val="00400CF7"/>
    <w:rsid w:val="00401B35"/>
    <w:rsid w:val="00407B47"/>
    <w:rsid w:val="004143E2"/>
    <w:rsid w:val="00425849"/>
    <w:rsid w:val="00431695"/>
    <w:rsid w:val="00433DF7"/>
    <w:rsid w:val="004451AF"/>
    <w:rsid w:val="00447067"/>
    <w:rsid w:val="00453CEC"/>
    <w:rsid w:val="00456A06"/>
    <w:rsid w:val="00461368"/>
    <w:rsid w:val="00463884"/>
    <w:rsid w:val="00474253"/>
    <w:rsid w:val="00476ED7"/>
    <w:rsid w:val="004878F2"/>
    <w:rsid w:val="00494713"/>
    <w:rsid w:val="004975E2"/>
    <w:rsid w:val="004A24D5"/>
    <w:rsid w:val="004B2C18"/>
    <w:rsid w:val="004C27B0"/>
    <w:rsid w:val="004C3BCC"/>
    <w:rsid w:val="004C5177"/>
    <w:rsid w:val="004C6CEB"/>
    <w:rsid w:val="004D0A47"/>
    <w:rsid w:val="004D31DF"/>
    <w:rsid w:val="004D4F1E"/>
    <w:rsid w:val="004D5341"/>
    <w:rsid w:val="004E3841"/>
    <w:rsid w:val="004E62D4"/>
    <w:rsid w:val="004F62C5"/>
    <w:rsid w:val="005020CF"/>
    <w:rsid w:val="00505853"/>
    <w:rsid w:val="00512B85"/>
    <w:rsid w:val="00514572"/>
    <w:rsid w:val="005223F2"/>
    <w:rsid w:val="00535848"/>
    <w:rsid w:val="00540C80"/>
    <w:rsid w:val="00545953"/>
    <w:rsid w:val="00546778"/>
    <w:rsid w:val="00553EFF"/>
    <w:rsid w:val="005548BF"/>
    <w:rsid w:val="005610B8"/>
    <w:rsid w:val="00561EFF"/>
    <w:rsid w:val="00563E7A"/>
    <w:rsid w:val="00567425"/>
    <w:rsid w:val="005720A8"/>
    <w:rsid w:val="0057403F"/>
    <w:rsid w:val="0058098F"/>
    <w:rsid w:val="0059068F"/>
    <w:rsid w:val="00591F4F"/>
    <w:rsid w:val="005946A3"/>
    <w:rsid w:val="005A7C71"/>
    <w:rsid w:val="005D025E"/>
    <w:rsid w:val="005D544D"/>
    <w:rsid w:val="005D5E97"/>
    <w:rsid w:val="005D612E"/>
    <w:rsid w:val="005D7FC0"/>
    <w:rsid w:val="005E0F0B"/>
    <w:rsid w:val="005E7787"/>
    <w:rsid w:val="005E7799"/>
    <w:rsid w:val="005F5FAD"/>
    <w:rsid w:val="00615ED6"/>
    <w:rsid w:val="0061653F"/>
    <w:rsid w:val="006165E9"/>
    <w:rsid w:val="00622489"/>
    <w:rsid w:val="006305C4"/>
    <w:rsid w:val="006325C8"/>
    <w:rsid w:val="0063588E"/>
    <w:rsid w:val="00637C85"/>
    <w:rsid w:val="00641D77"/>
    <w:rsid w:val="00642672"/>
    <w:rsid w:val="006429B6"/>
    <w:rsid w:val="006500C5"/>
    <w:rsid w:val="00650492"/>
    <w:rsid w:val="006550D7"/>
    <w:rsid w:val="00657CCE"/>
    <w:rsid w:val="006676B1"/>
    <w:rsid w:val="006800C2"/>
    <w:rsid w:val="0068318A"/>
    <w:rsid w:val="00685CB4"/>
    <w:rsid w:val="0069166B"/>
    <w:rsid w:val="00693969"/>
    <w:rsid w:val="006A1F00"/>
    <w:rsid w:val="006A7D86"/>
    <w:rsid w:val="006B0519"/>
    <w:rsid w:val="006B2750"/>
    <w:rsid w:val="006B5BB0"/>
    <w:rsid w:val="006C22C0"/>
    <w:rsid w:val="006C2876"/>
    <w:rsid w:val="006C6D79"/>
    <w:rsid w:val="006D2AAC"/>
    <w:rsid w:val="006D70D3"/>
    <w:rsid w:val="006E2F6C"/>
    <w:rsid w:val="006E58ED"/>
    <w:rsid w:val="006E5F21"/>
    <w:rsid w:val="006F0DED"/>
    <w:rsid w:val="00700A5F"/>
    <w:rsid w:val="00703EA7"/>
    <w:rsid w:val="00710F14"/>
    <w:rsid w:val="0071185F"/>
    <w:rsid w:val="007122B8"/>
    <w:rsid w:val="0072082B"/>
    <w:rsid w:val="0072177E"/>
    <w:rsid w:val="0072367E"/>
    <w:rsid w:val="00724284"/>
    <w:rsid w:val="00725861"/>
    <w:rsid w:val="0073024D"/>
    <w:rsid w:val="00735CF2"/>
    <w:rsid w:val="00736DFC"/>
    <w:rsid w:val="007543E5"/>
    <w:rsid w:val="00771FC8"/>
    <w:rsid w:val="00774323"/>
    <w:rsid w:val="00775906"/>
    <w:rsid w:val="00780367"/>
    <w:rsid w:val="00782FA8"/>
    <w:rsid w:val="00787A95"/>
    <w:rsid w:val="00797333"/>
    <w:rsid w:val="007B04E4"/>
    <w:rsid w:val="007B1BCC"/>
    <w:rsid w:val="007B7CD6"/>
    <w:rsid w:val="007C0B83"/>
    <w:rsid w:val="007C347F"/>
    <w:rsid w:val="007C3A2B"/>
    <w:rsid w:val="007C4956"/>
    <w:rsid w:val="007C4A4E"/>
    <w:rsid w:val="007C5748"/>
    <w:rsid w:val="007C7328"/>
    <w:rsid w:val="007F1EB4"/>
    <w:rsid w:val="007F2E7C"/>
    <w:rsid w:val="007F7CF2"/>
    <w:rsid w:val="007F7E85"/>
    <w:rsid w:val="00801172"/>
    <w:rsid w:val="00803D23"/>
    <w:rsid w:val="00820114"/>
    <w:rsid w:val="00823ADC"/>
    <w:rsid w:val="00823C03"/>
    <w:rsid w:val="008310D8"/>
    <w:rsid w:val="00832CC1"/>
    <w:rsid w:val="00833B02"/>
    <w:rsid w:val="008341FF"/>
    <w:rsid w:val="0084596A"/>
    <w:rsid w:val="00856B47"/>
    <w:rsid w:val="00863543"/>
    <w:rsid w:val="00870436"/>
    <w:rsid w:val="008723A1"/>
    <w:rsid w:val="00892E9B"/>
    <w:rsid w:val="008A117E"/>
    <w:rsid w:val="008B3EEE"/>
    <w:rsid w:val="008B4BDA"/>
    <w:rsid w:val="008C29E5"/>
    <w:rsid w:val="008C2DCC"/>
    <w:rsid w:val="008C2F69"/>
    <w:rsid w:val="008C378A"/>
    <w:rsid w:val="008C6119"/>
    <w:rsid w:val="008D12DE"/>
    <w:rsid w:val="008D1863"/>
    <w:rsid w:val="008D278F"/>
    <w:rsid w:val="008D3CC0"/>
    <w:rsid w:val="008E560B"/>
    <w:rsid w:val="008F4761"/>
    <w:rsid w:val="00900CF1"/>
    <w:rsid w:val="00904D9A"/>
    <w:rsid w:val="00906609"/>
    <w:rsid w:val="00920A44"/>
    <w:rsid w:val="00924C37"/>
    <w:rsid w:val="00925477"/>
    <w:rsid w:val="009312F3"/>
    <w:rsid w:val="00933118"/>
    <w:rsid w:val="00945D68"/>
    <w:rsid w:val="009470D5"/>
    <w:rsid w:val="0095197F"/>
    <w:rsid w:val="00954A68"/>
    <w:rsid w:val="009602C2"/>
    <w:rsid w:val="00962427"/>
    <w:rsid w:val="009672BF"/>
    <w:rsid w:val="00970120"/>
    <w:rsid w:val="00971682"/>
    <w:rsid w:val="00971A64"/>
    <w:rsid w:val="00980C52"/>
    <w:rsid w:val="00987265"/>
    <w:rsid w:val="00987A1A"/>
    <w:rsid w:val="00992E27"/>
    <w:rsid w:val="00996220"/>
    <w:rsid w:val="00997BD6"/>
    <w:rsid w:val="009A42D4"/>
    <w:rsid w:val="009A67BE"/>
    <w:rsid w:val="009B2477"/>
    <w:rsid w:val="009B5B33"/>
    <w:rsid w:val="009B6580"/>
    <w:rsid w:val="009C2E68"/>
    <w:rsid w:val="009C4D7C"/>
    <w:rsid w:val="009C5AE6"/>
    <w:rsid w:val="009C7292"/>
    <w:rsid w:val="009D2A27"/>
    <w:rsid w:val="009D36B3"/>
    <w:rsid w:val="009D63AF"/>
    <w:rsid w:val="009E31DD"/>
    <w:rsid w:val="009E3B67"/>
    <w:rsid w:val="009F22D3"/>
    <w:rsid w:val="00A00CA7"/>
    <w:rsid w:val="00A07D58"/>
    <w:rsid w:val="00A11511"/>
    <w:rsid w:val="00A142BC"/>
    <w:rsid w:val="00A25243"/>
    <w:rsid w:val="00A269CF"/>
    <w:rsid w:val="00A31DE3"/>
    <w:rsid w:val="00A3256A"/>
    <w:rsid w:val="00A44907"/>
    <w:rsid w:val="00A51CBC"/>
    <w:rsid w:val="00A57C75"/>
    <w:rsid w:val="00A61AD1"/>
    <w:rsid w:val="00A74119"/>
    <w:rsid w:val="00A764E3"/>
    <w:rsid w:val="00A90A9D"/>
    <w:rsid w:val="00AA147F"/>
    <w:rsid w:val="00AA38C4"/>
    <w:rsid w:val="00AA3B42"/>
    <w:rsid w:val="00AA657A"/>
    <w:rsid w:val="00AB0501"/>
    <w:rsid w:val="00AB0CC5"/>
    <w:rsid w:val="00AC0B59"/>
    <w:rsid w:val="00AC518B"/>
    <w:rsid w:val="00AD3796"/>
    <w:rsid w:val="00AD6DDB"/>
    <w:rsid w:val="00AE1DDF"/>
    <w:rsid w:val="00AF7753"/>
    <w:rsid w:val="00B00A5A"/>
    <w:rsid w:val="00B03F48"/>
    <w:rsid w:val="00B04933"/>
    <w:rsid w:val="00B04B77"/>
    <w:rsid w:val="00B05994"/>
    <w:rsid w:val="00B11076"/>
    <w:rsid w:val="00B1330C"/>
    <w:rsid w:val="00B2285A"/>
    <w:rsid w:val="00B236ED"/>
    <w:rsid w:val="00B2601B"/>
    <w:rsid w:val="00B30BE9"/>
    <w:rsid w:val="00B3297F"/>
    <w:rsid w:val="00B33C3B"/>
    <w:rsid w:val="00B36955"/>
    <w:rsid w:val="00B36D38"/>
    <w:rsid w:val="00B42FA6"/>
    <w:rsid w:val="00B5071A"/>
    <w:rsid w:val="00B567C6"/>
    <w:rsid w:val="00B64253"/>
    <w:rsid w:val="00B64F7F"/>
    <w:rsid w:val="00B66FA9"/>
    <w:rsid w:val="00B67DD0"/>
    <w:rsid w:val="00B70452"/>
    <w:rsid w:val="00B721AC"/>
    <w:rsid w:val="00B74280"/>
    <w:rsid w:val="00B82B39"/>
    <w:rsid w:val="00B832B5"/>
    <w:rsid w:val="00B8529D"/>
    <w:rsid w:val="00B875EE"/>
    <w:rsid w:val="00B87C33"/>
    <w:rsid w:val="00B90B4E"/>
    <w:rsid w:val="00B93B63"/>
    <w:rsid w:val="00B94731"/>
    <w:rsid w:val="00B95A28"/>
    <w:rsid w:val="00BA4376"/>
    <w:rsid w:val="00BB0ADA"/>
    <w:rsid w:val="00BB110B"/>
    <w:rsid w:val="00BB6A40"/>
    <w:rsid w:val="00BC1179"/>
    <w:rsid w:val="00BC27CF"/>
    <w:rsid w:val="00BC2AD3"/>
    <w:rsid w:val="00BC6AF5"/>
    <w:rsid w:val="00BD32F0"/>
    <w:rsid w:val="00BE2623"/>
    <w:rsid w:val="00BE3D53"/>
    <w:rsid w:val="00BF066C"/>
    <w:rsid w:val="00C00E6F"/>
    <w:rsid w:val="00C02A66"/>
    <w:rsid w:val="00C03CA9"/>
    <w:rsid w:val="00C146A5"/>
    <w:rsid w:val="00C14C49"/>
    <w:rsid w:val="00C14D4C"/>
    <w:rsid w:val="00C14E0B"/>
    <w:rsid w:val="00C306E3"/>
    <w:rsid w:val="00C33327"/>
    <w:rsid w:val="00C41F20"/>
    <w:rsid w:val="00C446A7"/>
    <w:rsid w:val="00C50FE9"/>
    <w:rsid w:val="00C53301"/>
    <w:rsid w:val="00C53C7C"/>
    <w:rsid w:val="00C55C62"/>
    <w:rsid w:val="00C61CDA"/>
    <w:rsid w:val="00C65D21"/>
    <w:rsid w:val="00C71657"/>
    <w:rsid w:val="00C7223C"/>
    <w:rsid w:val="00C772BC"/>
    <w:rsid w:val="00C8212E"/>
    <w:rsid w:val="00C9473B"/>
    <w:rsid w:val="00C94991"/>
    <w:rsid w:val="00CA1ED4"/>
    <w:rsid w:val="00CA5285"/>
    <w:rsid w:val="00CA532E"/>
    <w:rsid w:val="00CB0C7E"/>
    <w:rsid w:val="00CB75C7"/>
    <w:rsid w:val="00CC254D"/>
    <w:rsid w:val="00CC4EA2"/>
    <w:rsid w:val="00CD0E8E"/>
    <w:rsid w:val="00CE2AC2"/>
    <w:rsid w:val="00CF1548"/>
    <w:rsid w:val="00CF4782"/>
    <w:rsid w:val="00D037A8"/>
    <w:rsid w:val="00D04903"/>
    <w:rsid w:val="00D13082"/>
    <w:rsid w:val="00D13852"/>
    <w:rsid w:val="00D21799"/>
    <w:rsid w:val="00D23712"/>
    <w:rsid w:val="00D23DAB"/>
    <w:rsid w:val="00D27664"/>
    <w:rsid w:val="00D31E7C"/>
    <w:rsid w:val="00D348CD"/>
    <w:rsid w:val="00D439CC"/>
    <w:rsid w:val="00D47F43"/>
    <w:rsid w:val="00D55374"/>
    <w:rsid w:val="00D57E13"/>
    <w:rsid w:val="00D600C8"/>
    <w:rsid w:val="00D7165F"/>
    <w:rsid w:val="00D71866"/>
    <w:rsid w:val="00D73529"/>
    <w:rsid w:val="00D75CD3"/>
    <w:rsid w:val="00D81AED"/>
    <w:rsid w:val="00D822B9"/>
    <w:rsid w:val="00D83CB9"/>
    <w:rsid w:val="00D849BB"/>
    <w:rsid w:val="00D862F6"/>
    <w:rsid w:val="00D91880"/>
    <w:rsid w:val="00D921A2"/>
    <w:rsid w:val="00D93502"/>
    <w:rsid w:val="00DA232A"/>
    <w:rsid w:val="00DA3689"/>
    <w:rsid w:val="00DA4CF8"/>
    <w:rsid w:val="00DA78D6"/>
    <w:rsid w:val="00DB1C22"/>
    <w:rsid w:val="00DB1D62"/>
    <w:rsid w:val="00DC1377"/>
    <w:rsid w:val="00DC1D48"/>
    <w:rsid w:val="00DE159D"/>
    <w:rsid w:val="00DF3963"/>
    <w:rsid w:val="00E03D3A"/>
    <w:rsid w:val="00E058BC"/>
    <w:rsid w:val="00E15511"/>
    <w:rsid w:val="00E359C6"/>
    <w:rsid w:val="00E35D3D"/>
    <w:rsid w:val="00E41FF4"/>
    <w:rsid w:val="00E42C86"/>
    <w:rsid w:val="00E45231"/>
    <w:rsid w:val="00E62373"/>
    <w:rsid w:val="00E81B0D"/>
    <w:rsid w:val="00E86ADE"/>
    <w:rsid w:val="00E90B6A"/>
    <w:rsid w:val="00EA0259"/>
    <w:rsid w:val="00EB252F"/>
    <w:rsid w:val="00EB5BEB"/>
    <w:rsid w:val="00EC1124"/>
    <w:rsid w:val="00EC16B3"/>
    <w:rsid w:val="00EF2531"/>
    <w:rsid w:val="00EF4784"/>
    <w:rsid w:val="00F045E8"/>
    <w:rsid w:val="00F23F94"/>
    <w:rsid w:val="00F423EE"/>
    <w:rsid w:val="00F4566E"/>
    <w:rsid w:val="00F50AAD"/>
    <w:rsid w:val="00F53361"/>
    <w:rsid w:val="00F64E59"/>
    <w:rsid w:val="00F77756"/>
    <w:rsid w:val="00F81C6A"/>
    <w:rsid w:val="00F83666"/>
    <w:rsid w:val="00F90C8E"/>
    <w:rsid w:val="00F91F17"/>
    <w:rsid w:val="00F92D30"/>
    <w:rsid w:val="00F93CEA"/>
    <w:rsid w:val="00F94CA2"/>
    <w:rsid w:val="00F9708D"/>
    <w:rsid w:val="00FA33B5"/>
    <w:rsid w:val="00FA49FF"/>
    <w:rsid w:val="00FB0F28"/>
    <w:rsid w:val="00FB377C"/>
    <w:rsid w:val="00FB4AA2"/>
    <w:rsid w:val="00FB602B"/>
    <w:rsid w:val="00FB6986"/>
    <w:rsid w:val="00FC18D3"/>
    <w:rsid w:val="00FC4C73"/>
    <w:rsid w:val="00FC7ECB"/>
    <w:rsid w:val="00FE0E4A"/>
    <w:rsid w:val="00FE24AD"/>
    <w:rsid w:val="00FE44B4"/>
    <w:rsid w:val="00FE46B0"/>
    <w:rsid w:val="00FF2E60"/>
    <w:rsid w:val="00FF33E6"/>
    <w:rsid w:val="00FF7615"/>
    <w:rsid w:val="01331C20"/>
    <w:rsid w:val="01D446CB"/>
    <w:rsid w:val="01F42DBA"/>
    <w:rsid w:val="02476FFB"/>
    <w:rsid w:val="0373688B"/>
    <w:rsid w:val="043F2A5C"/>
    <w:rsid w:val="0473018A"/>
    <w:rsid w:val="0474707D"/>
    <w:rsid w:val="047C2B40"/>
    <w:rsid w:val="047D49E1"/>
    <w:rsid w:val="048F52F6"/>
    <w:rsid w:val="04E13750"/>
    <w:rsid w:val="051E4EDD"/>
    <w:rsid w:val="051F2DC3"/>
    <w:rsid w:val="05361651"/>
    <w:rsid w:val="053E2778"/>
    <w:rsid w:val="05836926"/>
    <w:rsid w:val="05B92CDE"/>
    <w:rsid w:val="05BA6E2C"/>
    <w:rsid w:val="05BD52C7"/>
    <w:rsid w:val="0605094B"/>
    <w:rsid w:val="060B212C"/>
    <w:rsid w:val="060B7105"/>
    <w:rsid w:val="061D7D37"/>
    <w:rsid w:val="06D35A2A"/>
    <w:rsid w:val="06FD2E44"/>
    <w:rsid w:val="072E2934"/>
    <w:rsid w:val="077720E8"/>
    <w:rsid w:val="08A425DF"/>
    <w:rsid w:val="08A91B74"/>
    <w:rsid w:val="08B157EA"/>
    <w:rsid w:val="08C763DF"/>
    <w:rsid w:val="0922202A"/>
    <w:rsid w:val="093C156F"/>
    <w:rsid w:val="095B0F76"/>
    <w:rsid w:val="09F24102"/>
    <w:rsid w:val="0A115179"/>
    <w:rsid w:val="0A8E0F28"/>
    <w:rsid w:val="0AA32FB9"/>
    <w:rsid w:val="0AD42060"/>
    <w:rsid w:val="0B831EA9"/>
    <w:rsid w:val="0B907677"/>
    <w:rsid w:val="0B9B0517"/>
    <w:rsid w:val="0BE60253"/>
    <w:rsid w:val="0BF10475"/>
    <w:rsid w:val="0C42665B"/>
    <w:rsid w:val="0C483214"/>
    <w:rsid w:val="0C7F27F6"/>
    <w:rsid w:val="0C83591D"/>
    <w:rsid w:val="0C9E56E8"/>
    <w:rsid w:val="0CCC43F4"/>
    <w:rsid w:val="0CD83EF0"/>
    <w:rsid w:val="0CDB1FCB"/>
    <w:rsid w:val="0D1674CA"/>
    <w:rsid w:val="0D69736F"/>
    <w:rsid w:val="0D8E184E"/>
    <w:rsid w:val="0D953789"/>
    <w:rsid w:val="0DFE4C74"/>
    <w:rsid w:val="0E354505"/>
    <w:rsid w:val="0E735768"/>
    <w:rsid w:val="0E7A3C20"/>
    <w:rsid w:val="0E7E1522"/>
    <w:rsid w:val="0ECF3658"/>
    <w:rsid w:val="0EDA4998"/>
    <w:rsid w:val="0EE9240B"/>
    <w:rsid w:val="0F4C2FCD"/>
    <w:rsid w:val="0F895AA0"/>
    <w:rsid w:val="0FB64B78"/>
    <w:rsid w:val="0FF5418F"/>
    <w:rsid w:val="100D5711"/>
    <w:rsid w:val="1038536E"/>
    <w:rsid w:val="10387822"/>
    <w:rsid w:val="1065026D"/>
    <w:rsid w:val="10E3074E"/>
    <w:rsid w:val="111F1689"/>
    <w:rsid w:val="119F57C7"/>
    <w:rsid w:val="11B74AF1"/>
    <w:rsid w:val="12006A46"/>
    <w:rsid w:val="122045E0"/>
    <w:rsid w:val="12824138"/>
    <w:rsid w:val="12843DA1"/>
    <w:rsid w:val="12E05722"/>
    <w:rsid w:val="12FA180C"/>
    <w:rsid w:val="13294668"/>
    <w:rsid w:val="133435CD"/>
    <w:rsid w:val="135C03F8"/>
    <w:rsid w:val="136303B0"/>
    <w:rsid w:val="13831741"/>
    <w:rsid w:val="140A0673"/>
    <w:rsid w:val="143973C1"/>
    <w:rsid w:val="145B40AE"/>
    <w:rsid w:val="14896A1A"/>
    <w:rsid w:val="14896A54"/>
    <w:rsid w:val="14A117BC"/>
    <w:rsid w:val="14AE4A7F"/>
    <w:rsid w:val="14FF1EA4"/>
    <w:rsid w:val="153203B4"/>
    <w:rsid w:val="155A4D0D"/>
    <w:rsid w:val="157E2B36"/>
    <w:rsid w:val="15883D13"/>
    <w:rsid w:val="15AA6EA7"/>
    <w:rsid w:val="165E6D7F"/>
    <w:rsid w:val="167D200F"/>
    <w:rsid w:val="16A3512F"/>
    <w:rsid w:val="16B07C6B"/>
    <w:rsid w:val="16B91B85"/>
    <w:rsid w:val="16DC25B9"/>
    <w:rsid w:val="16EB6431"/>
    <w:rsid w:val="17037756"/>
    <w:rsid w:val="173C104B"/>
    <w:rsid w:val="174C4482"/>
    <w:rsid w:val="17572406"/>
    <w:rsid w:val="17786DEE"/>
    <w:rsid w:val="17B03D32"/>
    <w:rsid w:val="17C3485C"/>
    <w:rsid w:val="183E2B0A"/>
    <w:rsid w:val="183E5334"/>
    <w:rsid w:val="183E5FC0"/>
    <w:rsid w:val="184E2C23"/>
    <w:rsid w:val="1859375B"/>
    <w:rsid w:val="18A7744E"/>
    <w:rsid w:val="18D47DC4"/>
    <w:rsid w:val="18F11628"/>
    <w:rsid w:val="18F66A8E"/>
    <w:rsid w:val="1944745A"/>
    <w:rsid w:val="19A374E9"/>
    <w:rsid w:val="19BD37F3"/>
    <w:rsid w:val="19D6210B"/>
    <w:rsid w:val="19E56121"/>
    <w:rsid w:val="19EE6DEE"/>
    <w:rsid w:val="1A3B3DB8"/>
    <w:rsid w:val="1A966C99"/>
    <w:rsid w:val="1A976F87"/>
    <w:rsid w:val="1B333CF9"/>
    <w:rsid w:val="1B401CDA"/>
    <w:rsid w:val="1B466C1C"/>
    <w:rsid w:val="1BAD72BA"/>
    <w:rsid w:val="1BB858E6"/>
    <w:rsid w:val="1BFC7E6D"/>
    <w:rsid w:val="1C1413F5"/>
    <w:rsid w:val="1C4D5D4C"/>
    <w:rsid w:val="1D0A654F"/>
    <w:rsid w:val="1D291A54"/>
    <w:rsid w:val="1D4274C7"/>
    <w:rsid w:val="1D445767"/>
    <w:rsid w:val="1DC56B05"/>
    <w:rsid w:val="1E596EEC"/>
    <w:rsid w:val="1E5D0DCA"/>
    <w:rsid w:val="1E99560A"/>
    <w:rsid w:val="1EC7432B"/>
    <w:rsid w:val="1F2C4CD6"/>
    <w:rsid w:val="1F696A71"/>
    <w:rsid w:val="1F9D0F2A"/>
    <w:rsid w:val="1FEC605E"/>
    <w:rsid w:val="2020645B"/>
    <w:rsid w:val="204301E2"/>
    <w:rsid w:val="20541886"/>
    <w:rsid w:val="20677447"/>
    <w:rsid w:val="20681D64"/>
    <w:rsid w:val="20F96D97"/>
    <w:rsid w:val="21245282"/>
    <w:rsid w:val="21333182"/>
    <w:rsid w:val="213C2DBE"/>
    <w:rsid w:val="214E33C7"/>
    <w:rsid w:val="21817B15"/>
    <w:rsid w:val="21A630E9"/>
    <w:rsid w:val="21BE3F81"/>
    <w:rsid w:val="21DA4716"/>
    <w:rsid w:val="21EB6396"/>
    <w:rsid w:val="220352F5"/>
    <w:rsid w:val="225742F2"/>
    <w:rsid w:val="22DF6FFC"/>
    <w:rsid w:val="22E640AE"/>
    <w:rsid w:val="22F64200"/>
    <w:rsid w:val="230C0E10"/>
    <w:rsid w:val="231F4F86"/>
    <w:rsid w:val="23687769"/>
    <w:rsid w:val="238E0C16"/>
    <w:rsid w:val="23BD4884"/>
    <w:rsid w:val="23C87647"/>
    <w:rsid w:val="23DA594D"/>
    <w:rsid w:val="23EF42A7"/>
    <w:rsid w:val="24190C75"/>
    <w:rsid w:val="24344AB8"/>
    <w:rsid w:val="24416F6A"/>
    <w:rsid w:val="24431CFE"/>
    <w:rsid w:val="248A0289"/>
    <w:rsid w:val="24912998"/>
    <w:rsid w:val="250945B8"/>
    <w:rsid w:val="254B6333"/>
    <w:rsid w:val="25512665"/>
    <w:rsid w:val="25B7478C"/>
    <w:rsid w:val="25C51D74"/>
    <w:rsid w:val="25D505BA"/>
    <w:rsid w:val="25DC2797"/>
    <w:rsid w:val="25FD20E7"/>
    <w:rsid w:val="264A373B"/>
    <w:rsid w:val="266E5891"/>
    <w:rsid w:val="269A5FAA"/>
    <w:rsid w:val="269D3F76"/>
    <w:rsid w:val="26A62B9E"/>
    <w:rsid w:val="26D0516C"/>
    <w:rsid w:val="26D16BD6"/>
    <w:rsid w:val="26D172B4"/>
    <w:rsid w:val="270A4FA4"/>
    <w:rsid w:val="280E2103"/>
    <w:rsid w:val="2856041B"/>
    <w:rsid w:val="28820920"/>
    <w:rsid w:val="288557B9"/>
    <w:rsid w:val="28AA7BD1"/>
    <w:rsid w:val="28BF120A"/>
    <w:rsid w:val="291914DE"/>
    <w:rsid w:val="293773DF"/>
    <w:rsid w:val="2A260045"/>
    <w:rsid w:val="2A3637A9"/>
    <w:rsid w:val="2A463BF8"/>
    <w:rsid w:val="2A52397B"/>
    <w:rsid w:val="2ACC7DCB"/>
    <w:rsid w:val="2B122EFE"/>
    <w:rsid w:val="2B156F59"/>
    <w:rsid w:val="2B1C7AC1"/>
    <w:rsid w:val="2B3B5434"/>
    <w:rsid w:val="2B7753C9"/>
    <w:rsid w:val="2B885261"/>
    <w:rsid w:val="2B9A7C58"/>
    <w:rsid w:val="2BAD63BE"/>
    <w:rsid w:val="2BB469B9"/>
    <w:rsid w:val="2BB72251"/>
    <w:rsid w:val="2BC6554D"/>
    <w:rsid w:val="2C3B3642"/>
    <w:rsid w:val="2C440AC5"/>
    <w:rsid w:val="2C8C22F4"/>
    <w:rsid w:val="2C9E30CB"/>
    <w:rsid w:val="2CC06D23"/>
    <w:rsid w:val="2CF62C80"/>
    <w:rsid w:val="2CF9531B"/>
    <w:rsid w:val="2D003FB6"/>
    <w:rsid w:val="2D401A03"/>
    <w:rsid w:val="2D4538CD"/>
    <w:rsid w:val="2D5E2607"/>
    <w:rsid w:val="2D7E2352"/>
    <w:rsid w:val="2DAE4AAB"/>
    <w:rsid w:val="2DE1235C"/>
    <w:rsid w:val="2E4D2F5B"/>
    <w:rsid w:val="2EA134EB"/>
    <w:rsid w:val="2EA16956"/>
    <w:rsid w:val="2EAF5B75"/>
    <w:rsid w:val="2EF80D7E"/>
    <w:rsid w:val="2F9D614C"/>
    <w:rsid w:val="2FA02F14"/>
    <w:rsid w:val="2FAC6542"/>
    <w:rsid w:val="2FBA02A4"/>
    <w:rsid w:val="2FCA7A75"/>
    <w:rsid w:val="2FF20C87"/>
    <w:rsid w:val="301963B2"/>
    <w:rsid w:val="30216FBC"/>
    <w:rsid w:val="302A6A60"/>
    <w:rsid w:val="303A44AE"/>
    <w:rsid w:val="303E41FC"/>
    <w:rsid w:val="304E62C2"/>
    <w:rsid w:val="30A73FF6"/>
    <w:rsid w:val="30D32BC3"/>
    <w:rsid w:val="30DF3FE3"/>
    <w:rsid w:val="3159124B"/>
    <w:rsid w:val="31681CE8"/>
    <w:rsid w:val="318950AF"/>
    <w:rsid w:val="31962F8D"/>
    <w:rsid w:val="31976EA0"/>
    <w:rsid w:val="31B94F4C"/>
    <w:rsid w:val="31C075BC"/>
    <w:rsid w:val="323C2335"/>
    <w:rsid w:val="324E5EC2"/>
    <w:rsid w:val="3257740D"/>
    <w:rsid w:val="32961407"/>
    <w:rsid w:val="330B60D9"/>
    <w:rsid w:val="331C1CBE"/>
    <w:rsid w:val="333951F4"/>
    <w:rsid w:val="336926EE"/>
    <w:rsid w:val="337A28D0"/>
    <w:rsid w:val="33BB1452"/>
    <w:rsid w:val="33D160D1"/>
    <w:rsid w:val="33D91E06"/>
    <w:rsid w:val="33E20ECA"/>
    <w:rsid w:val="33E21898"/>
    <w:rsid w:val="34043D81"/>
    <w:rsid w:val="3463088E"/>
    <w:rsid w:val="348A2942"/>
    <w:rsid w:val="34A65231"/>
    <w:rsid w:val="34E256C5"/>
    <w:rsid w:val="34F900FB"/>
    <w:rsid w:val="35170B8C"/>
    <w:rsid w:val="35241C98"/>
    <w:rsid w:val="35410921"/>
    <w:rsid w:val="35610E3D"/>
    <w:rsid w:val="35632A9B"/>
    <w:rsid w:val="35824A9F"/>
    <w:rsid w:val="35BE0F17"/>
    <w:rsid w:val="360827C3"/>
    <w:rsid w:val="362D5E61"/>
    <w:rsid w:val="367155F6"/>
    <w:rsid w:val="36EC4F80"/>
    <w:rsid w:val="3715550C"/>
    <w:rsid w:val="37480536"/>
    <w:rsid w:val="376D31F5"/>
    <w:rsid w:val="376F72EB"/>
    <w:rsid w:val="37B525F2"/>
    <w:rsid w:val="37ED6DE6"/>
    <w:rsid w:val="380674C2"/>
    <w:rsid w:val="380D5226"/>
    <w:rsid w:val="383014EC"/>
    <w:rsid w:val="385C66F5"/>
    <w:rsid w:val="38B04619"/>
    <w:rsid w:val="38D11711"/>
    <w:rsid w:val="38EF326A"/>
    <w:rsid w:val="38F74D55"/>
    <w:rsid w:val="3944288C"/>
    <w:rsid w:val="39534EDF"/>
    <w:rsid w:val="39674ACF"/>
    <w:rsid w:val="39751EFD"/>
    <w:rsid w:val="397D2725"/>
    <w:rsid w:val="39CB01F1"/>
    <w:rsid w:val="39EE68C1"/>
    <w:rsid w:val="3A203EB2"/>
    <w:rsid w:val="3A2369C3"/>
    <w:rsid w:val="3AE21CF4"/>
    <w:rsid w:val="3AF833F2"/>
    <w:rsid w:val="3B370D5D"/>
    <w:rsid w:val="3B406A52"/>
    <w:rsid w:val="3B560094"/>
    <w:rsid w:val="3B5F628C"/>
    <w:rsid w:val="3B8A6402"/>
    <w:rsid w:val="3B8C3735"/>
    <w:rsid w:val="3BA75B91"/>
    <w:rsid w:val="3BC74E5D"/>
    <w:rsid w:val="3BD407FF"/>
    <w:rsid w:val="3BEA49F8"/>
    <w:rsid w:val="3BF94C5E"/>
    <w:rsid w:val="3C49268D"/>
    <w:rsid w:val="3C5F3EC1"/>
    <w:rsid w:val="3C7A55E4"/>
    <w:rsid w:val="3C883FF8"/>
    <w:rsid w:val="3CAA7ADE"/>
    <w:rsid w:val="3CC563B6"/>
    <w:rsid w:val="3CDA170B"/>
    <w:rsid w:val="3D0B5C4C"/>
    <w:rsid w:val="3D14301C"/>
    <w:rsid w:val="3D165CF5"/>
    <w:rsid w:val="3DC220CD"/>
    <w:rsid w:val="3DCE5E03"/>
    <w:rsid w:val="3DE132BD"/>
    <w:rsid w:val="3E0E0C62"/>
    <w:rsid w:val="3E150C80"/>
    <w:rsid w:val="3E431B6E"/>
    <w:rsid w:val="3E472B9D"/>
    <w:rsid w:val="3E4C4F0F"/>
    <w:rsid w:val="3E6E79E0"/>
    <w:rsid w:val="3EAC43E4"/>
    <w:rsid w:val="3F2E60FC"/>
    <w:rsid w:val="3F590FE2"/>
    <w:rsid w:val="3F820079"/>
    <w:rsid w:val="3F964C97"/>
    <w:rsid w:val="3FA94A27"/>
    <w:rsid w:val="3FBB4B83"/>
    <w:rsid w:val="3FCD4A4D"/>
    <w:rsid w:val="3FF1715F"/>
    <w:rsid w:val="4040021D"/>
    <w:rsid w:val="406F749E"/>
    <w:rsid w:val="407D4163"/>
    <w:rsid w:val="40801434"/>
    <w:rsid w:val="408239C4"/>
    <w:rsid w:val="41930C5A"/>
    <w:rsid w:val="41BC57E0"/>
    <w:rsid w:val="41EE6094"/>
    <w:rsid w:val="429864BC"/>
    <w:rsid w:val="429C7181"/>
    <w:rsid w:val="42A8514A"/>
    <w:rsid w:val="42A9784C"/>
    <w:rsid w:val="42DC50AB"/>
    <w:rsid w:val="42E75A05"/>
    <w:rsid w:val="43131083"/>
    <w:rsid w:val="431A0D0D"/>
    <w:rsid w:val="435B5AD8"/>
    <w:rsid w:val="43E0481B"/>
    <w:rsid w:val="43E30242"/>
    <w:rsid w:val="43F01ABD"/>
    <w:rsid w:val="43FB5006"/>
    <w:rsid w:val="442667C6"/>
    <w:rsid w:val="4438351F"/>
    <w:rsid w:val="445C01D9"/>
    <w:rsid w:val="44661A8A"/>
    <w:rsid w:val="4497129A"/>
    <w:rsid w:val="449C223F"/>
    <w:rsid w:val="44BF08E7"/>
    <w:rsid w:val="44CA1D27"/>
    <w:rsid w:val="44CC43F9"/>
    <w:rsid w:val="44D858CB"/>
    <w:rsid w:val="4537553F"/>
    <w:rsid w:val="457878DB"/>
    <w:rsid w:val="458A48EC"/>
    <w:rsid w:val="45917248"/>
    <w:rsid w:val="45A85A90"/>
    <w:rsid w:val="45F417DA"/>
    <w:rsid w:val="46460AA9"/>
    <w:rsid w:val="469037D7"/>
    <w:rsid w:val="46AE32BA"/>
    <w:rsid w:val="46B62FC2"/>
    <w:rsid w:val="46E1632A"/>
    <w:rsid w:val="47391760"/>
    <w:rsid w:val="475E025B"/>
    <w:rsid w:val="47D6665B"/>
    <w:rsid w:val="481C4915"/>
    <w:rsid w:val="481E0D29"/>
    <w:rsid w:val="48311E77"/>
    <w:rsid w:val="483B28BD"/>
    <w:rsid w:val="486C40D1"/>
    <w:rsid w:val="486F15F0"/>
    <w:rsid w:val="48A660D6"/>
    <w:rsid w:val="48C548BC"/>
    <w:rsid w:val="494140DC"/>
    <w:rsid w:val="49525235"/>
    <w:rsid w:val="49666414"/>
    <w:rsid w:val="49AA58DD"/>
    <w:rsid w:val="49B42E23"/>
    <w:rsid w:val="49DD24B6"/>
    <w:rsid w:val="49ED7A7B"/>
    <w:rsid w:val="49FD3CB5"/>
    <w:rsid w:val="4A262569"/>
    <w:rsid w:val="4A302781"/>
    <w:rsid w:val="4A5C5130"/>
    <w:rsid w:val="4A6A4154"/>
    <w:rsid w:val="4A8920D8"/>
    <w:rsid w:val="4A9F7EE7"/>
    <w:rsid w:val="4BE72C4F"/>
    <w:rsid w:val="4BF852EE"/>
    <w:rsid w:val="4C230725"/>
    <w:rsid w:val="4C260810"/>
    <w:rsid w:val="4CB168DB"/>
    <w:rsid w:val="4CE70F62"/>
    <w:rsid w:val="4D49021E"/>
    <w:rsid w:val="4D92070D"/>
    <w:rsid w:val="4D9B61B1"/>
    <w:rsid w:val="4DBD0CEF"/>
    <w:rsid w:val="4DE21CA2"/>
    <w:rsid w:val="4E144367"/>
    <w:rsid w:val="4E7220AA"/>
    <w:rsid w:val="4EBA4B95"/>
    <w:rsid w:val="4EE25D3D"/>
    <w:rsid w:val="4F36482D"/>
    <w:rsid w:val="4F3805EE"/>
    <w:rsid w:val="4F390E40"/>
    <w:rsid w:val="4F5A116D"/>
    <w:rsid w:val="4F9513FC"/>
    <w:rsid w:val="4FE17D80"/>
    <w:rsid w:val="4FEA14B6"/>
    <w:rsid w:val="4FED1B4C"/>
    <w:rsid w:val="503C3A87"/>
    <w:rsid w:val="508366DC"/>
    <w:rsid w:val="511E7149"/>
    <w:rsid w:val="51547B87"/>
    <w:rsid w:val="515712D7"/>
    <w:rsid w:val="517174CA"/>
    <w:rsid w:val="518F5F6A"/>
    <w:rsid w:val="5190711C"/>
    <w:rsid w:val="51960207"/>
    <w:rsid w:val="51B3732E"/>
    <w:rsid w:val="51E025DA"/>
    <w:rsid w:val="52775F12"/>
    <w:rsid w:val="52C73DF4"/>
    <w:rsid w:val="52D333B6"/>
    <w:rsid w:val="52E35867"/>
    <w:rsid w:val="5309433A"/>
    <w:rsid w:val="530A0305"/>
    <w:rsid w:val="53553CAF"/>
    <w:rsid w:val="54413F48"/>
    <w:rsid w:val="54AA78DD"/>
    <w:rsid w:val="54BD3793"/>
    <w:rsid w:val="54D70C28"/>
    <w:rsid w:val="55394AD3"/>
    <w:rsid w:val="5551298B"/>
    <w:rsid w:val="5558110A"/>
    <w:rsid w:val="55962ADA"/>
    <w:rsid w:val="55AB69B1"/>
    <w:rsid w:val="55DD2108"/>
    <w:rsid w:val="55F95F4F"/>
    <w:rsid w:val="56010C6B"/>
    <w:rsid w:val="562273EC"/>
    <w:rsid w:val="56432670"/>
    <w:rsid w:val="56D6171B"/>
    <w:rsid w:val="573C22ED"/>
    <w:rsid w:val="57D12F83"/>
    <w:rsid w:val="57D60BCE"/>
    <w:rsid w:val="57EB25A3"/>
    <w:rsid w:val="57ED35F1"/>
    <w:rsid w:val="58200237"/>
    <w:rsid w:val="582C5F45"/>
    <w:rsid w:val="583A2604"/>
    <w:rsid w:val="58882DD0"/>
    <w:rsid w:val="588C4435"/>
    <w:rsid w:val="588D7EEB"/>
    <w:rsid w:val="58DF35EE"/>
    <w:rsid w:val="590B12B5"/>
    <w:rsid w:val="5926021F"/>
    <w:rsid w:val="592F0849"/>
    <w:rsid w:val="594657F8"/>
    <w:rsid w:val="598A0F56"/>
    <w:rsid w:val="59D149F2"/>
    <w:rsid w:val="59E3249C"/>
    <w:rsid w:val="5A126413"/>
    <w:rsid w:val="5A1855C2"/>
    <w:rsid w:val="5A2E733E"/>
    <w:rsid w:val="5A6D607D"/>
    <w:rsid w:val="5A802CB2"/>
    <w:rsid w:val="5A840DB5"/>
    <w:rsid w:val="5A8961F5"/>
    <w:rsid w:val="5AF42078"/>
    <w:rsid w:val="5AFF4C1C"/>
    <w:rsid w:val="5B210754"/>
    <w:rsid w:val="5B344026"/>
    <w:rsid w:val="5B470261"/>
    <w:rsid w:val="5B52350D"/>
    <w:rsid w:val="5B6A7AF8"/>
    <w:rsid w:val="5B801134"/>
    <w:rsid w:val="5BA964DA"/>
    <w:rsid w:val="5BAE03A2"/>
    <w:rsid w:val="5BB618D0"/>
    <w:rsid w:val="5BCB4979"/>
    <w:rsid w:val="5BF9049A"/>
    <w:rsid w:val="5C602A7F"/>
    <w:rsid w:val="5C946CE9"/>
    <w:rsid w:val="5CE10514"/>
    <w:rsid w:val="5D0E3167"/>
    <w:rsid w:val="5D4E16B6"/>
    <w:rsid w:val="5D572EF2"/>
    <w:rsid w:val="5D60284F"/>
    <w:rsid w:val="5DA77DB0"/>
    <w:rsid w:val="5DAB6C10"/>
    <w:rsid w:val="5DBA3695"/>
    <w:rsid w:val="5DBD7CC8"/>
    <w:rsid w:val="5DD63EBD"/>
    <w:rsid w:val="5E1A3416"/>
    <w:rsid w:val="5E1D3F1C"/>
    <w:rsid w:val="5E982595"/>
    <w:rsid w:val="5EC7617C"/>
    <w:rsid w:val="5EE53006"/>
    <w:rsid w:val="5EE70240"/>
    <w:rsid w:val="5F0F3B31"/>
    <w:rsid w:val="5F736C57"/>
    <w:rsid w:val="5FD97F4F"/>
    <w:rsid w:val="60305953"/>
    <w:rsid w:val="603D0589"/>
    <w:rsid w:val="60D336F2"/>
    <w:rsid w:val="60D94D2B"/>
    <w:rsid w:val="60E54B81"/>
    <w:rsid w:val="6106790C"/>
    <w:rsid w:val="611E6548"/>
    <w:rsid w:val="615246ED"/>
    <w:rsid w:val="61593631"/>
    <w:rsid w:val="616736F4"/>
    <w:rsid w:val="61E62809"/>
    <w:rsid w:val="61F26217"/>
    <w:rsid w:val="621238E8"/>
    <w:rsid w:val="622F3D94"/>
    <w:rsid w:val="628077D4"/>
    <w:rsid w:val="62830D05"/>
    <w:rsid w:val="62DA613D"/>
    <w:rsid w:val="635B6407"/>
    <w:rsid w:val="6374226A"/>
    <w:rsid w:val="64714260"/>
    <w:rsid w:val="648E1E86"/>
    <w:rsid w:val="64B50B39"/>
    <w:rsid w:val="64C63DFF"/>
    <w:rsid w:val="65555008"/>
    <w:rsid w:val="655E2241"/>
    <w:rsid w:val="656B14FC"/>
    <w:rsid w:val="656C726E"/>
    <w:rsid w:val="65AC7647"/>
    <w:rsid w:val="661A38A0"/>
    <w:rsid w:val="661D0C49"/>
    <w:rsid w:val="66A25E9D"/>
    <w:rsid w:val="66A82045"/>
    <w:rsid w:val="66CB4CE8"/>
    <w:rsid w:val="66D74A2D"/>
    <w:rsid w:val="67267116"/>
    <w:rsid w:val="674521B4"/>
    <w:rsid w:val="676135A4"/>
    <w:rsid w:val="676412FD"/>
    <w:rsid w:val="67981B88"/>
    <w:rsid w:val="67A17493"/>
    <w:rsid w:val="67A322D4"/>
    <w:rsid w:val="67AB41AC"/>
    <w:rsid w:val="67D202F7"/>
    <w:rsid w:val="67D826E0"/>
    <w:rsid w:val="67DE5280"/>
    <w:rsid w:val="68357A4D"/>
    <w:rsid w:val="6871219D"/>
    <w:rsid w:val="68712F36"/>
    <w:rsid w:val="687E5B4B"/>
    <w:rsid w:val="68C32098"/>
    <w:rsid w:val="68DD5D38"/>
    <w:rsid w:val="68E040FA"/>
    <w:rsid w:val="68EB5775"/>
    <w:rsid w:val="690C63C7"/>
    <w:rsid w:val="691E21E0"/>
    <w:rsid w:val="698513AF"/>
    <w:rsid w:val="69B26398"/>
    <w:rsid w:val="69B31FF0"/>
    <w:rsid w:val="69C204DE"/>
    <w:rsid w:val="6A0F6AB7"/>
    <w:rsid w:val="6A1B6D24"/>
    <w:rsid w:val="6A1F7011"/>
    <w:rsid w:val="6A4B4A31"/>
    <w:rsid w:val="6A5F6083"/>
    <w:rsid w:val="6AA24A56"/>
    <w:rsid w:val="6ABB7CF8"/>
    <w:rsid w:val="6AD35E5D"/>
    <w:rsid w:val="6B013CBB"/>
    <w:rsid w:val="6B2B7099"/>
    <w:rsid w:val="6B2E7B85"/>
    <w:rsid w:val="6B3F1CD4"/>
    <w:rsid w:val="6B9E0E3D"/>
    <w:rsid w:val="6BC37D6F"/>
    <w:rsid w:val="6BE7562E"/>
    <w:rsid w:val="6BEA06F3"/>
    <w:rsid w:val="6C076DF0"/>
    <w:rsid w:val="6C997287"/>
    <w:rsid w:val="6CA84B86"/>
    <w:rsid w:val="6CE65669"/>
    <w:rsid w:val="6D1D7CE1"/>
    <w:rsid w:val="6DB444F0"/>
    <w:rsid w:val="6DDA3A19"/>
    <w:rsid w:val="6DF442B9"/>
    <w:rsid w:val="6DFD0A88"/>
    <w:rsid w:val="6E2B0DC5"/>
    <w:rsid w:val="6E496AF5"/>
    <w:rsid w:val="6E571E9E"/>
    <w:rsid w:val="6E8D519E"/>
    <w:rsid w:val="6EA76ACD"/>
    <w:rsid w:val="6ECE4560"/>
    <w:rsid w:val="6EE45F2A"/>
    <w:rsid w:val="6F2734A9"/>
    <w:rsid w:val="6F4C15ED"/>
    <w:rsid w:val="6F7D054F"/>
    <w:rsid w:val="6FB14019"/>
    <w:rsid w:val="6FCC2C0A"/>
    <w:rsid w:val="6FCC631A"/>
    <w:rsid w:val="6FCE0AE7"/>
    <w:rsid w:val="70057F1A"/>
    <w:rsid w:val="700912D5"/>
    <w:rsid w:val="700F511F"/>
    <w:rsid w:val="70440702"/>
    <w:rsid w:val="705A51B2"/>
    <w:rsid w:val="706C162E"/>
    <w:rsid w:val="707B41EE"/>
    <w:rsid w:val="7083370D"/>
    <w:rsid w:val="709C7CE4"/>
    <w:rsid w:val="70C5620D"/>
    <w:rsid w:val="712F6638"/>
    <w:rsid w:val="715E32F8"/>
    <w:rsid w:val="718A471B"/>
    <w:rsid w:val="71B662FC"/>
    <w:rsid w:val="71C0360D"/>
    <w:rsid w:val="71F24DC2"/>
    <w:rsid w:val="71FB7077"/>
    <w:rsid w:val="720A6352"/>
    <w:rsid w:val="721F77A4"/>
    <w:rsid w:val="72B745FD"/>
    <w:rsid w:val="72CE0C5A"/>
    <w:rsid w:val="72D77490"/>
    <w:rsid w:val="72F7625A"/>
    <w:rsid w:val="730A460C"/>
    <w:rsid w:val="731179E4"/>
    <w:rsid w:val="73173C45"/>
    <w:rsid w:val="73F47E7C"/>
    <w:rsid w:val="740E1409"/>
    <w:rsid w:val="74210AC1"/>
    <w:rsid w:val="743339C1"/>
    <w:rsid w:val="748F03FD"/>
    <w:rsid w:val="74A307E9"/>
    <w:rsid w:val="74B113DF"/>
    <w:rsid w:val="74B34561"/>
    <w:rsid w:val="74C1281F"/>
    <w:rsid w:val="750F7848"/>
    <w:rsid w:val="75A1533E"/>
    <w:rsid w:val="75B5505B"/>
    <w:rsid w:val="75C66890"/>
    <w:rsid w:val="75C836BD"/>
    <w:rsid w:val="75E4007E"/>
    <w:rsid w:val="762C559C"/>
    <w:rsid w:val="764A41C7"/>
    <w:rsid w:val="767C07AC"/>
    <w:rsid w:val="768A2D88"/>
    <w:rsid w:val="76B168A4"/>
    <w:rsid w:val="774C31BD"/>
    <w:rsid w:val="77856F13"/>
    <w:rsid w:val="77BE49DF"/>
    <w:rsid w:val="77BF70D8"/>
    <w:rsid w:val="77EB7361"/>
    <w:rsid w:val="77FB29C3"/>
    <w:rsid w:val="782C2289"/>
    <w:rsid w:val="78862FB8"/>
    <w:rsid w:val="792D20B3"/>
    <w:rsid w:val="79403216"/>
    <w:rsid w:val="796550C7"/>
    <w:rsid w:val="79742E60"/>
    <w:rsid w:val="798837D8"/>
    <w:rsid w:val="798B458C"/>
    <w:rsid w:val="79987ACF"/>
    <w:rsid w:val="79AB4498"/>
    <w:rsid w:val="79BE5EDF"/>
    <w:rsid w:val="79D579F3"/>
    <w:rsid w:val="7A122148"/>
    <w:rsid w:val="7A265D85"/>
    <w:rsid w:val="7A48650A"/>
    <w:rsid w:val="7AB5746A"/>
    <w:rsid w:val="7AE46068"/>
    <w:rsid w:val="7B057272"/>
    <w:rsid w:val="7B1E2F03"/>
    <w:rsid w:val="7BDF33C3"/>
    <w:rsid w:val="7C687813"/>
    <w:rsid w:val="7C896D3C"/>
    <w:rsid w:val="7C8E2EA5"/>
    <w:rsid w:val="7C9527BB"/>
    <w:rsid w:val="7CE93AD7"/>
    <w:rsid w:val="7D1D7A88"/>
    <w:rsid w:val="7D4C142D"/>
    <w:rsid w:val="7D6013F3"/>
    <w:rsid w:val="7D9A5F66"/>
    <w:rsid w:val="7DBB65E6"/>
    <w:rsid w:val="7DDC1842"/>
    <w:rsid w:val="7DF83C87"/>
    <w:rsid w:val="7E0B2D00"/>
    <w:rsid w:val="7E2F6379"/>
    <w:rsid w:val="7E38317C"/>
    <w:rsid w:val="7EB84FAC"/>
    <w:rsid w:val="7ED8722E"/>
    <w:rsid w:val="7F16682A"/>
    <w:rsid w:val="7FAE716F"/>
    <w:rsid w:val="7FC228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unhideWhenUsed/>
    <w:qFormat/>
    <w:uiPriority w:val="39"/>
    <w:pPr>
      <w:ind w:left="1280"/>
      <w:jc w:val="left"/>
    </w:pPr>
    <w:rPr>
      <w:rFonts w:ascii="Calibri" w:hAnsi="Calibri" w:cs="Calibri"/>
      <w:sz w:val="20"/>
    </w:rPr>
  </w:style>
  <w:style w:type="paragraph" w:styleId="5">
    <w:name w:val="Normal Indent"/>
    <w:basedOn w:val="1"/>
    <w:next w:val="1"/>
    <w:unhideWhenUsed/>
    <w:qFormat/>
    <w:uiPriority w:val="0"/>
    <w:rPr>
      <w:rFonts w:ascii="等线" w:hAnsi="等线" w:eastAsia="等线"/>
      <w:szCs w:val="22"/>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index 7"/>
    <w:basedOn w:val="1"/>
    <w:next w:val="1"/>
    <w:qFormat/>
    <w:uiPriority w:val="0"/>
    <w:pPr>
      <w:ind w:left="2520"/>
    </w:pPr>
  </w:style>
  <w:style w:type="paragraph" w:styleId="9">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qFormat/>
    <w:uiPriority w:val="10"/>
    <w:pPr>
      <w:spacing w:before="240" w:after="60"/>
      <w:jc w:val="center"/>
      <w:outlineLvl w:val="0"/>
    </w:pPr>
    <w:rPr>
      <w:rFonts w:ascii="Cambria" w:hAnsi="Cambria"/>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qFormat/>
    <w:uiPriority w:val="0"/>
    <w:rPr>
      <w:rFonts w:cs="Times New Roman"/>
    </w:rPr>
  </w:style>
  <w:style w:type="character" w:styleId="17">
    <w:name w:val="Emphasis"/>
    <w:basedOn w:val="14"/>
    <w:qFormat/>
    <w:uiPriority w:val="20"/>
    <w:rPr>
      <w:i/>
      <w:iCs/>
    </w:rPr>
  </w:style>
  <w:style w:type="paragraph" w:styleId="18">
    <w:name w:val="List Paragraph"/>
    <w:basedOn w:val="1"/>
    <w:qFormat/>
    <w:uiPriority w:val="34"/>
    <w:pPr>
      <w:ind w:firstLine="420" w:firstLineChars="200"/>
    </w:pPr>
  </w:style>
  <w:style w:type="character" w:customStyle="1" w:styleId="19">
    <w:name w:val="页眉 字符"/>
    <w:basedOn w:val="14"/>
    <w:link w:val="7"/>
    <w:qFormat/>
    <w:uiPriority w:val="0"/>
    <w:rPr>
      <w:rFonts w:ascii="Times New Roman" w:hAnsi="Times New Roman"/>
      <w:kern w:val="2"/>
      <w:sz w:val="18"/>
      <w:szCs w:val="18"/>
    </w:rPr>
  </w:style>
  <w:style w:type="character" w:customStyle="1" w:styleId="20">
    <w:name w:val="页脚 字符"/>
    <w:basedOn w:val="14"/>
    <w:link w:val="6"/>
    <w:qFormat/>
    <w:uiPriority w:val="99"/>
    <w:rPr>
      <w:rFonts w:ascii="Times New Roman" w:hAnsi="Times New Roman"/>
      <w:kern w:val="2"/>
      <w:sz w:val="18"/>
      <w:szCs w:val="18"/>
    </w:rPr>
  </w:style>
  <w:style w:type="paragraph" w:customStyle="1" w:styleId="21">
    <w:name w:val="paragraph"/>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2">
    <w:name w:val="NormalCharacter"/>
    <w:qFormat/>
    <w:uiPriority w:val="0"/>
    <w:rPr>
      <w:rFonts w:ascii="Times New Roman" w:hAnsi="Times New Roman" w:eastAsia="仿宋_GB2312"/>
      <w:kern w:val="2"/>
      <w:sz w:val="32"/>
      <w:szCs w:val="24"/>
      <w:lang w:val="en-US" w:eastAsia="zh-CN" w:bidi="ar-SA"/>
    </w:rPr>
  </w:style>
  <w:style w:type="character" w:customStyle="1" w:styleId="23">
    <w:name w:val="UserStyle_0"/>
    <w:qFormat/>
    <w:uiPriority w:val="0"/>
    <w:rPr>
      <w:rFonts w:eastAsia="宋体"/>
      <w:kern w:val="2"/>
      <w:sz w:val="21"/>
      <w:lang w:val="en-US" w:eastAsia="zh-CN"/>
    </w:rPr>
  </w:style>
  <w:style w:type="character" w:customStyle="1" w:styleId="24">
    <w:name w:val="UserStyle_1"/>
    <w:basedOn w:val="22"/>
    <w:qFormat/>
    <w:uiPriority w:val="0"/>
    <w:rPr>
      <w:rFonts w:ascii="FZFSK--GBK1-0" w:hAnsi="FZFSK--GBK1-0" w:eastAsia="FZFSK--GBK1-0"/>
      <w:color w:val="000000"/>
      <w:kern w:val="2"/>
      <w:sz w:val="32"/>
      <w:szCs w:val="32"/>
      <w:lang w:val="en-US" w:eastAsia="zh-CN" w:bidi="ar-SA"/>
    </w:rPr>
  </w:style>
  <w:style w:type="paragraph" w:customStyle="1" w:styleId="2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6">
    <w:name w:val="fontstyle21"/>
    <w:qFormat/>
    <w:uiPriority w:val="0"/>
    <w:rPr>
      <w:rFonts w:hint="default" w:ascii="FZFSK--GBK1-0" w:hAnsi="FZFSK--GBK1-0"/>
      <w:color w:val="000000"/>
      <w:sz w:val="32"/>
      <w:szCs w:val="32"/>
    </w:rPr>
  </w:style>
  <w:style w:type="character" w:customStyle="1" w:styleId="27">
    <w:name w:val="font51"/>
    <w:basedOn w:val="14"/>
    <w:qFormat/>
    <w:uiPriority w:val="0"/>
    <w:rPr>
      <w:rFonts w:hint="eastAsia" w:ascii="宋体" w:hAnsi="宋体" w:eastAsia="宋体" w:cs="宋体"/>
      <w:color w:val="000000"/>
      <w:sz w:val="20"/>
      <w:szCs w:val="20"/>
      <w:u w:val="none"/>
    </w:rPr>
  </w:style>
  <w:style w:type="character" w:customStyle="1" w:styleId="28">
    <w:name w:val="font11"/>
    <w:basedOn w:val="14"/>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DE2ECB-852D-4C6D-8D03-345F4E0676CA}">
  <ds:schemaRefs/>
</ds:datastoreItem>
</file>

<file path=docProps/app.xml><?xml version="1.0" encoding="utf-8"?>
<Properties xmlns="http://schemas.openxmlformats.org/officeDocument/2006/extended-properties" xmlns:vt="http://schemas.openxmlformats.org/officeDocument/2006/docPropsVTypes">
  <Template>Normal.dotm</Template>
  <Company>重庆三峰卡万塔环境产业有限公司</Company>
  <Pages>1</Pages>
  <Words>9476</Words>
  <Characters>54017</Characters>
  <Lines>450</Lines>
  <Paragraphs>126</Paragraphs>
  <TotalTime>170</TotalTime>
  <ScaleCrop>false</ScaleCrop>
  <LinksUpToDate>false</LinksUpToDate>
  <CharactersWithSpaces>63367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2022-01-02T02:15:00Z</dcterms:created>
  <dc:creator>Administrator</dc:creator>
  <cp:lastModifiedBy>NTKO</cp:lastModifiedBy>
  <cp:lastPrinted>2022-01-01T06:14:00Z</cp:lastPrinted>
  <dcterms:modified xsi:type="dcterms:W3CDTF">2024-05-14T09:49:08Z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