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sz w:val="44"/>
          <w:szCs w:val="44"/>
        </w:rPr>
        <w:t>重庆市</w:t>
      </w:r>
      <w:r>
        <w:rPr>
          <w:rFonts w:hint="eastAsia" w:ascii="方正小标宋_GBK" w:hAnsi="方正小标宋_GBK" w:eastAsia="方正小标宋_GBK" w:cs="方正小标宋_GBK"/>
          <w:b w:val="0"/>
          <w:bCs/>
          <w:sz w:val="44"/>
          <w:szCs w:val="44"/>
          <w:lang w:val="en-US" w:eastAsia="zh-CN"/>
        </w:rPr>
        <w:t>大渡口</w:t>
      </w:r>
      <w:r>
        <w:rPr>
          <w:rFonts w:hint="eastAsia" w:ascii="方正小标宋_GBK" w:hAnsi="方正小标宋_GBK" w:eastAsia="方正小标宋_GBK" w:cs="方正小标宋_GBK"/>
          <w:b w:val="0"/>
          <w:bCs/>
          <w:sz w:val="44"/>
          <w:szCs w:val="44"/>
          <w:lang w:eastAsia="zh-CN"/>
        </w:rPr>
        <w:t>区</w:t>
      </w:r>
      <w:r>
        <w:rPr>
          <w:rFonts w:hint="eastAsia" w:ascii="方正小标宋_GBK" w:hAnsi="方正小标宋_GBK" w:eastAsia="方正小标宋_GBK" w:cs="方正小标宋_GBK"/>
          <w:b w:val="0"/>
          <w:bCs/>
          <w:sz w:val="44"/>
          <w:szCs w:val="44"/>
          <w:lang w:val="en-US" w:eastAsia="zh-CN"/>
        </w:rPr>
        <w:t>八桥镇人民</w:t>
      </w:r>
      <w:r>
        <w:rPr>
          <w:rFonts w:hint="eastAsia" w:ascii="方正小标宋_GBK" w:hAnsi="方正小标宋_GBK" w:eastAsia="方正小标宋_GBK" w:cs="方正小标宋_GBK"/>
          <w:color w:val="000000" w:themeColor="text1"/>
          <w:sz w:val="44"/>
          <w:szCs w:val="44"/>
          <w14:textFill>
            <w14:solidFill>
              <w14:schemeClr w14:val="tx1"/>
            </w14:solidFill>
          </w14:textFill>
        </w:rPr>
        <w:t>政府</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2024年政府</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信息公开工作年度报告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color w:val="000000" w:themeColor="text1"/>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lang w:val="en-US" w:eastAsia="zh-CN"/>
          <w14:textFill>
            <w14:solidFill>
              <w14:schemeClr w14:val="tx1"/>
            </w14:solidFill>
          </w14:textFill>
        </w:rPr>
        <w:t>一、</w:t>
      </w:r>
      <w:r>
        <w:rPr>
          <w:rFonts w:hint="eastAsia" w:ascii="方正黑体_GBK" w:hAnsi="方正黑体_GBK" w:eastAsia="方正黑体_GBK" w:cs="方正黑体_GBK"/>
          <w:color w:val="000000" w:themeColor="text1"/>
          <w:szCs w:val="32"/>
          <w14:textFill>
            <w14:solidFill>
              <w14:schemeClr w14:val="tx1"/>
            </w14:solidFill>
          </w14:textFill>
        </w:rPr>
        <w:t>总体情况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rPr>
      </w:pPr>
      <w:r>
        <w:rPr>
          <w:rFonts w:hint="eastAsia"/>
        </w:rPr>
        <w:t>20</w:t>
      </w:r>
      <w:r>
        <w:rPr>
          <w:rFonts w:hint="eastAsia"/>
          <w:lang w:val="en-US" w:eastAsia="zh-CN"/>
        </w:rPr>
        <w:t>24</w:t>
      </w:r>
      <w:r>
        <w:rPr>
          <w:rFonts w:hint="eastAsia"/>
        </w:rPr>
        <w:t>年，八桥镇认真贯彻落实</w:t>
      </w:r>
      <w:r>
        <w:rPr>
          <w:rFonts w:hint="eastAsia"/>
          <w:color w:val="000000" w:themeColor="text1"/>
          <w:szCs w:val="32"/>
          <w14:textFill>
            <w14:solidFill>
              <w14:schemeClr w14:val="tx1"/>
            </w14:solidFill>
          </w14:textFill>
        </w:rPr>
        <w:t>《中华人民共和国政府信息公开条例》</w:t>
      </w:r>
      <w:r>
        <w:rPr>
          <w:rFonts w:hint="eastAsia"/>
        </w:rPr>
        <w:t>，</w:t>
      </w:r>
      <w:r>
        <w:rPr>
          <w:rFonts w:hint="eastAsia"/>
          <w:lang w:val="en-US" w:eastAsia="zh-CN"/>
        </w:rPr>
        <w:t>严格按照政府信息公开工作要求，</w:t>
      </w:r>
      <w:r>
        <w:rPr>
          <w:rFonts w:hint="eastAsia"/>
        </w:rPr>
        <w:t>依法依规</w:t>
      </w:r>
      <w:r>
        <w:rPr>
          <w:rFonts w:hint="eastAsia"/>
          <w:lang w:val="en-US" w:eastAsia="zh-CN"/>
        </w:rPr>
        <w:t>办理、</w:t>
      </w:r>
      <w:r>
        <w:rPr>
          <w:rFonts w:hint="eastAsia"/>
        </w:rPr>
        <w:t>答复公开申请，积极回应社会关切，充分发挥政府信息公开服务经济社会发展的积极作用。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highlight w:val="none"/>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一</w:t>
      </w: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rPr>
        <w:t>主动公开情况。</w:t>
      </w:r>
      <w:r>
        <w:rPr>
          <w:rFonts w:hint="eastAsia" w:cs="Times New Roman"/>
          <w:lang w:val="en-US" w:eastAsia="zh-CN"/>
        </w:rPr>
        <w:t>2024年八桥镇人民政府通过大渡口区人民政府门户网站</w:t>
      </w:r>
      <w:r>
        <w:rPr>
          <w:rFonts w:hint="default" w:ascii="Times New Roman" w:hAnsi="Times New Roman" w:eastAsia="方正仿宋_GBK" w:cs="Times New Roman"/>
          <w:highlight w:val="none"/>
        </w:rPr>
        <w:t>主动公开工作动态、</w:t>
      </w:r>
      <w:r>
        <w:rPr>
          <w:rFonts w:hint="default" w:ascii="Times New Roman" w:hAnsi="Times New Roman" w:eastAsia="方正仿宋_GBK" w:cs="Times New Roman"/>
          <w:highlight w:val="none"/>
          <w:lang w:eastAsia="zh-CN"/>
        </w:rPr>
        <w:t>重大民生</w:t>
      </w:r>
      <w:r>
        <w:rPr>
          <w:rFonts w:hint="default" w:ascii="Times New Roman" w:hAnsi="Times New Roman" w:eastAsia="方正仿宋_GBK" w:cs="Times New Roman"/>
          <w:highlight w:val="none"/>
        </w:rPr>
        <w:t>等</w:t>
      </w:r>
      <w:r>
        <w:rPr>
          <w:rFonts w:hint="eastAsia" w:cs="Times New Roman"/>
          <w:highlight w:val="none"/>
          <w:lang w:eastAsia="zh-CN"/>
        </w:rPr>
        <w:t>信息</w:t>
      </w:r>
      <w:r>
        <w:rPr>
          <w:rFonts w:hint="eastAsia" w:cs="Times New Roman"/>
          <w:highlight w:val="none"/>
          <w:lang w:val="en-US" w:eastAsia="zh-CN"/>
        </w:rPr>
        <w:t>101</w:t>
      </w:r>
      <w:r>
        <w:rPr>
          <w:rFonts w:hint="default" w:ascii="Times New Roman" w:hAnsi="Times New Roman" w:eastAsia="方正仿宋_GBK" w:cs="Times New Roman"/>
          <w:color w:val="auto"/>
          <w:highlight w:val="none"/>
        </w:rPr>
        <w:t>条</w:t>
      </w:r>
      <w:r>
        <w:rPr>
          <w:rFonts w:hint="default" w:ascii="Times New Roman" w:hAnsi="Times New Roman" w:eastAsia="方正仿宋_GBK" w:cs="Times New Roman"/>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cs="Times New Roman"/>
          <w:lang w:eastAsia="zh-CN"/>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二</w:t>
      </w:r>
      <w:r>
        <w:rPr>
          <w:rFonts w:hint="eastAsia" w:ascii="方正楷体_GBK" w:hAnsi="方正楷体_GBK" w:eastAsia="方正楷体_GBK" w:cs="方正楷体_GBK"/>
          <w:lang w:eastAsia="zh-CN"/>
        </w:rPr>
        <w:t>）</w:t>
      </w:r>
      <w:r>
        <w:rPr>
          <w:rFonts w:hint="default" w:ascii="方正楷体_GBK" w:hAnsi="方正楷体_GBK" w:eastAsia="方正楷体_GBK" w:cs="方正楷体_GBK"/>
          <w:lang w:eastAsia="zh-CN"/>
        </w:rPr>
        <w:t>依申请公开情况。</w:t>
      </w:r>
      <w:r>
        <w:rPr>
          <w:rFonts w:hint="eastAsia" w:cs="Times New Roman"/>
          <w:lang w:val="en-US" w:eastAsia="zh-CN"/>
        </w:rPr>
        <w:t>2024年八桥镇人民政府</w:t>
      </w:r>
      <w:r>
        <w:rPr>
          <w:rFonts w:hint="eastAsia" w:cs="Times New Roman"/>
          <w:lang w:eastAsia="zh-CN"/>
        </w:rPr>
        <w:t>收到</w:t>
      </w:r>
      <w:r>
        <w:rPr>
          <w:rFonts w:hint="eastAsia" w:cs="Times New Roman"/>
          <w:lang w:val="en-US" w:eastAsia="zh-CN"/>
        </w:rPr>
        <w:t>8条</w:t>
      </w:r>
      <w:r>
        <w:rPr>
          <w:rFonts w:hint="eastAsia" w:cs="Times New Roman"/>
          <w:lang w:eastAsia="zh-CN"/>
        </w:rPr>
        <w:t>政府信息依申请公开要求，已按照要求及时回复居民。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cs="Times New Roman"/>
          <w:lang w:eastAsia="zh-CN"/>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三</w:t>
      </w:r>
      <w:r>
        <w:rPr>
          <w:rFonts w:hint="eastAsia" w:ascii="方正楷体_GBK" w:hAnsi="方正楷体_GBK" w:eastAsia="方正楷体_GBK" w:cs="方正楷体_GBK"/>
          <w:lang w:eastAsia="zh-CN"/>
        </w:rPr>
        <w:t>）</w:t>
      </w:r>
      <w:r>
        <w:rPr>
          <w:rFonts w:hint="default" w:ascii="方正楷体_GBK" w:hAnsi="方正楷体_GBK" w:eastAsia="方正楷体_GBK" w:cs="方正楷体_GBK"/>
          <w:lang w:eastAsia="zh-CN"/>
        </w:rPr>
        <w:t>政府信息管理情况。</w:t>
      </w:r>
      <w:r>
        <w:rPr>
          <w:rFonts w:hint="eastAsia" w:cs="Times New Roman"/>
          <w:lang w:val="en-US" w:eastAsia="zh-CN"/>
        </w:rPr>
        <w:t>严格执行</w:t>
      </w:r>
      <w:r>
        <w:rPr>
          <w:rFonts w:hint="eastAsia" w:cs="Times New Roman"/>
          <w:lang w:eastAsia="zh-CN"/>
        </w:rPr>
        <w:t>政府信息公开相关工作制度，</w:t>
      </w:r>
      <w:r>
        <w:rPr>
          <w:rFonts w:hint="eastAsia" w:cs="Times New Roman"/>
          <w:lang w:val="en-US" w:eastAsia="zh-CN"/>
        </w:rPr>
        <w:t>进一步压实责任，</w:t>
      </w:r>
      <w:r>
        <w:rPr>
          <w:rFonts w:hint="eastAsia" w:cs="Times New Roman"/>
          <w:lang w:eastAsia="zh-CN"/>
        </w:rPr>
        <w:t>严格落实“三审三校”，确保信息准确性和规范性。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lang w:val="en-US" w:eastAsia="zh-CN"/>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四</w:t>
      </w:r>
      <w:r>
        <w:rPr>
          <w:rFonts w:hint="eastAsia" w:ascii="方正楷体_GBK" w:hAnsi="方正楷体_GBK" w:eastAsia="方正楷体_GBK" w:cs="方正楷体_GBK"/>
          <w:lang w:eastAsia="zh-CN"/>
        </w:rPr>
        <w:t>）</w:t>
      </w:r>
      <w:r>
        <w:rPr>
          <w:rFonts w:hint="default" w:ascii="方正楷体_GBK" w:hAnsi="方正楷体_GBK" w:eastAsia="方正楷体_GBK" w:cs="方正楷体_GBK"/>
          <w:lang w:eastAsia="zh-CN"/>
        </w:rPr>
        <w:t>平台建设情况。</w:t>
      </w:r>
      <w:r>
        <w:rPr>
          <w:rFonts w:hint="eastAsia" w:cs="Times New Roman"/>
          <w:lang w:val="en-US" w:eastAsia="zh-CN"/>
        </w:rPr>
        <w:t>2024年，八桥镇人民政府主要通过大渡口区人民政府门户网站平台进行政府信息公开。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cs="Times New Roman"/>
          <w:szCs w:val="22"/>
          <w:lang w:eastAsia="zh-CN"/>
        </w:rPr>
      </w:pP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五</w:t>
      </w:r>
      <w:r>
        <w:rPr>
          <w:rFonts w:hint="eastAsia" w:ascii="方正楷体_GBK" w:hAnsi="方正楷体_GBK" w:eastAsia="方正楷体_GBK" w:cs="方正楷体_GBK"/>
          <w:lang w:eastAsia="zh-CN"/>
        </w:rPr>
        <w:t>）</w:t>
      </w:r>
      <w:r>
        <w:rPr>
          <w:rFonts w:hint="default" w:ascii="方正楷体_GBK" w:hAnsi="方正楷体_GBK" w:eastAsia="方正楷体_GBK" w:cs="方正楷体_GBK"/>
          <w:lang w:eastAsia="zh-CN"/>
        </w:rPr>
        <w:t>监督保障情况。</w:t>
      </w:r>
      <w:r>
        <w:rPr>
          <w:rFonts w:hint="eastAsia" w:cs="Times New Roman"/>
          <w:lang w:eastAsia="zh-CN"/>
        </w:rPr>
        <w:t>常态化</w:t>
      </w:r>
      <w:r>
        <w:rPr>
          <w:rFonts w:hint="eastAsia" w:cs="Times New Roman"/>
          <w:lang w:val="en-US" w:eastAsia="zh-CN"/>
        </w:rPr>
        <w:t>对</w:t>
      </w:r>
      <w:r>
        <w:rPr>
          <w:rFonts w:hint="eastAsia" w:cs="Times New Roman"/>
          <w:lang w:eastAsia="zh-CN"/>
        </w:rPr>
        <w:t>政府信息公开工作</w:t>
      </w:r>
      <w:r>
        <w:rPr>
          <w:rFonts w:hint="eastAsia" w:cs="Times New Roman"/>
          <w:lang w:val="en-US" w:eastAsia="zh-CN"/>
        </w:rPr>
        <w:t>进行</w:t>
      </w:r>
      <w:r>
        <w:rPr>
          <w:rFonts w:hint="eastAsia" w:cs="Times New Roman"/>
          <w:lang w:eastAsia="zh-CN"/>
        </w:rPr>
        <w:t>管理，</w:t>
      </w:r>
      <w:r>
        <w:rPr>
          <w:rFonts w:hint="eastAsia" w:cs="Times New Roman"/>
          <w:lang w:val="en-US" w:eastAsia="zh-CN"/>
        </w:rPr>
        <w:t>定期督促各相关业务科室对公开内容进行及时更新；严格落实安全保密审查职责，坚持“涉密信息不上网，上网信息不涉密”。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000000" w:themeColor="text1"/>
          <w:szCs w:val="32"/>
          <w14:textFill>
            <w14:solidFill>
              <w14:schemeClr w14:val="tx1"/>
            </w14:solidFill>
          </w14:textFill>
        </w:rPr>
      </w:pPr>
    </w:p>
    <w:p>
      <w:pPr>
        <w:spacing w:line="600" w:lineRule="exact"/>
        <w:ind w:firstLine="640" w:firstLineChars="200"/>
        <w:rPr>
          <w:rFonts w:hint="eastAsia" w:ascii="方正黑体_GBK" w:hAnsi="方正黑体_GBK" w:eastAsia="方正黑体_GBK" w:cs="方正黑体_GBK"/>
          <w:color w:val="000000" w:themeColor="text1"/>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二、主动公开政府信息情况</w:t>
      </w:r>
      <w:r>
        <w:rPr>
          <w:rFonts w:hint="eastAsia" w:ascii="方正黑体_GBK" w:hAnsi="方正黑体_GBK" w:eastAsia="方正黑体_GBK" w:cs="方正黑体_GBK"/>
          <w:color w:val="000000" w:themeColor="text1"/>
          <w:szCs w:val="32"/>
          <w:lang w:val="en-US" w:eastAsia="zh-CN"/>
          <w14:textFill>
            <w14:solidFill>
              <w14:schemeClr w14:val="tx1"/>
            </w14:solidFill>
          </w14:textFill>
        </w:rPr>
        <w:t xml:space="preserve"> </w:t>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lang w:bidi="ar"/>
              </w:rPr>
              <w:t>本年制发件数</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lang w:bidi="ar"/>
              </w:rPr>
              <w:t>本年废止件数</w:t>
            </w:r>
          </w:p>
        </w:tc>
        <w:tc>
          <w:tcPr>
            <w:tcW w:w="2435" w:type="dxa"/>
            <w:shd w:val="clear" w:color="auto" w:fill="auto"/>
            <w:tcMar>
              <w:left w:w="57" w:type="dxa"/>
              <w:right w:w="57" w:type="dxa"/>
            </w:tcMar>
            <w:vAlign w:val="center"/>
          </w:tcPr>
          <w:p>
            <w:pPr>
              <w:widowControl/>
              <w:jc w:val="center"/>
            </w:pPr>
            <w:r>
              <w:rPr>
                <w:rFonts w:hint="eastAsia" w:eastAsia="宋体" w:cs="宋体"/>
                <w:kern w:val="0"/>
                <w:sz w:val="20"/>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lang w:bidi="ar"/>
              </w:rPr>
              <w:t>规章</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Theme="minorEastAsia"/>
                <w:lang w:val="en-US" w:eastAsia="zh-CN"/>
              </w:rPr>
            </w:pPr>
            <w:r>
              <w:rPr>
                <w:rFonts w:hint="eastAsia" w:cs="Calibri" w:eastAsiaTheme="minorEastAsia"/>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lang w:bidi="ar"/>
              </w:rPr>
              <w:t>行政规范性文件</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pPr>
              <w:widowControl/>
              <w:jc w:val="center"/>
              <w:rPr>
                <w:rFonts w:hint="eastAsia" w:eastAsiaTheme="minorEastAsia"/>
                <w:lang w:val="en-US" w:eastAsia="zh-CN"/>
              </w:rPr>
            </w:pPr>
            <w:r>
              <w:rPr>
                <w:rFonts w:hint="eastAsia" w:cs="Calibri" w:eastAsiaTheme="minorEastAsia"/>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lang w:bidi="ar"/>
              </w:rPr>
              <w:t>行政许可</w:t>
            </w:r>
          </w:p>
        </w:tc>
        <w:tc>
          <w:tcPr>
            <w:tcW w:w="7305" w:type="dxa"/>
            <w:gridSpan w:val="3"/>
            <w:shd w:val="clear" w:color="auto" w:fill="FFFFFF" w:themeFill="background1"/>
            <w:tcMar>
              <w:left w:w="57" w:type="dxa"/>
              <w:right w:w="57" w:type="dxa"/>
            </w:tcMar>
            <w:vAlign w:val="center"/>
          </w:tcPr>
          <w:p>
            <w:pPr>
              <w:widowControl/>
              <w:jc w:val="center"/>
              <w:rPr>
                <w:rFonts w:hint="eastAsia" w:eastAsiaTheme="minorEastAsia"/>
                <w:lang w:val="en-US" w:eastAsia="zh-CN"/>
              </w:rPr>
            </w:pPr>
            <w:r>
              <w:rPr>
                <w:rFonts w:hint="eastAsia" w:cs="Calibri" w:eastAsiaTheme="minorEastAsia"/>
                <w:kern w:val="0"/>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lang w:bidi="ar"/>
              </w:rPr>
              <w:t>行政处罚</w:t>
            </w:r>
          </w:p>
        </w:tc>
        <w:tc>
          <w:tcPr>
            <w:tcW w:w="7305" w:type="dxa"/>
            <w:gridSpan w:val="3"/>
            <w:shd w:val="clear" w:color="auto" w:fill="FFFFFF" w:themeFill="background1"/>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lang w:bidi="ar"/>
              </w:rPr>
              <w:t>行政强制</w:t>
            </w:r>
          </w:p>
        </w:tc>
        <w:tc>
          <w:tcPr>
            <w:tcW w:w="7305" w:type="dxa"/>
            <w:gridSpan w:val="3"/>
            <w:shd w:val="clear" w:color="auto" w:fill="FFFFFF" w:themeFill="background1"/>
            <w:tcMar>
              <w:left w:w="57" w:type="dxa"/>
              <w:right w:w="57" w:type="dxa"/>
            </w:tcMar>
            <w:vAlign w:val="center"/>
          </w:tcPr>
          <w:p>
            <w:pPr>
              <w:widowControl/>
              <w:jc w:val="center"/>
              <w:rPr>
                <w:rFonts w:hint="eastAsia" w:eastAsia="宋体"/>
                <w:lang w:val="en-US" w:eastAsia="zh-CN"/>
              </w:rPr>
            </w:pPr>
            <w:r>
              <w:rPr>
                <w:rFonts w:hint="eastAsia" w:eastAsia="宋体" w:cs="宋体"/>
                <w:kern w:val="0"/>
                <w:sz w:val="20"/>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信息内容</w:t>
            </w:r>
          </w:p>
        </w:tc>
        <w:tc>
          <w:tcPr>
            <w:tcW w:w="7305" w:type="dxa"/>
            <w:gridSpan w:val="3"/>
            <w:shd w:val="clear" w:color="auto" w:fill="FFFFFF" w:themeFill="background1"/>
            <w:tcMar>
              <w:left w:w="57" w:type="dxa"/>
              <w:right w:w="57" w:type="dxa"/>
            </w:tcMar>
            <w:vAlign w:val="center"/>
          </w:tcPr>
          <w:p>
            <w:pPr>
              <w:widowControl/>
              <w:jc w:val="center"/>
            </w:pPr>
            <w:r>
              <w:rPr>
                <w:rFonts w:hint="eastAsia" w:eastAsia="宋体" w:cs="宋体"/>
                <w:kern w:val="0"/>
                <w:sz w:val="20"/>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jc w:val="left"/>
            </w:pPr>
            <w:r>
              <w:rPr>
                <w:rFonts w:hint="eastAsia" w:eastAsia="宋体" w:cs="宋体"/>
                <w:kern w:val="0"/>
                <w:sz w:val="20"/>
                <w:lang w:bidi="ar"/>
              </w:rPr>
              <w:t>行政事业性收费</w:t>
            </w:r>
          </w:p>
        </w:tc>
        <w:tc>
          <w:tcPr>
            <w:tcW w:w="7305" w:type="dxa"/>
            <w:gridSpan w:val="3"/>
            <w:shd w:val="clear" w:color="auto" w:fill="FFFFFF" w:themeFill="background1"/>
            <w:tcMar>
              <w:left w:w="57" w:type="dxa"/>
              <w:right w:w="57" w:type="dxa"/>
            </w:tcMar>
            <w:vAlign w:val="center"/>
          </w:tcPr>
          <w:p>
            <w:pPr>
              <w:jc w:val="center"/>
              <w:rPr>
                <w:rFonts w:hint="eastAsia" w:eastAsia="方正仿宋_GBK"/>
                <w:sz w:val="24"/>
                <w:szCs w:val="24"/>
                <w:lang w:val="en-US" w:eastAsia="zh-CN"/>
              </w:rPr>
            </w:pPr>
            <w:r>
              <w:rPr>
                <w:rFonts w:hint="eastAsia"/>
                <w:sz w:val="24"/>
                <w:szCs w:val="24"/>
                <w:lang w:val="en-US" w:eastAsia="zh-CN"/>
              </w:rPr>
              <w:t>0</w:t>
            </w:r>
          </w:p>
        </w:tc>
      </w:tr>
    </w:tbl>
    <w:p>
      <w:pPr>
        <w:spacing w:line="600" w:lineRule="exact"/>
        <w:ind w:firstLine="640" w:firstLineChars="200"/>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三、收到和处理政府信息公开申请情况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5"/>
        <w:gridCol w:w="3219"/>
        <w:gridCol w:w="688"/>
        <w:gridCol w:w="688"/>
        <w:gridCol w:w="688"/>
        <w:gridCol w:w="688"/>
        <w:gridCol w:w="688"/>
        <w:gridCol w:w="688"/>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restart"/>
            <w:shd w:val="clear" w:color="auto" w:fill="auto"/>
            <w:tcMar>
              <w:left w:w="108" w:type="dxa"/>
              <w:right w:w="108" w:type="dxa"/>
            </w:tcMar>
            <w:vAlign w:val="center"/>
          </w:tcPr>
          <w:p>
            <w:pPr>
              <w:widowControl/>
              <w:jc w:val="left"/>
              <w:rPr>
                <w:color w:val="000000" w:themeColor="text1"/>
                <w14:textFill>
                  <w14:solidFill>
                    <w14:schemeClr w14:val="tx1"/>
                  </w14:solidFill>
                </w14:textFill>
              </w:rPr>
            </w:pPr>
            <w:r>
              <w:rPr>
                <w:rFonts w:eastAsia="楷体" w:cs="楷体"/>
                <w:color w:val="000000" w:themeColor="text1"/>
                <w:kern w:val="0"/>
                <w:sz w:val="20"/>
                <w:lang w:bidi="ar"/>
                <w14:textFill>
                  <w14:solidFill>
                    <w14:schemeClr w14:val="tx1"/>
                  </w14:solidFill>
                </w14:textFill>
              </w:rPr>
              <w:t>（本列数据的勾稽关系为：第一项加第二项之和，等于第三项加第四项之和）</w:t>
            </w:r>
          </w:p>
        </w:tc>
        <w:tc>
          <w:tcPr>
            <w:tcW w:w="4816" w:type="dxa"/>
            <w:gridSpan w:val="7"/>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88" w:type="dxa"/>
            <w:vMerge w:val="restart"/>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自然人</w:t>
            </w:r>
          </w:p>
        </w:tc>
        <w:tc>
          <w:tcPr>
            <w:tcW w:w="3440" w:type="dxa"/>
            <w:gridSpan w:val="5"/>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法人或其他组织</w:t>
            </w:r>
          </w:p>
        </w:tc>
        <w:tc>
          <w:tcPr>
            <w:tcW w:w="688" w:type="dxa"/>
            <w:vMerge w:val="restart"/>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88"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商业</w:t>
            </w:r>
          </w:p>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企业</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科研</w:t>
            </w:r>
          </w:p>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机构</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社会公益组织</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法律服务机构</w:t>
            </w:r>
          </w:p>
        </w:tc>
        <w:tc>
          <w:tcPr>
            <w:tcW w:w="688"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p>
        </w:tc>
        <w:tc>
          <w:tcPr>
            <w:tcW w:w="688" w:type="dxa"/>
            <w:vMerge w:val="continue"/>
            <w:shd w:val="clear" w:color="auto" w:fill="auto"/>
            <w:tcMar>
              <w:left w:w="57" w:type="dxa"/>
              <w:right w:w="57" w:type="dxa"/>
            </w:tcMar>
            <w:vAlign w:val="center"/>
          </w:tcPr>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32" w:type="dxa"/>
            <w:gridSpan w:val="3"/>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一、本年新收政府信息公开申请数量</w:t>
            </w:r>
          </w:p>
        </w:tc>
        <w:tc>
          <w:tcPr>
            <w:tcW w:w="688" w:type="dxa"/>
            <w:shd w:val="clear" w:color="auto" w:fill="auto"/>
            <w:tcMar>
              <w:left w:w="57" w:type="dxa"/>
              <w:right w:w="57" w:type="dxa"/>
            </w:tcMar>
            <w:vAlign w:val="cente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二、上年结转政府信息公开申请数量</w:t>
            </w:r>
          </w:p>
        </w:tc>
        <w:tc>
          <w:tcPr>
            <w:tcW w:w="688" w:type="dxa"/>
            <w:shd w:val="clear" w:color="auto" w:fill="auto"/>
            <w:tcMar>
              <w:left w:w="57" w:type="dxa"/>
              <w:right w:w="57" w:type="dxa"/>
            </w:tcMar>
            <w:vAlign w:val="cente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三、本年度办理结果</w:t>
            </w:r>
          </w:p>
        </w:tc>
        <w:tc>
          <w:tcPr>
            <w:tcW w:w="4164" w:type="dxa"/>
            <w:gridSpan w:val="2"/>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（一）予以公开</w:t>
            </w:r>
          </w:p>
        </w:tc>
        <w:tc>
          <w:tcPr>
            <w:tcW w:w="688" w:type="dxa"/>
            <w:shd w:val="clear" w:color="auto" w:fill="auto"/>
            <w:tcMar>
              <w:left w:w="57" w:type="dxa"/>
              <w:right w:w="57" w:type="dxa"/>
            </w:tcMar>
            <w:vAlign w:val="cente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164" w:type="dxa"/>
            <w:gridSpan w:val="2"/>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（二）部分公开（区分处理的，只计这一情形，不计其他情形）</w:t>
            </w:r>
          </w:p>
        </w:tc>
        <w:tc>
          <w:tcPr>
            <w:tcW w:w="688" w:type="dxa"/>
            <w:shd w:val="clear" w:color="auto" w:fill="auto"/>
            <w:tcMar>
              <w:left w:w="57" w:type="dxa"/>
              <w:right w:w="57" w:type="dxa"/>
            </w:tcMar>
            <w:vAlign w:val="cente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restart"/>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（三）不予公开</w:t>
            </w: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1.属于国家秘密</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2.其他法律行政法规禁止公开</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3.危及“三安全一稳定”</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4.保护第三方合法权益</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5.属于三类内部事务信息</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6.属于四类过程性信息</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7.属于行政执法案卷</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8.属于行政查询事项</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restart"/>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（四）无法提供</w:t>
            </w: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1.本机关不掌握相关政府信息</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2.没有现成信息需要另行制作</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3.补正后申请内容仍不明确</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restart"/>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（五）不予处理</w:t>
            </w: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1.信访举报投诉类申请</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2.重复申请</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3.要求提供公开出版物</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4.无正当理由大量反复申请</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219"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5.要求行政机关确认或重新出具已获取信息</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945" w:type="dxa"/>
            <w:vMerge w:val="restart"/>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（六）其他处理</w:t>
            </w:r>
          </w:p>
        </w:tc>
        <w:tc>
          <w:tcPr>
            <w:tcW w:w="3219" w:type="dxa"/>
            <w:shd w:val="clear" w:color="auto" w:fill="auto"/>
            <w:tcMar>
              <w:left w:w="57" w:type="dxa"/>
              <w:right w:w="57" w:type="dxa"/>
            </w:tcMar>
            <w:vAlign w:val="center"/>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1.申请人无正当理由逾期不补正、行政机关不再处理其政府信息公开申请</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color w:val="000000" w:themeColor="text1"/>
                <w:sz w:val="24"/>
                <w:szCs w:val="24"/>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color w:val="000000" w:themeColor="text1"/>
                <w:sz w:val="24"/>
                <w:szCs w:val="24"/>
                <w14:textFill>
                  <w14:solidFill>
                    <w14:schemeClr w14:val="tx1"/>
                  </w14:solidFill>
                </w14:textFill>
              </w:rPr>
            </w:pPr>
          </w:p>
        </w:tc>
        <w:tc>
          <w:tcPr>
            <w:tcW w:w="3219"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2.申请人逾期未按收费通知要求缴纳费用、行政机关不再处理其政府信息公开申请</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color w:val="000000" w:themeColor="text1"/>
                <w:sz w:val="24"/>
                <w:szCs w:val="24"/>
                <w14:textFill>
                  <w14:solidFill>
                    <w14:schemeClr w14:val="tx1"/>
                  </w14:solidFill>
                </w14:textFill>
              </w:rPr>
            </w:pPr>
          </w:p>
        </w:tc>
        <w:tc>
          <w:tcPr>
            <w:tcW w:w="945" w:type="dxa"/>
            <w:vMerge w:val="continue"/>
            <w:shd w:val="clear" w:color="auto" w:fill="auto"/>
            <w:tcMar>
              <w:left w:w="57" w:type="dxa"/>
              <w:right w:w="57" w:type="dxa"/>
            </w:tcMar>
            <w:vAlign w:val="center"/>
          </w:tcPr>
          <w:p>
            <w:pPr>
              <w:jc w:val="center"/>
              <w:rPr>
                <w:color w:val="000000" w:themeColor="text1"/>
                <w:sz w:val="24"/>
                <w:szCs w:val="24"/>
                <w14:textFill>
                  <w14:solidFill>
                    <w14:schemeClr w14:val="tx1"/>
                  </w14:solidFill>
                </w14:textFill>
              </w:rPr>
            </w:pPr>
          </w:p>
        </w:tc>
        <w:tc>
          <w:tcPr>
            <w:tcW w:w="3219" w:type="dxa"/>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3.其他</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shd w:val="clear" w:color="auto" w:fill="auto"/>
            <w:tcMar>
              <w:left w:w="57" w:type="dxa"/>
              <w:right w:w="57" w:type="dxa"/>
            </w:tcMar>
            <w:vAlign w:val="center"/>
          </w:tcPr>
          <w:p>
            <w:pPr>
              <w:jc w:val="cente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（七）总计</w:t>
            </w:r>
          </w:p>
        </w:tc>
        <w:tc>
          <w:tcPr>
            <w:tcW w:w="688" w:type="dxa"/>
            <w:shd w:val="clear" w:color="auto" w:fill="auto"/>
            <w:tcMar>
              <w:left w:w="57" w:type="dxa"/>
              <w:right w:w="57" w:type="dxa"/>
            </w:tcMar>
            <w:vAlign w:val="top"/>
          </w:tcPr>
          <w:p>
            <w:pPr>
              <w:widowControl/>
              <w:jc w:val="center"/>
              <w:rPr>
                <w:rFonts w:hint="default" w:eastAsia="方正仿宋_GBK"/>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688" w:type="dxa"/>
            <w:shd w:val="clear" w:color="auto" w:fill="auto"/>
            <w:tcMar>
              <w:left w:w="57" w:type="dxa"/>
              <w:right w:w="57" w:type="dxa"/>
            </w:tcMar>
            <w:vAlign w:val="top"/>
          </w:tcPr>
          <w:p>
            <w:pPr>
              <w:widowControl/>
              <w:jc w:val="center"/>
              <w:rPr>
                <w:rFonts w:hint="eastAsia" w:eastAsia="方正仿宋_GBK"/>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688" w:type="dxa"/>
            <w:shd w:val="clear" w:color="auto" w:fill="auto"/>
            <w:tcMar>
              <w:left w:w="57" w:type="dxa"/>
              <w:right w:w="57" w:type="dxa"/>
            </w:tcMar>
            <w:vAlign w:val="top"/>
          </w:tcPr>
          <w:p>
            <w:pPr>
              <w:widowControl/>
              <w:jc w:val="center"/>
              <w:rPr>
                <w:color w:val="000000" w:themeColor="text1"/>
                <w:sz w:val="21"/>
                <w:szCs w:val="21"/>
                <w14:textFill>
                  <w14:solidFill>
                    <w14:schemeClr w14:val="tx1"/>
                  </w14:solidFill>
                </w14:textFill>
              </w:rPr>
            </w:pPr>
            <w:r>
              <w:rPr>
                <w:rFonts w:hint="eastAsia" w:cs="Calibri" w:eastAsia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sz w:val="21"/>
                <w:szCs w:val="21"/>
                <w14:textFill>
                  <w14:solidFill>
                    <w14:schemeClr w14:val="tx1"/>
                  </w14:solidFill>
                </w14:textFill>
              </w:rPr>
            </w:pPr>
            <w:r>
              <w:rPr>
                <w:rFonts w:hint="eastAsia" w:cs="Calibri" w:eastAsia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sz w:val="21"/>
                <w:szCs w:val="21"/>
                <w14:textFill>
                  <w14:solidFill>
                    <w14:schemeClr w14:val="tx1"/>
                  </w14:solidFill>
                </w14:textFill>
              </w:rPr>
            </w:pPr>
            <w:r>
              <w:rPr>
                <w:rFonts w:hint="eastAsia" w:cs="Calibri" w:eastAsia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sz w:val="21"/>
                <w:szCs w:val="21"/>
                <w14:textFill>
                  <w14:solidFill>
                    <w14:schemeClr w14:val="tx1"/>
                  </w14:solidFill>
                </w14:textFill>
              </w:rPr>
            </w:pPr>
            <w:r>
              <w:rPr>
                <w:rFonts w:hint="eastAsia" w:cs="Calibri" w:eastAsiaTheme="minorEastAsia"/>
                <w:color w:val="000000" w:themeColor="text1"/>
                <w:kern w:val="0"/>
                <w:sz w:val="21"/>
                <w:szCs w:val="21"/>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rFonts w:hint="default" w:eastAsia="方正仿宋_GBK"/>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2" w:type="dxa"/>
            <w:gridSpan w:val="3"/>
            <w:shd w:val="clear" w:color="auto" w:fill="auto"/>
            <w:tcMar>
              <w:left w:w="57" w:type="dxa"/>
              <w:right w:w="57"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四、结转下年度继续办理</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top"/>
          </w:tcPr>
          <w:p>
            <w:pPr>
              <w:widowControl/>
              <w:jc w:val="center"/>
              <w:rPr>
                <w:color w:val="000000" w:themeColor="text1"/>
                <w:sz w:val="24"/>
                <w:szCs w:val="24"/>
                <w14:textFill>
                  <w14:solidFill>
                    <w14:schemeClr w14:val="tx1"/>
                  </w14:solidFill>
                </w14:textFill>
              </w:rPr>
            </w:pPr>
            <w:r>
              <w:rPr>
                <w:rFonts w:hint="eastAsia" w:cs="Calibri" w:eastAsiaTheme="minorEastAsia"/>
                <w:color w:val="000000" w:themeColor="text1"/>
                <w:kern w:val="0"/>
                <w:sz w:val="20"/>
                <w:lang w:val="en-US" w:eastAsia="zh-CN" w:bidi="ar"/>
                <w14:textFill>
                  <w14:solidFill>
                    <w14:schemeClr w14:val="tx1"/>
                  </w14:solidFill>
                </w14:textFill>
              </w:rPr>
              <w:t>0</w:t>
            </w:r>
          </w:p>
        </w:tc>
      </w:tr>
    </w:tbl>
    <w:p>
      <w:pPr>
        <w:spacing w:line="600" w:lineRule="exact"/>
        <w:ind w:firstLine="640" w:firstLineChars="200"/>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四、政府信息公开行政复议、行政诉讼情况</w:t>
      </w:r>
    </w:p>
    <w:tbl>
      <w:tblPr>
        <w:tblStyle w:val="4"/>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45" w:type="dxa"/>
            <w:gridSpan w:val="5"/>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行政复议</w:t>
            </w:r>
          </w:p>
        </w:tc>
        <w:tc>
          <w:tcPr>
            <w:tcW w:w="6503" w:type="dxa"/>
            <w:gridSpan w:val="10"/>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结果维持</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49" w:type="dxa"/>
            <w:vMerge w:val="restart"/>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3248" w:type="dxa"/>
            <w:gridSpan w:val="5"/>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未经复议直接起诉</w:t>
            </w:r>
          </w:p>
        </w:tc>
        <w:tc>
          <w:tcPr>
            <w:tcW w:w="3255" w:type="dxa"/>
            <w:gridSpan w:val="5"/>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pPr>
              <w:rPr>
                <w:color w:val="000000" w:themeColor="text1"/>
                <w:sz w:val="24"/>
                <w:szCs w:val="24"/>
                <w14:textFill>
                  <w14:solidFill>
                    <w14:schemeClr w14:val="tx1"/>
                  </w14:solidFill>
                </w14:textFill>
              </w:rPr>
            </w:pP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49"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0"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1" w:type="dxa"/>
            <w:shd w:val="clear" w:color="auto" w:fill="auto"/>
            <w:tcMar>
              <w:left w:w="108" w:type="dxa"/>
              <w:right w:w="108" w:type="dxa"/>
            </w:tcMar>
            <w:vAlign w:val="center"/>
          </w:tcPr>
          <w:p>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49"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649"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649"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649"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649"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p>
        </w:tc>
        <w:tc>
          <w:tcPr>
            <w:tcW w:w="649"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649"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650"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650"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650"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p>
        </w:tc>
        <w:tc>
          <w:tcPr>
            <w:tcW w:w="651"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651"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651"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651"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p>
        </w:tc>
        <w:tc>
          <w:tcPr>
            <w:tcW w:w="651" w:type="dxa"/>
            <w:shd w:val="clear" w:color="auto" w:fill="auto"/>
            <w:tcMar>
              <w:left w:w="108" w:type="dxa"/>
              <w:right w:w="108" w:type="dxa"/>
            </w:tcMar>
            <w:vAlign w:val="top"/>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p>
        </w:tc>
      </w:tr>
    </w:tbl>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五、存在的主要问题及改进情况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eastAsia="方正仿宋_GBK"/>
          <w:lang w:eastAsia="zh-CN"/>
        </w:rPr>
      </w:pPr>
      <w:r>
        <w:rPr>
          <w:rFonts w:hint="default"/>
          <w:lang w:val="en-US" w:eastAsia="zh-CN"/>
        </w:rPr>
        <w:t>202</w:t>
      </w:r>
      <w:r>
        <w:rPr>
          <w:rFonts w:hint="eastAsia"/>
          <w:lang w:val="en-US" w:eastAsia="zh-CN"/>
        </w:rPr>
        <w:t>4</w:t>
      </w:r>
      <w:r>
        <w:rPr>
          <w:rFonts w:hint="default"/>
          <w:lang w:val="en-US" w:eastAsia="zh-CN"/>
        </w:rPr>
        <w:t>年</w:t>
      </w:r>
      <w:r>
        <w:rPr>
          <w:rFonts w:hint="eastAsia"/>
        </w:rPr>
        <w:t>主要存在以下问题和不足：</w:t>
      </w:r>
      <w:r>
        <w:rPr>
          <w:rFonts w:hint="eastAsia"/>
          <w:lang w:eastAsia="zh-CN"/>
        </w:rPr>
        <w:t>一是政府信息公开的内容不够丰富，大部分为日常动态，没有很好满足广大群众对政府信息的需求；二是更新频率和更新效率有待提高；三是宣传和引导工作还需进一步加强，政府信息公开的形式还有待进一步创新。</w:t>
      </w:r>
    </w:p>
    <w:p>
      <w:pPr>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eastAsia="方正仿宋_GBK"/>
          <w:color w:val="000000" w:themeColor="text1"/>
          <w:szCs w:val="32"/>
          <w:lang w:eastAsia="zh-CN"/>
          <w14:textFill>
            <w14:solidFill>
              <w14:schemeClr w14:val="tx1"/>
            </w14:solidFill>
          </w14:textFill>
        </w:rPr>
      </w:pPr>
      <w:r>
        <w:rPr>
          <w:rFonts w:hint="default" w:ascii="Times New Roman" w:hAnsi="Times New Roman" w:cs="Times New Roman"/>
          <w:sz w:val="32"/>
          <w:szCs w:val="32"/>
          <w:lang w:val="en-US" w:eastAsia="zh-CN"/>
        </w:rPr>
        <w:t>202</w:t>
      </w:r>
      <w:r>
        <w:rPr>
          <w:rFonts w:hint="eastAsia" w:cs="Times New Roman"/>
          <w:sz w:val="32"/>
          <w:szCs w:val="32"/>
          <w:lang w:val="en-US" w:eastAsia="zh-CN"/>
        </w:rPr>
        <w:t>5</w:t>
      </w:r>
      <w:bookmarkStart w:id="0" w:name="_GoBack"/>
      <w:bookmarkEnd w:id="0"/>
      <w:r>
        <w:rPr>
          <w:rFonts w:hint="default" w:ascii="Times New Roman" w:hAnsi="Times New Roman" w:eastAsia="方正仿宋_GBK" w:cs="Times New Roman"/>
          <w:sz w:val="32"/>
          <w:szCs w:val="32"/>
        </w:rPr>
        <w:t>年</w:t>
      </w:r>
      <w:r>
        <w:rPr>
          <w:rFonts w:hint="eastAsia" w:ascii="方正仿宋_GBK" w:hAnsi="方正仿宋_GBK" w:eastAsia="方正仿宋_GBK" w:cs="方正仿宋_GBK"/>
          <w:sz w:val="32"/>
          <w:szCs w:val="32"/>
        </w:rPr>
        <w:t>，我镇将重点抓好以下三个方面工作：</w:t>
      </w:r>
      <w:r>
        <w:rPr>
          <w:rFonts w:hint="eastAsia" w:ascii="方正仿宋_GBK" w:hAnsi="方正仿宋_GBK" w:cs="方正仿宋_GBK"/>
          <w:sz w:val="32"/>
          <w:szCs w:val="32"/>
          <w:lang w:eastAsia="zh-CN"/>
        </w:rPr>
        <w:t>一</w:t>
      </w:r>
      <w:r>
        <w:rPr>
          <w:rFonts w:ascii="Times New Roman" w:hAnsi="Times New Roman" w:eastAsia="方正仿宋_GBK"/>
          <w:color w:val="000000"/>
          <w:sz w:val="32"/>
          <w:szCs w:val="32"/>
        </w:rPr>
        <w:t>是逐步扩大政府信息公开的覆盖面，做好重大公共政策决策等信息的公开工作；</w:t>
      </w:r>
      <w:r>
        <w:rPr>
          <w:rFonts w:hint="eastAsia"/>
          <w:color w:val="000000"/>
          <w:sz w:val="32"/>
          <w:szCs w:val="32"/>
          <w:lang w:eastAsia="zh-CN"/>
        </w:rPr>
        <w:t>二</w:t>
      </w:r>
      <w:r>
        <w:rPr>
          <w:rFonts w:ascii="Times New Roman" w:hAnsi="Times New Roman" w:eastAsia="方正仿宋_GBK"/>
          <w:color w:val="000000"/>
          <w:sz w:val="32"/>
          <w:szCs w:val="32"/>
        </w:rPr>
        <w:t>是</w:t>
      </w:r>
      <w:r>
        <w:rPr>
          <w:rFonts w:hint="eastAsia"/>
          <w:color w:val="000000"/>
          <w:sz w:val="32"/>
          <w:szCs w:val="32"/>
          <w:lang w:eastAsia="zh-CN"/>
        </w:rPr>
        <w:t>对照内容更新时限要求提高更新频率，“快写快发”，确保政务信息的时效性；三是强化队伍建设，加强业务培训，提升政府信息公开的吸引力、感染力，营造良好氛围，提升政务公开质效。</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方正黑体_GBK" w:hAnsi="方正黑体_GBK" w:eastAsia="方正黑体_GBK" w:cs="方正黑体_GBK"/>
          <w:color w:val="000000" w:themeColor="text1"/>
          <w:szCs w:val="32"/>
          <w14:textFill>
            <w14:solidFill>
              <w14:schemeClr w14:val="tx1"/>
            </w14:solidFill>
          </w14:textFill>
        </w:rPr>
      </w:pPr>
      <w:r>
        <w:rPr>
          <w:rFonts w:hint="eastAsia" w:ascii="方正黑体_GBK" w:hAnsi="方正黑体_GBK" w:eastAsia="方正黑体_GBK" w:cs="方正黑体_GBK"/>
          <w:color w:val="000000" w:themeColor="text1"/>
          <w:szCs w:val="32"/>
          <w14:textFill>
            <w14:solidFill>
              <w14:schemeClr w14:val="tx1"/>
            </w14:solidFill>
          </w14:textFill>
        </w:rPr>
        <w:t>六、其他需要报告的事项</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color w:val="000000" w:themeColor="text1"/>
          <w:szCs w:val="32"/>
          <w14:textFill>
            <w14:solidFill>
              <w14:schemeClr w14:val="tx1"/>
            </w14:solidFill>
          </w14:textFill>
        </w:rPr>
      </w:pPr>
      <w:r>
        <w:rPr>
          <w:rFonts w:hint="eastAsia" w:ascii="Times New Roman" w:hAnsi="Times New Roman" w:eastAsia="方正仿宋_GBK" w:cs="Times New Roman"/>
          <w:color w:val="000000"/>
          <w:kern w:val="2"/>
          <w:sz w:val="32"/>
          <w:szCs w:val="32"/>
          <w:lang w:val="en-US" w:eastAsia="zh-CN" w:bidi="ar-SA"/>
        </w:rPr>
        <w:t>暂无其他需要报告的事项</w:t>
      </w:r>
      <w:r>
        <w:rPr>
          <w:rFonts w:hint="eastAsia" w:cs="Times New Roman"/>
          <w:color w:val="000000"/>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94" w:lineRule="exact"/>
        <w:textAlignment w:val="auto"/>
      </w:pPr>
    </w:p>
    <w:p/>
    <w:sectPr>
      <w:footerReference r:id="rId3" w:type="default"/>
      <w:pgSz w:w="11906" w:h="16838"/>
      <w:pgMar w:top="2041"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95658"/>
    <w:rsid w:val="035A6C9E"/>
    <w:rsid w:val="050E13F2"/>
    <w:rsid w:val="05B37547"/>
    <w:rsid w:val="06CD7195"/>
    <w:rsid w:val="0A524AA0"/>
    <w:rsid w:val="0BD27CE3"/>
    <w:rsid w:val="19133BBD"/>
    <w:rsid w:val="1CE97C05"/>
    <w:rsid w:val="1DE93238"/>
    <w:rsid w:val="1DFFD38C"/>
    <w:rsid w:val="22561335"/>
    <w:rsid w:val="25A31C20"/>
    <w:rsid w:val="28CA7F55"/>
    <w:rsid w:val="2A9F30AF"/>
    <w:rsid w:val="2BD42FD1"/>
    <w:rsid w:val="2C202190"/>
    <w:rsid w:val="2DBB20B3"/>
    <w:rsid w:val="31031D5C"/>
    <w:rsid w:val="311E70C1"/>
    <w:rsid w:val="333A6CA3"/>
    <w:rsid w:val="3AEF28BA"/>
    <w:rsid w:val="3D395658"/>
    <w:rsid w:val="419362E5"/>
    <w:rsid w:val="41B9560D"/>
    <w:rsid w:val="41F53E60"/>
    <w:rsid w:val="47687330"/>
    <w:rsid w:val="48212F88"/>
    <w:rsid w:val="52A5093C"/>
    <w:rsid w:val="541B3D42"/>
    <w:rsid w:val="541D67C0"/>
    <w:rsid w:val="5457246F"/>
    <w:rsid w:val="591B252A"/>
    <w:rsid w:val="5A49ADD5"/>
    <w:rsid w:val="5BE90093"/>
    <w:rsid w:val="5F6F6A9F"/>
    <w:rsid w:val="6B61012B"/>
    <w:rsid w:val="713B2FB7"/>
    <w:rsid w:val="73B047FC"/>
    <w:rsid w:val="789F3790"/>
    <w:rsid w:val="79441C9E"/>
    <w:rsid w:val="7F5C1FAA"/>
    <w:rsid w:val="CFD6312A"/>
    <w:rsid w:val="EFDE2F62"/>
    <w:rsid w:val="FDFDA1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106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2024-01-15T15:17:00Z</dcterms:created>
  <dc:creator>NTKO</dc:creator>
  <cp:lastModifiedBy>NTKO</cp:lastModifiedBy>
  <dcterms:modified xsi:type="dcterms:W3CDTF">2025-02-17T08:47:47Z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588CF28A5043489E9BCCD6B6B215BBDC</vt:lpwstr>
  </property>
</Properties>
</file>