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3A" w:rsidRDefault="00FE7918">
      <w:pPr>
        <w:spacing w:line="600" w:lineRule="exact"/>
        <w:jc w:val="center"/>
        <w:rPr>
          <w:color w:val="000000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重庆市大渡口区住房和城乡建设委员会2022年政府信息公开工作年度报告</w:t>
      </w:r>
    </w:p>
    <w:p w:rsidR="0095213A" w:rsidRDefault="0095213A">
      <w:pPr>
        <w:spacing w:line="600" w:lineRule="exact"/>
        <w:ind w:firstLineChars="200" w:firstLine="640"/>
        <w:rPr>
          <w:color w:val="000000" w:themeColor="text1"/>
          <w:szCs w:val="32"/>
        </w:rPr>
      </w:pPr>
    </w:p>
    <w:p w:rsidR="0095213A" w:rsidRDefault="00FE7918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color w:val="000000" w:themeColor="text1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Cs w:val="32"/>
        </w:rPr>
        <w:t>一、总体情况</w:t>
      </w:r>
    </w:p>
    <w:p w:rsidR="0095213A" w:rsidRDefault="00FE7918">
      <w:pPr>
        <w:pStyle w:val="a3"/>
        <w:widowControl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2022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年，大渡口区住房城乡建委认真贯彻落实《中华人民共和国政府信息公开条例》，多载体多方位积极主动公开，及时办理依申请公开，有效保障了公民的知情权。</w:t>
      </w:r>
    </w:p>
    <w:p w:rsidR="00D14D23" w:rsidRDefault="00D14D23" w:rsidP="00D14D23">
      <w:pPr>
        <w:pStyle w:val="a3"/>
        <w:widowControl/>
        <w:ind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BF50A1">
        <w:rPr>
          <w:rFonts w:ascii="方正楷体_GBK" w:eastAsia="方正楷体_GBK" w:hAnsi="Times New Roman" w:hint="eastAsia"/>
          <w:color w:val="000000"/>
          <w:kern w:val="2"/>
          <w:sz w:val="32"/>
          <w:szCs w:val="32"/>
        </w:rPr>
        <w:t>（一）</w:t>
      </w:r>
      <w:r w:rsidR="00FE7918" w:rsidRPr="00BF50A1">
        <w:rPr>
          <w:rFonts w:ascii="方正楷体_GBK" w:eastAsia="方正楷体_GBK" w:hAnsi="Times New Roman" w:hint="eastAsia"/>
          <w:color w:val="000000"/>
          <w:kern w:val="2"/>
          <w:sz w:val="32"/>
          <w:szCs w:val="32"/>
        </w:rPr>
        <w:t>主动公开情况。</w:t>
      </w:r>
      <w:r w:rsidR="007E6D76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我委高度重视信息公开工作</w:t>
      </w:r>
      <w:r w:rsidR="00A87B7D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，将信息公开列入</w:t>
      </w:r>
      <w:r w:rsidR="007E6D76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目标考核内容之一，切实加强组织领导，通过加大主动公开信息量、不断扩大公开范围等方式，扎实推进政府信息公开工作。</w:t>
      </w:r>
      <w:r w:rsidR="00FE7918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坚持以公开为常态，不公开为例外的原则，做到“应公开、尽公开”。</w:t>
      </w:r>
      <w:r w:rsidR="00FE7918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2022</w:t>
      </w:r>
      <w:r w:rsidR="00FE7918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年，我委公开政务信息总数</w:t>
      </w:r>
      <w:r w:rsidR="00FE7918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5</w:t>
      </w:r>
      <w:r w:rsidR="007E6D76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62</w:t>
      </w:r>
      <w:r w:rsidR="007E6D76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条</w:t>
      </w:r>
      <w:r w:rsidR="00FE7918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。</w:t>
      </w:r>
    </w:p>
    <w:p w:rsidR="0095213A" w:rsidRDefault="00D14D23" w:rsidP="00D14D23">
      <w:pPr>
        <w:pStyle w:val="a3"/>
        <w:widowControl/>
        <w:ind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BF50A1">
        <w:rPr>
          <w:rFonts w:ascii="方正楷体_GBK" w:eastAsia="方正楷体_GBK" w:hAnsi="Times New Roman" w:hint="eastAsia"/>
          <w:color w:val="000000"/>
          <w:kern w:val="2"/>
          <w:sz w:val="32"/>
          <w:szCs w:val="32"/>
        </w:rPr>
        <w:t>（二）依申请公开情况。</w:t>
      </w:r>
      <w:r w:rsidR="00A87B7D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细化和规范依</w:t>
      </w:r>
      <w:bookmarkStart w:id="0" w:name="_GoBack"/>
      <w:bookmarkEnd w:id="0"/>
      <w:r w:rsidR="00A87B7D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申请公开的受理、审查、处理、答复等，健全完善依申请公开渠道，严格规范办理了流程，由办公室统一受理，分送各责任科室处理答复。</w:t>
      </w:r>
      <w:r w:rsidR="00A87B7D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2022</w:t>
      </w:r>
      <w:r w:rsidR="00A87B7D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年，我委</w:t>
      </w:r>
      <w:r w:rsidR="007E6D76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依申请公开信息数</w:t>
      </w:r>
      <w:r w:rsidR="007E6D76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28</w:t>
      </w:r>
      <w:r w:rsidR="007E6D76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条</w:t>
      </w:r>
      <w:r w:rsidR="000A7964"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。</w:t>
      </w:r>
    </w:p>
    <w:p w:rsidR="0095213A" w:rsidRDefault="00FE7918">
      <w:pPr>
        <w:pStyle w:val="a3"/>
        <w:widowControl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BF50A1">
        <w:rPr>
          <w:rFonts w:ascii="方正楷体_GBK" w:eastAsia="方正楷体_GBK" w:hAnsi="Times New Roman" w:hint="eastAsia"/>
          <w:color w:val="000000"/>
          <w:kern w:val="2"/>
          <w:sz w:val="32"/>
          <w:szCs w:val="32"/>
        </w:rPr>
        <w:t>（</w:t>
      </w:r>
      <w:r w:rsidR="00D14D23" w:rsidRPr="00BF50A1">
        <w:rPr>
          <w:rFonts w:ascii="方正楷体_GBK" w:eastAsia="方正楷体_GBK" w:hAnsi="Times New Roman" w:hint="eastAsia"/>
          <w:color w:val="000000"/>
          <w:kern w:val="2"/>
          <w:sz w:val="32"/>
          <w:szCs w:val="32"/>
        </w:rPr>
        <w:t>三</w:t>
      </w:r>
      <w:r w:rsidRPr="00BF50A1">
        <w:rPr>
          <w:rFonts w:ascii="方正楷体_GBK" w:eastAsia="方正楷体_GBK" w:hAnsi="Times New Roman" w:hint="eastAsia"/>
          <w:color w:val="000000"/>
          <w:kern w:val="2"/>
          <w:sz w:val="32"/>
          <w:szCs w:val="32"/>
        </w:rPr>
        <w:t>）政府信息管理情况。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健全信息发布审批监管，进一步规范信息发布处理流程，严格执行“三审三校”制度，对政务网上公开的信息进行严格审核把关，坚持由主要领导、分管领导审核签字后，再及时进行公示，确保公开内容合法、完整、准确、及时。</w:t>
      </w:r>
    </w:p>
    <w:p w:rsidR="0095213A" w:rsidRDefault="00FE7918">
      <w:pPr>
        <w:pStyle w:val="a3"/>
        <w:widowControl/>
        <w:ind w:firstLineChars="200" w:firstLine="640"/>
        <w:rPr>
          <w:rFonts w:ascii="Times New Roman" w:eastAsia="方正仿宋_GBK" w:hAnsi="Times New Roman"/>
          <w:color w:val="000000"/>
          <w:kern w:val="2"/>
          <w:sz w:val="32"/>
          <w:szCs w:val="32"/>
        </w:rPr>
      </w:pPr>
      <w:r w:rsidRPr="00BF50A1">
        <w:rPr>
          <w:rFonts w:ascii="方正楷体_GBK" w:eastAsia="方正楷体_GBK" w:hAnsi="Times New Roman" w:hint="eastAsia"/>
          <w:color w:val="000000"/>
          <w:kern w:val="2"/>
          <w:sz w:val="32"/>
          <w:szCs w:val="32"/>
        </w:rPr>
        <w:lastRenderedPageBreak/>
        <w:t>（</w:t>
      </w:r>
      <w:r w:rsidR="00D14D23" w:rsidRPr="00BF50A1">
        <w:rPr>
          <w:rFonts w:ascii="方正楷体_GBK" w:eastAsia="方正楷体_GBK" w:hAnsi="Times New Roman" w:hint="eastAsia"/>
          <w:color w:val="000000"/>
          <w:kern w:val="2"/>
          <w:sz w:val="32"/>
          <w:szCs w:val="32"/>
        </w:rPr>
        <w:t>四</w:t>
      </w:r>
      <w:r w:rsidRPr="00BF50A1">
        <w:rPr>
          <w:rFonts w:ascii="方正楷体_GBK" w:eastAsia="方正楷体_GBK" w:hAnsi="Times New Roman" w:hint="eastAsia"/>
          <w:color w:val="000000"/>
          <w:kern w:val="2"/>
          <w:sz w:val="32"/>
          <w:szCs w:val="32"/>
        </w:rPr>
        <w:t>）平台建设情况。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>强化政府门户网站作用，聚焦机构职能、履职依据、部门预决算等法定内容，及土地征收、住房保障、农房改造、城市综合执法四个领域基层政务公开，切实做好门户网站运行维护工作，进一步提升网站的权威性、全面性。</w:t>
      </w:r>
      <w:r>
        <w:rPr>
          <w:rFonts w:ascii="Times New Roman" w:eastAsia="方正仿宋_GBK" w:hAnsi="Times New Roman" w:hint="eastAsia"/>
          <w:color w:val="000000"/>
          <w:kern w:val="2"/>
          <w:sz w:val="32"/>
          <w:szCs w:val="32"/>
        </w:rPr>
        <w:t xml:space="preserve"> </w:t>
      </w:r>
    </w:p>
    <w:p w:rsidR="0095213A" w:rsidRDefault="00FE7918">
      <w:pPr>
        <w:spacing w:line="600" w:lineRule="exact"/>
        <w:ind w:firstLineChars="200" w:firstLine="640"/>
        <w:rPr>
          <w:color w:val="000000"/>
          <w:szCs w:val="32"/>
        </w:rPr>
      </w:pPr>
      <w:r w:rsidRPr="00BF50A1">
        <w:rPr>
          <w:rFonts w:ascii="方正楷体_GBK" w:eastAsia="方正楷体_GBK" w:hint="eastAsia"/>
          <w:color w:val="000000"/>
          <w:szCs w:val="32"/>
        </w:rPr>
        <w:t>（</w:t>
      </w:r>
      <w:r w:rsidR="00D14D23" w:rsidRPr="00BF50A1">
        <w:rPr>
          <w:rFonts w:ascii="方正楷体_GBK" w:eastAsia="方正楷体_GBK" w:hint="eastAsia"/>
          <w:color w:val="000000"/>
          <w:szCs w:val="32"/>
        </w:rPr>
        <w:t>五</w:t>
      </w:r>
      <w:r w:rsidRPr="00BF50A1">
        <w:rPr>
          <w:rFonts w:ascii="方正楷体_GBK" w:eastAsia="方正楷体_GBK" w:hint="eastAsia"/>
          <w:color w:val="000000"/>
          <w:szCs w:val="32"/>
        </w:rPr>
        <w:t>）监督保障情况。</w:t>
      </w:r>
      <w:r>
        <w:rPr>
          <w:rFonts w:hint="eastAsia"/>
          <w:color w:val="000000"/>
          <w:szCs w:val="32"/>
        </w:rPr>
        <w:t>严格规范信息公开制度，按照“谁制定、谁审查、谁公开、谁负责”的原则，责任直接落实到人，定期组织信息公开相关人员进行业务培训，加强信息发布质量监督和审核，及时开展信息公开自查工作，确保不出现违规、虚假的信息，进一步提升网络信息安全。</w:t>
      </w:r>
    </w:p>
    <w:p w:rsidR="0095213A" w:rsidRDefault="00FE7918" w:rsidP="00BF50A1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color w:val="000000" w:themeColor="text1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Cs w:val="32"/>
        </w:rPr>
        <w:t>二、主动公开政府信息情况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95213A">
        <w:trPr>
          <w:trHeight w:val="340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第二十条第（一）项</w:t>
            </w:r>
          </w:p>
        </w:tc>
      </w:tr>
      <w:tr w:rsidR="0095213A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现行有效件数</w:t>
            </w:r>
          </w:p>
        </w:tc>
      </w:tr>
      <w:tr w:rsidR="0095213A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 w:rsidP="00324CC8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 w:rsidP="00324CC8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 w:rsidP="00324CC8">
            <w:pPr>
              <w:widowControl/>
              <w:jc w:val="center"/>
            </w:pPr>
            <w:r>
              <w:rPr>
                <w:rFonts w:eastAsiaTheme="minorEastAsia" w:cs="Calibri"/>
                <w:kern w:val="0"/>
                <w:sz w:val="21"/>
                <w:szCs w:val="21"/>
                <w:lang w:bidi="ar"/>
              </w:rPr>
              <w:t>0</w:t>
            </w:r>
          </w:p>
        </w:tc>
      </w:tr>
      <w:tr w:rsidR="0095213A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 w:rsidP="00324CC8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 w:rsidP="00324CC8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 w:rsidP="00324CC8">
            <w:pPr>
              <w:widowControl/>
              <w:jc w:val="center"/>
            </w:pPr>
            <w:r>
              <w:rPr>
                <w:rFonts w:eastAsiaTheme="minorEastAsia" w:cs="Calibri"/>
                <w:kern w:val="0"/>
                <w:sz w:val="21"/>
                <w:szCs w:val="21"/>
                <w:lang w:bidi="ar"/>
              </w:rPr>
              <w:t>0</w:t>
            </w:r>
          </w:p>
        </w:tc>
      </w:tr>
      <w:tr w:rsidR="0095213A">
        <w:trPr>
          <w:trHeight w:val="340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第二十条第（五）项</w:t>
            </w:r>
          </w:p>
        </w:tc>
      </w:tr>
      <w:tr w:rsidR="0095213A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本年处理决定数量</w:t>
            </w:r>
          </w:p>
        </w:tc>
      </w:tr>
      <w:tr w:rsidR="0095213A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Default="00324CC8" w:rsidP="00324CC8">
            <w:pPr>
              <w:widowControl/>
              <w:jc w:val="center"/>
            </w:pPr>
            <w:r>
              <w:rPr>
                <w:rFonts w:eastAsiaTheme="minorEastAsia" w:cs="Calibri"/>
                <w:kern w:val="0"/>
                <w:sz w:val="21"/>
                <w:szCs w:val="21"/>
                <w:lang w:bidi="ar"/>
              </w:rPr>
              <w:t>339</w:t>
            </w:r>
            <w:r>
              <w:rPr>
                <w:rFonts w:eastAsiaTheme="minorEastAsia" w:cs="Calibri" w:hint="eastAsia"/>
                <w:kern w:val="0"/>
                <w:sz w:val="21"/>
                <w:szCs w:val="21"/>
                <w:lang w:bidi="ar"/>
              </w:rPr>
              <w:t>件</w:t>
            </w:r>
          </w:p>
        </w:tc>
      </w:tr>
      <w:tr w:rsidR="0095213A">
        <w:trPr>
          <w:trHeight w:val="340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第二十条第（六）项</w:t>
            </w:r>
          </w:p>
        </w:tc>
      </w:tr>
      <w:tr w:rsidR="0095213A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本年处理决定数量</w:t>
            </w:r>
          </w:p>
        </w:tc>
      </w:tr>
      <w:tr w:rsidR="0095213A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Pr="00291224" w:rsidRDefault="00FE7918">
            <w:pPr>
              <w:widowControl/>
              <w:jc w:val="left"/>
            </w:pPr>
            <w:r w:rsidRPr="00291224">
              <w:rPr>
                <w:rFonts w:eastAsia="宋体" w:cs="宋体" w:hint="eastAsia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Pr="00C35AE0" w:rsidRDefault="00FE7918" w:rsidP="00C35AE0">
            <w:pPr>
              <w:widowControl/>
              <w:jc w:val="center"/>
              <w:rPr>
                <w:rFonts w:eastAsia="宋体"/>
              </w:rPr>
            </w:pPr>
            <w:r w:rsidRPr="00C35AE0">
              <w:rPr>
                <w:rFonts w:eastAsia="宋体" w:cs="宋体" w:hint="eastAsia"/>
                <w:kern w:val="0"/>
                <w:sz w:val="20"/>
                <w:lang w:bidi="ar"/>
              </w:rPr>
              <w:t>50</w:t>
            </w:r>
            <w:r w:rsidRPr="00C35AE0">
              <w:rPr>
                <w:rFonts w:eastAsia="宋体" w:cs="宋体" w:hint="eastAsia"/>
                <w:kern w:val="0"/>
                <w:sz w:val="20"/>
                <w:lang w:bidi="ar"/>
              </w:rPr>
              <w:t>件</w:t>
            </w:r>
          </w:p>
        </w:tc>
      </w:tr>
      <w:tr w:rsidR="0095213A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Pr="00291224" w:rsidRDefault="00FE7918">
            <w:pPr>
              <w:widowControl/>
              <w:jc w:val="left"/>
            </w:pPr>
            <w:r w:rsidRPr="00291224">
              <w:rPr>
                <w:rFonts w:eastAsia="宋体" w:cs="宋体" w:hint="eastAsia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Pr="00C35AE0" w:rsidRDefault="00FE7918" w:rsidP="00C35AE0">
            <w:pPr>
              <w:widowControl/>
              <w:jc w:val="center"/>
              <w:rPr>
                <w:rFonts w:eastAsia="宋体"/>
              </w:rPr>
            </w:pPr>
            <w:r w:rsidRPr="00C35AE0">
              <w:rPr>
                <w:rFonts w:eastAsia="宋体" w:cs="宋体" w:hint="eastAsia"/>
                <w:kern w:val="0"/>
                <w:sz w:val="20"/>
                <w:lang w:bidi="ar"/>
              </w:rPr>
              <w:t>0</w:t>
            </w:r>
          </w:p>
        </w:tc>
      </w:tr>
      <w:tr w:rsidR="0095213A">
        <w:trPr>
          <w:trHeight w:val="340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第二十条第（八）项</w:t>
            </w:r>
          </w:p>
        </w:tc>
      </w:tr>
      <w:tr w:rsidR="0095213A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本年收费金额（单位：万元）</w:t>
            </w:r>
          </w:p>
        </w:tc>
      </w:tr>
      <w:tr w:rsidR="0095213A">
        <w:trPr>
          <w:trHeight w:val="340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left"/>
            </w:pPr>
            <w:r>
              <w:rPr>
                <w:rFonts w:eastAsia="宋体" w:cs="宋体" w:hint="eastAsia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95213A" w:rsidRDefault="00324CC8" w:rsidP="00324C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95213A" w:rsidRDefault="00FE7918" w:rsidP="00BF50A1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color w:val="000000" w:themeColor="text1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Cs w:val="32"/>
        </w:rPr>
        <w:t>三、收到和处理政府信息公开申请情况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 w:rsidR="0095213A">
        <w:trPr>
          <w:jc w:val="center"/>
        </w:trPr>
        <w:tc>
          <w:tcPr>
            <w:tcW w:w="5150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 w:rsidRPr="007362C2">
              <w:rPr>
                <w:rFonts w:eastAsia="宋体" w:cs="宋体"/>
                <w:color w:val="000000" w:themeColor="text1"/>
                <w:kern w:val="0"/>
                <w:sz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申请人情况</w:t>
            </w:r>
          </w:p>
        </w:tc>
      </w:tr>
      <w:tr w:rsidR="0095213A">
        <w:trPr>
          <w:jc w:val="center"/>
        </w:trPr>
        <w:tc>
          <w:tcPr>
            <w:tcW w:w="5150" w:type="dxa"/>
            <w:gridSpan w:val="3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总计</w:t>
            </w:r>
          </w:p>
        </w:tc>
      </w:tr>
      <w:tr w:rsidR="0095213A">
        <w:trPr>
          <w:jc w:val="center"/>
        </w:trPr>
        <w:tc>
          <w:tcPr>
            <w:tcW w:w="5150" w:type="dxa"/>
            <w:gridSpan w:val="3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商业</w:t>
            </w:r>
          </w:p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企业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科研</w:t>
            </w:r>
          </w:p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机构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社会公益组织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法律服务机构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其他</w:t>
            </w:r>
          </w:p>
        </w:tc>
        <w:tc>
          <w:tcPr>
            <w:tcW w:w="71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5213A">
        <w:trPr>
          <w:jc w:val="center"/>
        </w:trPr>
        <w:tc>
          <w:tcPr>
            <w:tcW w:w="515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lastRenderedPageBreak/>
              <w:t>一、本年新收政府信息公开申请数量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28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28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</w:tr>
      <w:tr w:rsidR="0095213A">
        <w:trPr>
          <w:jc w:val="center"/>
        </w:trPr>
        <w:tc>
          <w:tcPr>
            <w:tcW w:w="515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</w:tr>
      <w:tr w:rsidR="0095213A">
        <w:trPr>
          <w:jc w:val="center"/>
        </w:trPr>
        <w:tc>
          <w:tcPr>
            <w:tcW w:w="78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（一）予以公开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28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28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（二）部分公开</w:t>
            </w: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</w:rPr>
              <w:t>（</w:t>
            </w:r>
            <w:r w:rsidRPr="007362C2">
              <w:rPr>
                <w:rFonts w:eastAsia="宋体" w:cs="宋体"/>
                <w:color w:val="000000" w:themeColor="text1"/>
                <w:kern w:val="0"/>
                <w:sz w:val="20"/>
                <w:lang w:bidi="ar"/>
              </w:rPr>
              <w:t>区分处理的，只计这一情形，不计其他情形</w:t>
            </w: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</w:rPr>
              <w:t>）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（三）不予公开</w:t>
            </w: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1.</w:t>
            </w: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属于国家秘密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2.</w:t>
            </w: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其他法律行政法规禁止公开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3.</w:t>
            </w: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危及“三安全一稳定”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4.</w:t>
            </w: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保护第三方合法权益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5.</w:t>
            </w: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属于三类内部事务信息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6.</w:t>
            </w: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属于四类过程性信息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7.</w:t>
            </w: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属于行政执法案卷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8.</w:t>
            </w: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属于行政查询事项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（四）无法提供</w:t>
            </w: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1.</w:t>
            </w: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本机关不掌握相关政府信息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2.</w:t>
            </w: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没有现成信息需要另行制作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3.</w:t>
            </w: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补正后申请内容仍不明确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（五）不予处理</w:t>
            </w: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1.</w:t>
            </w: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信访举报投诉类申请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2.</w:t>
            </w: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重复申请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3.</w:t>
            </w: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要求提供公开出版物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4.</w:t>
            </w: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无正当理由大量反复申请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</w:tr>
      <w:tr w:rsidR="0095213A">
        <w:trPr>
          <w:trHeight w:val="779"/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5.</w:t>
            </w: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要求行政机关确认或重新出具已获取信息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324CC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324CC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（六）其他处理</w:t>
            </w: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1.</w:t>
            </w: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46F7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46F7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946F7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2.</w:t>
            </w: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申请人逾期未按收费通知要求缴纳费用、行政机关不再处理其政府信息公开申请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3.</w:t>
            </w: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其他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46F7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946F7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</w:tr>
      <w:tr w:rsidR="0095213A">
        <w:trPr>
          <w:jc w:val="center"/>
        </w:trPr>
        <w:tc>
          <w:tcPr>
            <w:tcW w:w="78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（七）总计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28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46F7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  <w:r w:rsidR="00FE791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28</w:t>
            </w:r>
          </w:p>
        </w:tc>
      </w:tr>
      <w:tr w:rsidR="0095213A">
        <w:trPr>
          <w:jc w:val="center"/>
        </w:trPr>
        <w:tc>
          <w:tcPr>
            <w:tcW w:w="515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四、结转下年度继续办理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46F7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946F7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 </w:t>
            </w:r>
            <w:r w:rsidR="00946F78">
              <w:rPr>
                <w:rFonts w:eastAsiaTheme="minorEastAsia" w:cs="Calibri"/>
                <w:color w:val="000000" w:themeColor="text1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</w:tcPr>
          <w:p w:rsidR="0095213A" w:rsidRDefault="00946F78" w:rsidP="00946F78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95213A" w:rsidRDefault="00FE7918" w:rsidP="00BF50A1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color w:val="000000" w:themeColor="text1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Cs w:val="32"/>
        </w:rPr>
        <w:t>四、政府信息公开行政复议、行政诉讼情况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95213A">
        <w:trPr>
          <w:jc w:val="center"/>
        </w:trPr>
        <w:tc>
          <w:tcPr>
            <w:tcW w:w="321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Default="00FE7918">
            <w:pPr>
              <w:widowControl/>
              <w:jc w:val="center"/>
              <w:rPr>
                <w:color w:val="000000" w:themeColor="text1"/>
              </w:rPr>
            </w:pPr>
            <w:r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行政诉讼</w:t>
            </w:r>
          </w:p>
        </w:tc>
      </w:tr>
      <w:tr w:rsidR="0095213A">
        <w:trPr>
          <w:jc w:val="center"/>
        </w:trPr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结果</w:t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br/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其他</w:t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br/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尚未</w:t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br/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复议后起诉</w:t>
            </w:r>
          </w:p>
        </w:tc>
      </w:tr>
      <w:tr w:rsidR="0095213A">
        <w:trPr>
          <w:jc w:val="center"/>
        </w:trPr>
        <w:tc>
          <w:tcPr>
            <w:tcW w:w="642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95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结果</w:t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br/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结果</w:t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br/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其他</w:t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br/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尚未</w:t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br/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总计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结果</w:t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br/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结果</w:t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br/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其他</w:t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br/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尚未</w:t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br/>
            </w: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宋体" w:cs="宋体" w:hint="eastAsia"/>
                <w:color w:val="000000" w:themeColor="text1"/>
                <w:kern w:val="0"/>
                <w:sz w:val="20"/>
                <w:lang w:bidi="ar"/>
              </w:rPr>
              <w:t>总计</w:t>
            </w:r>
          </w:p>
        </w:tc>
      </w:tr>
      <w:tr w:rsidR="0095213A">
        <w:trPr>
          <w:trHeight w:val="672"/>
          <w:jc w:val="center"/>
        </w:trPr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rFonts w:eastAsia="黑体"/>
                <w:color w:val="000000" w:themeColor="text1"/>
              </w:rPr>
            </w:pPr>
            <w:r w:rsidRPr="00C35AE0">
              <w:rPr>
                <w:rFonts w:eastAsia="黑体" w:cs="黑体"/>
                <w:color w:val="000000" w:themeColor="text1"/>
                <w:kern w:val="0"/>
                <w:sz w:val="20"/>
                <w:lang w:bidi="ar"/>
              </w:rPr>
              <w:t> </w:t>
            </w:r>
            <w:r w:rsidRPr="00C35AE0">
              <w:rPr>
                <w:rFonts w:eastAsia="黑体" w:cs="黑体" w:hint="eastAsia"/>
                <w:color w:val="000000" w:themeColor="text1"/>
                <w:kern w:val="0"/>
                <w:sz w:val="20"/>
                <w:lang w:bidi="ar"/>
              </w:rPr>
              <w:t>2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黑体" w:cs="黑体" w:hint="eastAsia"/>
                <w:color w:val="000000" w:themeColor="text1"/>
                <w:kern w:val="0"/>
                <w:sz w:val="20"/>
                <w:lang w:bidi="ar"/>
              </w:rPr>
              <w:t>3 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rFonts w:eastAsia="黑体"/>
                <w:color w:val="000000" w:themeColor="text1"/>
              </w:rPr>
            </w:pPr>
            <w:r w:rsidRPr="00C35AE0">
              <w:rPr>
                <w:rFonts w:eastAsia="黑体" w:cs="黑体" w:hint="eastAsia"/>
                <w:color w:val="000000" w:themeColor="text1"/>
                <w:kern w:val="0"/>
                <w:sz w:val="20"/>
                <w:lang w:bidi="ar"/>
              </w:rPr>
              <w:t> 2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黑体" w:cs="黑体" w:hint="eastAsia"/>
                <w:color w:val="000000" w:themeColor="text1"/>
                <w:kern w:val="0"/>
                <w:sz w:val="20"/>
                <w:lang w:bidi="ar"/>
              </w:rPr>
              <w:t>0 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rFonts w:eastAsia="黑体"/>
                <w:color w:val="000000" w:themeColor="text1"/>
              </w:rPr>
            </w:pPr>
            <w:r w:rsidRPr="00C35AE0">
              <w:rPr>
                <w:rFonts w:eastAsia="黑体" w:cs="黑体" w:hint="eastAsia"/>
                <w:color w:val="000000" w:themeColor="text1"/>
                <w:kern w:val="0"/>
                <w:sz w:val="20"/>
                <w:lang w:bidi="ar"/>
              </w:rPr>
              <w:t> 7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rFonts w:eastAsia="黑体"/>
                <w:color w:val="000000" w:themeColor="text1"/>
              </w:rPr>
            </w:pPr>
            <w:r w:rsidRPr="00C35AE0">
              <w:rPr>
                <w:rFonts w:eastAsia="黑体" w:cs="黑体" w:hint="eastAsia"/>
                <w:color w:val="000000" w:themeColor="text1"/>
                <w:kern w:val="0"/>
                <w:sz w:val="20"/>
                <w:lang w:bidi="ar"/>
              </w:rPr>
              <w:t> 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rFonts w:eastAsia="黑体"/>
                <w:color w:val="000000" w:themeColor="text1"/>
              </w:rPr>
            </w:pPr>
            <w:r w:rsidRPr="00C35AE0">
              <w:rPr>
                <w:rFonts w:eastAsia="黑体" w:cs="黑体" w:hint="eastAsia"/>
                <w:color w:val="000000" w:themeColor="text1"/>
                <w:kern w:val="0"/>
                <w:sz w:val="20"/>
                <w:lang w:bidi="ar"/>
              </w:rPr>
              <w:t> 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黑体" w:cs="黑体" w:hint="eastAsia"/>
                <w:color w:val="000000" w:themeColor="text1"/>
                <w:kern w:val="0"/>
                <w:sz w:val="20"/>
                <w:lang w:bidi="ar"/>
              </w:rPr>
              <w:t>0 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黑体" w:cs="黑体" w:hint="eastAsia"/>
                <w:color w:val="000000" w:themeColor="text1"/>
                <w:kern w:val="0"/>
                <w:sz w:val="20"/>
                <w:lang w:bidi="ar"/>
              </w:rPr>
              <w:t>0 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rFonts w:eastAsia="黑体"/>
                <w:color w:val="000000" w:themeColor="text1"/>
              </w:rPr>
            </w:pPr>
            <w:r w:rsidRPr="00C35AE0">
              <w:rPr>
                <w:rFonts w:eastAsia="黑体" w:cs="黑体" w:hint="eastAsia"/>
                <w:color w:val="000000" w:themeColor="text1"/>
                <w:kern w:val="0"/>
                <w:sz w:val="20"/>
                <w:lang w:bidi="ar"/>
              </w:rPr>
              <w:t> 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rFonts w:eastAsia="黑体"/>
                <w:color w:val="000000" w:themeColor="text1"/>
              </w:rPr>
            </w:pPr>
            <w:r w:rsidRPr="00C35AE0">
              <w:rPr>
                <w:rFonts w:eastAsia="黑体" w:cs="黑体" w:hint="eastAsia"/>
                <w:color w:val="000000" w:themeColor="text1"/>
                <w:kern w:val="0"/>
                <w:sz w:val="20"/>
                <w:lang w:bidi="ar"/>
              </w:rPr>
              <w:t> 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rFonts w:eastAsia="黑体"/>
                <w:color w:val="000000" w:themeColor="text1"/>
              </w:rPr>
            </w:pPr>
            <w:r w:rsidRPr="00C35AE0">
              <w:rPr>
                <w:rFonts w:eastAsia="黑体" w:cs="黑体" w:hint="eastAsia"/>
                <w:color w:val="000000" w:themeColor="text1"/>
                <w:kern w:val="0"/>
                <w:sz w:val="20"/>
                <w:lang w:bidi="ar"/>
              </w:rPr>
              <w:t> 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黑体" w:cs="黑体" w:hint="eastAsia"/>
                <w:color w:val="000000" w:themeColor="text1"/>
                <w:kern w:val="0"/>
                <w:sz w:val="20"/>
                <w:lang w:bidi="ar"/>
              </w:rPr>
              <w:t>0 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widowControl/>
              <w:jc w:val="center"/>
              <w:rPr>
                <w:color w:val="000000" w:themeColor="text1"/>
              </w:rPr>
            </w:pPr>
            <w:r w:rsidRPr="00C35AE0">
              <w:rPr>
                <w:rFonts w:eastAsia="黑体" w:cs="黑体" w:hint="eastAsia"/>
                <w:color w:val="000000" w:themeColor="text1"/>
                <w:kern w:val="0"/>
                <w:sz w:val="20"/>
                <w:lang w:bidi="ar"/>
              </w:rPr>
              <w:t>0 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5213A" w:rsidRPr="00C35AE0" w:rsidRDefault="00FE7918">
            <w:pPr>
              <w:rPr>
                <w:color w:val="000000" w:themeColor="text1"/>
                <w:sz w:val="24"/>
                <w:szCs w:val="24"/>
              </w:rPr>
            </w:pPr>
            <w:r w:rsidRPr="00C35AE0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BF50A1" w:rsidRDefault="00FE7918" w:rsidP="00BF50A1">
      <w:pPr>
        <w:spacing w:line="600" w:lineRule="exact"/>
        <w:ind w:firstLineChars="200" w:firstLine="640"/>
        <w:rPr>
          <w:color w:val="000000" w:themeColor="text1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Cs w:val="32"/>
        </w:rPr>
        <w:t>五、存在的主要问题及改进情况</w:t>
      </w:r>
    </w:p>
    <w:p w:rsidR="00C35AE0" w:rsidRPr="00BF50A1" w:rsidRDefault="00C35AE0" w:rsidP="00BF50A1">
      <w:pPr>
        <w:spacing w:line="600" w:lineRule="exact"/>
        <w:ind w:firstLineChars="200" w:firstLine="640"/>
        <w:rPr>
          <w:color w:val="000000" w:themeColor="text1"/>
          <w:szCs w:val="32"/>
        </w:rPr>
      </w:pPr>
      <w:r>
        <w:rPr>
          <w:rFonts w:hint="eastAsia"/>
          <w:color w:val="000000"/>
          <w:szCs w:val="32"/>
        </w:rPr>
        <w:t>2022</w:t>
      </w:r>
      <w:r>
        <w:rPr>
          <w:rFonts w:hint="eastAsia"/>
          <w:color w:val="000000"/>
          <w:szCs w:val="32"/>
        </w:rPr>
        <w:t>年，大渡口区住房和城乡建设委员会的信息公开工</w:t>
      </w:r>
      <w:r>
        <w:rPr>
          <w:rFonts w:hint="eastAsia"/>
          <w:color w:val="000000"/>
          <w:szCs w:val="32"/>
        </w:rPr>
        <w:lastRenderedPageBreak/>
        <w:t>作虽取得了一些进展，但仍存在一定的差距，主要是政务信息公开不够及时。大渡口区住房和城乡建设委员会认真推动政务信息公开工作，一是安排专人负责政务信息公开工作；二是加大宣传力度，及时更新并丰富公开信息内容。</w:t>
      </w:r>
    </w:p>
    <w:p w:rsidR="0095213A" w:rsidRDefault="00FE7918" w:rsidP="00BF50A1">
      <w:pPr>
        <w:spacing w:line="600" w:lineRule="exact"/>
        <w:ind w:firstLineChars="200" w:firstLine="640"/>
        <w:rPr>
          <w:rFonts w:ascii="方正黑体_GBK" w:eastAsia="方正黑体_GBK" w:hAnsi="方正黑体_GBK" w:cs="方正黑体_GBK"/>
          <w:color w:val="000000" w:themeColor="text1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Cs w:val="32"/>
        </w:rPr>
        <w:t>六、其他需要报告的事项</w:t>
      </w:r>
    </w:p>
    <w:p w:rsidR="00C35AE0" w:rsidRDefault="00C35AE0" w:rsidP="00C35AE0">
      <w:pPr>
        <w:ind w:firstLineChars="200" w:firstLine="640"/>
      </w:pPr>
      <w:r>
        <w:rPr>
          <w:rFonts w:hint="eastAsia"/>
          <w:color w:val="000000"/>
          <w:szCs w:val="32"/>
        </w:rPr>
        <w:t>2022</w:t>
      </w:r>
      <w:r>
        <w:rPr>
          <w:rFonts w:hint="eastAsia"/>
          <w:color w:val="000000"/>
          <w:szCs w:val="32"/>
        </w:rPr>
        <w:t>年度，依据《政府信息公开信息处理费管理办法》，本机关未收取信息处理费。</w:t>
      </w:r>
    </w:p>
    <w:p w:rsidR="0095213A" w:rsidRDefault="0095213A"/>
    <w:sectPr w:rsidR="00952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9004B"/>
    <w:multiLevelType w:val="hybridMultilevel"/>
    <w:tmpl w:val="250ED718"/>
    <w:lvl w:ilvl="0" w:tplc="485088DE">
      <w:start w:val="1"/>
      <w:numFmt w:val="japaneseCounting"/>
      <w:lvlText w:val="（%1）"/>
      <w:lvlJc w:val="left"/>
      <w:pPr>
        <w:ind w:left="2140" w:hanging="1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6B"/>
    <w:rsid w:val="000726B8"/>
    <w:rsid w:val="00080022"/>
    <w:rsid w:val="000A7964"/>
    <w:rsid w:val="0012776B"/>
    <w:rsid w:val="00291224"/>
    <w:rsid w:val="00324CC8"/>
    <w:rsid w:val="006F7681"/>
    <w:rsid w:val="0071301B"/>
    <w:rsid w:val="007362C2"/>
    <w:rsid w:val="007E6D76"/>
    <w:rsid w:val="008159CA"/>
    <w:rsid w:val="00946F78"/>
    <w:rsid w:val="0095213A"/>
    <w:rsid w:val="00A87B7D"/>
    <w:rsid w:val="00BF50A1"/>
    <w:rsid w:val="00C35AE0"/>
    <w:rsid w:val="00D14D23"/>
    <w:rsid w:val="00FE7918"/>
    <w:rsid w:val="099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BF50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F50A1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BF50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F50A1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9</cp:revision>
  <cp:lastPrinted>2023-01-16T03:50:00Z</cp:lastPrinted>
  <dcterms:created xsi:type="dcterms:W3CDTF">2023-01-05T09:07:00Z</dcterms:created>
  <dcterms:modified xsi:type="dcterms:W3CDTF">2023-01-29T09:50:00Z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B87539CF678C4B5394D5D3544D66CF26</vt:lpwstr>
  </property>
</Properties>
</file>