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重庆市大渡口区卫生健康委员会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年，区卫生健康委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深入贯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彻落实国务院、市政府和区政府政府信息公开工作部署要求，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结合卫生健康工作不断丰富公开内容和形式，进一步提升信息公开质量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主动公开政府信息情况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FF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</w:rPr>
        <w:t>202</w:t>
      </w:r>
      <w:r>
        <w:rPr>
          <w:rFonts w:hint="eastAsia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highlight w:val="none"/>
        </w:rPr>
        <w:t>年，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区卫生健康委根据</w:t>
      </w: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highlight w:val="none"/>
        </w:rPr>
        <w:t>《中华人民共和国政府信息公开条例》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(以下简称《条例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)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  <w:lang w:eastAsia="zh-CN"/>
        </w:rPr>
        <w:t>工作要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  <w:lang w:eastAsia="zh-CN"/>
        </w:rPr>
        <w:t>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highlight w:val="none"/>
        </w:rPr>
        <w:t>,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围绕机关职能职责、公众关心</w:t>
      </w:r>
      <w:bookmarkStart w:id="0" w:name="_GoBack"/>
      <w:bookmarkEnd w:id="0"/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的热点问题切实推进政府信息公开工作，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highlight w:val="none"/>
        </w:rPr>
        <w:t>通过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大渡口区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highlight w:val="none"/>
        </w:rPr>
        <w:t>人民政府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官网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highlight w:val="none"/>
        </w:rPr>
        <w:t>的疫情防控、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部门动态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highlight w:val="none"/>
        </w:rPr>
        <w:t>、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政策咨询问答库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highlight w:val="none"/>
        </w:rPr>
        <w:t>、财政预决算等近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highlight w:val="none"/>
        </w:rPr>
        <w:t>个栏目累计主动公开政府信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highlight w:val="none"/>
        </w:rPr>
        <w:t>息</w:t>
      </w:r>
      <w:r>
        <w:rPr>
          <w:rFonts w:hint="eastAsia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383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highlight w:val="none"/>
        </w:rPr>
        <w:t>条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highlight w:val="none"/>
        </w:rPr>
        <w:t>其中，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疫情防控信息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条，事业单位年度报告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条，政策咨询问答库</w:t>
      </w:r>
      <w:r>
        <w:rPr>
          <w:rFonts w:hint="eastAsia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条，公示公告</w:t>
      </w:r>
      <w:r>
        <w:rPr>
          <w:rFonts w:hint="eastAsia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63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条，部门动态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条，政府信息公开指南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条，政策文件</w:t>
      </w:r>
      <w:r>
        <w:rPr>
          <w:rFonts w:hint="eastAsia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条，机构职能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条，预算、决算信息</w:t>
      </w:r>
      <w:r>
        <w:rPr>
          <w:rFonts w:hint="eastAsia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条</w:t>
      </w:r>
      <w:r>
        <w:rPr>
          <w:rFonts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highlight w:val="none"/>
        </w:rPr>
        <w:t>（含下属医疗卫生机构）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，法定主动公开内容栏目下行政许可办理结果</w:t>
      </w:r>
      <w:r>
        <w:rPr>
          <w:rFonts w:hint="eastAsia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条，行政处罚办理结果</w:t>
      </w:r>
      <w:r>
        <w:rPr>
          <w:rFonts w:hint="eastAsia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66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条，监督检查</w:t>
      </w:r>
      <w:r>
        <w:rPr>
          <w:rFonts w:hint="eastAsia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条，政府信息公开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年报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条，卫生健康领域公共企事业单位信息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条，医疗卫生领域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77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条（含行政许可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61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条），计划生育服务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highlight w:val="none"/>
        </w:rPr>
        <w:t>（二）依申请公开政府信息情况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  <w:t>2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区卫生健康委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共受理政府信息公开申请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件，其中当面申请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件，网上申请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件，信函申请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i w:val="0"/>
          <w:iCs w:val="0"/>
          <w:caps w:val="0"/>
          <w:color w:val="191919"/>
          <w:spacing w:val="0"/>
          <w:sz w:val="31"/>
          <w:szCs w:val="31"/>
          <w:lang w:eastAsia="zh-CN"/>
        </w:rPr>
        <w:t>一是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191919"/>
          <w:spacing w:val="0"/>
          <w:sz w:val="31"/>
          <w:szCs w:val="31"/>
        </w:rPr>
        <w:t>区卫生健康委严格按照政府信息编辑审核发布管理机制，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191919"/>
          <w:spacing w:val="0"/>
          <w:sz w:val="31"/>
          <w:szCs w:val="31"/>
          <w:shd w:val="clear" w:fill="FFFFFF"/>
        </w:rPr>
        <w:t>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91919"/>
          <w:spacing w:val="0"/>
          <w:sz w:val="31"/>
          <w:szCs w:val="31"/>
        </w:rPr>
        <w:t>业务科室、政务公开主管科室、分管领导审批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191919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91919"/>
          <w:spacing w:val="0"/>
          <w:sz w:val="31"/>
          <w:szCs w:val="31"/>
        </w:rPr>
        <w:t>三步审核后予以公开；</w:t>
      </w:r>
      <w:r>
        <w:rPr>
          <w:rFonts w:hint="eastAsia" w:ascii="方正仿宋_GBK" w:hAnsi="方正仿宋_GBK" w:cs="方正仿宋_GBK"/>
          <w:i w:val="0"/>
          <w:iCs w:val="0"/>
          <w:caps w:val="0"/>
          <w:color w:val="191919"/>
          <w:spacing w:val="0"/>
          <w:sz w:val="31"/>
          <w:szCs w:val="31"/>
          <w:lang w:eastAsia="zh-CN"/>
        </w:rPr>
        <w:t>二是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建立健全政府信息公开制度,办公室负责政务信息对接及政务公开网站的维护和信息发布等工作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；三是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严格落实公开前保密审查，确保公开内容的完整性、规范性和权威性，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确保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涉密信息不公开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（四）信息公开平台建设情况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区卫生健康委将大渡口区人民政府官网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作为政府信息公开第一平台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，办公室作为政务公开责任科室，负责协调各业务科室的信息公开工作，并负责对信息公开平台的管理和维护。同时根据区政府办公室政务公开工作指示和工作规范，按照第三方平台实时监测结果、整改建议，第一时间开展整改工作，确保信息公开工作的准确性、权威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（五）强化监督保障情况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区卫生健康委通过平时检查，同时按照区政府办公室整改建议及时纠正错漏信息，积极主动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接受社会公众的监督，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62626"/>
          <w:spacing w:val="0"/>
          <w:sz w:val="31"/>
          <w:szCs w:val="31"/>
        </w:rPr>
        <w:t>严格落实信息发布“三审三校”制度，</w:t>
      </w:r>
      <w:r>
        <w:rPr>
          <w:rFonts w:hint="eastAsia" w:ascii="方正仿宋_GBK" w:hAnsi="方正仿宋_GBK" w:cs="方正仿宋_GBK"/>
          <w:i w:val="0"/>
          <w:caps w:val="0"/>
          <w:color w:val="262626"/>
          <w:spacing w:val="0"/>
          <w:sz w:val="31"/>
          <w:szCs w:val="31"/>
          <w:lang w:eastAsia="zh-CN"/>
        </w:rPr>
        <w:t>所有公开信息做到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62626"/>
          <w:spacing w:val="0"/>
          <w:sz w:val="31"/>
          <w:szCs w:val="31"/>
        </w:rPr>
        <w:t>先审后发，重点稿件反复核校。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本年制发件数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本年废止件数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规章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行政规范性文件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 w:eastAsiaTheme="minorEastAsia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eastAsia="楷体" w:cs="楷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03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48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5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年，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区卫生健康委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在政府信息公开工作中取得了一定成效，但依然存在差距和短板，特别是在当前数字重庆大背景下，政府信息公开工作的及时性、内容的丰富度无法满足公众的需求。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年，区卫生健康委将加大主动关切的力度，密切关注医疗卫生领域公众关注问题，做到“民呼我应”。同时，进一步规范政府信息公开工作，认真落实好国家卫生健康委关于医疗卫生机构信息公开管理的规定，积极开展系统内公共事业单位特别是医疗机构信息公开，不断提升了公众卫生健康服务体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方正黑体_GBK" w:cs="方正黑体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区卫生健康委</w:t>
      </w: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严格落实《政府信息公开条例》和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重庆市人民政府办公厅关于做好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年政府信息公开工作年度报告编制工作的通知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要求，完成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政府信息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公开各项工作。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区卫生健康委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未收取信息处理费。</w:t>
      </w:r>
    </w:p>
    <w:p/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EC5A9"/>
    <w:multiLevelType w:val="singleLevel"/>
    <w:tmpl w:val="BF6EC5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E5C875"/>
    <w:multiLevelType w:val="singleLevel"/>
    <w:tmpl w:val="18E5C87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YzU5NmZjNzczOTI3ZjBhYWZiZTAxMTViZTA0MjAifQ=="/>
  </w:docVars>
  <w:rsids>
    <w:rsidRoot w:val="5CCA6B65"/>
    <w:rsid w:val="120F5B98"/>
    <w:rsid w:val="219512B5"/>
    <w:rsid w:val="229B38BC"/>
    <w:rsid w:val="26BE1287"/>
    <w:rsid w:val="33A904D9"/>
    <w:rsid w:val="35D83DA9"/>
    <w:rsid w:val="538E6B22"/>
    <w:rsid w:val="5CCA6B65"/>
    <w:rsid w:val="5FE570CA"/>
    <w:rsid w:val="69120EE7"/>
    <w:rsid w:val="6DB2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2460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2024-01-15T06:19:00Z</dcterms:created>
  <dc:creator>zuer</dc:creator>
  <cp:lastModifiedBy>zuer</cp:lastModifiedBy>
  <cp:lastPrinted>2024-01-17T01:10:57Z</cp:lastPrinted>
  <dcterms:modified xsi:type="dcterms:W3CDTF">2024-01-18T02:35:30Z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6764BA7D002B4F3EBCBBC5343369EA2B_11</vt:lpwstr>
  </property>
</Properties>
</file>