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spacing w:line="600" w:lineRule="exact"/>
        <w:ind w:firstLine="880" w:firstLineChars="200"/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2022年政府信息公开工作年度报告</w:t>
      </w:r>
    </w:p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600" w:lineRule="exact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根据《中华人民共和国政府信息公开条例》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(以下简称《条例》)规定和区委区政府有关要求，现将区卫生健康委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年政府信息公开工作报告如下。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ascii="Helvetica" w:hAnsi="Helvetica" w:eastAsia="Helvetica" w:cs="Helvetica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仿宋_GBK" w:hAnsi="方正仿宋_GBK" w:eastAsia="方正仿宋_GBK" w:cs="方正仿宋_GBK"/>
          <w:i w:val="0"/>
          <w:caps w:val="0"/>
          <w:color w:val="FF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年，按照区委、区政府的统一部署，区卫生健康委把政府信息公开工作作为一项重要工作来抓，认真贯彻各项要求，及时、规范公开本部门政务信息，扎实推进政府信息公开工作，各项任务均按时按质按量完成。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严格按照政府信息公开规定,通过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大渡口区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人民政府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官网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的疫情防控、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部门动态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政策咨询问答库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、财政预决算等近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个栏目累计主动公开政府信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息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348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其中，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疫情防控信息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138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条，事业单位年度报告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条，政策咨询问答库</w:t>
      </w:r>
      <w:r>
        <w:rPr>
          <w:rFonts w:hint="eastAsia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条，公示公告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条，大渡口区深入学习贯彻党的二十大精神信息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条，部门动态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条，政府信息公开指南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条，行政规范性文件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条，政策文件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条，机关简介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条，预算、决算信息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</w:t>
      </w:r>
      <w:r>
        <w:rPr>
          <w:rFonts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（含下属医疗卫生机构）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，行政许可办理结果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条，行政处罚办理结果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条，监督检查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条、政府信息公开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年报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条，健康中国重庆大渡口行动信息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条，卫生健康领域公共企事业单位信息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条，服务指南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条，办事指南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条，行政检查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条，计划生育服务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年，我委共受理政府信息公开申请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件，其中当面申请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件，网上申请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件，信函申请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建立健全政府信息公开制度,办公室作为责任科室，责任到人，负责政务信息对接及政务公开网站的维护和信息发布等工作。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严格落实公开前保密审查，把握公开的力度和节奏，确保公开内容的完整性、规范性和权威性，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确保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涉密信息不公开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。三是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严格落实科室负责人初审、分管负责人复审、主要负责人终审的“三审三校”制度。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（四）信息公开平台建设情况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仿宋_GBK" w:hAnsi="方正仿宋_GBK" w:eastAsia="方正仿宋_GBK" w:cs="方正仿宋_GBK"/>
          <w:i w:val="0"/>
          <w:caps w:val="0"/>
          <w:color w:val="FF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坚持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把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大渡口区人民政府官网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作为政府信息公开第一平台,严格按要求规范发布各栏目信息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。区卫生健康委政府信息公开工作按照一把手负总责，分管领导具体负责，各科室负责人具体实施，办公室组织、协调的工作模式，加强对信息公开平台的管理和维护。同时根据区政府关于政务公开工作有关要求，结合分级审查、第三方平台实时监测结果，立即开展查漏补缺等整改工作，确保信息公开平台建设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default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（五）强化监督保障情况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4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一是积极主动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主动接受上级单位、社会公众对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卫生健康委政务信息公开情况的监督，及时主动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纠正错漏信息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严格落实信息发布“三审三校”制度，严把政治、法律、政策、保密</w:t>
      </w:r>
      <w:r>
        <w:rPr>
          <w:rFonts w:hint="eastAsia" w:ascii="方正仿宋_GBK" w:hAnsi="方正仿宋_GBK" w:cs="方正仿宋_GBK"/>
          <w:i w:val="0"/>
          <w:caps w:val="0"/>
          <w:color w:val="262626"/>
          <w:spacing w:val="0"/>
          <w:sz w:val="31"/>
          <w:szCs w:val="31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文字关，</w:t>
      </w:r>
      <w:r>
        <w:rPr>
          <w:rFonts w:hint="eastAsia" w:ascii="方正仿宋_GBK" w:hAnsi="方正仿宋_GBK" w:cs="方正仿宋_GBK"/>
          <w:i w:val="0"/>
          <w:caps w:val="0"/>
          <w:color w:val="262626"/>
          <w:spacing w:val="0"/>
          <w:sz w:val="31"/>
          <w:szCs w:val="31"/>
          <w:lang w:eastAsia="zh-CN"/>
        </w:rPr>
        <w:t>公开信息做到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262626"/>
          <w:spacing w:val="0"/>
          <w:sz w:val="31"/>
          <w:szCs w:val="31"/>
        </w:rPr>
        <w:t>先审后发，重点稿件反复核校。</w:t>
      </w:r>
    </w:p>
    <w:p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　　</w:t>
            </w: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 　</w:t>
            </w: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 w:eastAsiaTheme="minorEastAsia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　　</w:t>
            </w: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 　</w:t>
            </w: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 w:eastAsiaTheme="minorEastAsia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  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60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认真做好政务公开工作，取得一定进步，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同时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也存在一些问题。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一</w:t>
      </w:r>
      <w:r>
        <w:rPr>
          <w:rStyle w:val="5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政务信息公开工作人员由办公室人员兼任，对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政府信息公开工作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的相关政策存在领会不深、业务不精现象，业务能力需进一步加强。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是公开的时效性还需加强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区卫生健康委将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加大培训力度，多方抽调人员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造就一支具有现代公共管理知识和理念的政务公开队伍。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同时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完善卫生健康领域政府信息公开目录,按要求及时、准确、规范发布政府信息,不断提高政府信息公开工作水平,力促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政府信息公开工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作向更广领域、更大范围、更高层次推进。</w:t>
      </w:r>
    </w:p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40" w:firstLineChars="200"/>
        <w:jc w:val="left"/>
        <w:rPr>
          <w:rFonts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严格落实《政府信息公开条例》和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《重庆市大渡口区人民政府办公室关于印发大渡口区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年政务公开工作要点任务分工的通知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》（大渡口府办发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﹝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﹞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45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要求，完成政务公开各项工作。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区卫生健康委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未收取信息处理费。</w:t>
      </w:r>
    </w:p>
    <w:p>
      <w:pPr>
        <w:widowControl/>
        <w:jc w:val="left"/>
        <w:rPr>
          <w:rFonts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3761B"/>
    <w:rsid w:val="0303761B"/>
    <w:rsid w:val="0888440C"/>
    <w:rsid w:val="146A4599"/>
    <w:rsid w:val="360F0A02"/>
    <w:rsid w:val="4A016FBC"/>
    <w:rsid w:val="5169585A"/>
    <w:rsid w:val="59BB3139"/>
    <w:rsid w:val="637C025C"/>
    <w:rsid w:val="63906DF9"/>
    <w:rsid w:val="64D65B2C"/>
    <w:rsid w:val="71BE38A2"/>
    <w:rsid w:val="77D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2023-01-09T01:13:00Z</dcterms:created>
  <dc:creator>zuer</dc:creator>
  <cp:lastModifiedBy>zuer</cp:lastModifiedBy>
  <cp:lastPrinted>2023-01-13T01:17:22Z</cp:lastPrinted>
  <dcterms:modified xsi:type="dcterms:W3CDTF">2023-01-13T01:43:12Z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