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2836AB0A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大渡口容国俊口腔诊所</w:t>
      </w:r>
    </w:p>
    <w:p w14:paraId="7904F81F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szCs w:val="24"/>
          <w:u w:val="single"/>
          <w:lang w:val="en-US" w:eastAsia="zh-CN"/>
        </w:rPr>
        <w:t>2026年6月11日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口腔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42B45F82">
      <w:pPr>
        <w:widowControl/>
        <w:spacing w:line="560" w:lineRule="exact"/>
        <w:ind w:left="1399" w:leftChars="266" w:hanging="840" w:hangingChars="3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重庆市大渡口区春晖路街道春晖路81号81-17号</w:t>
      </w:r>
    </w:p>
    <w:p w14:paraId="0A91B477">
      <w:pPr>
        <w:widowControl/>
        <w:spacing w:line="560" w:lineRule="exact"/>
        <w:ind w:left="1399" w:leftChars="266" w:hanging="840" w:hangingChars="3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口腔科</w:t>
      </w:r>
      <w:bookmarkStart w:id="0" w:name="_GoBack"/>
      <w:bookmarkEnd w:id="0"/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容国俊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3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D13E2D"/>
    <w:rsid w:val="14732F9B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41872"/>
    <w:rsid w:val="269A0EC2"/>
    <w:rsid w:val="273B1D8C"/>
    <w:rsid w:val="281E6B2B"/>
    <w:rsid w:val="28CB2936"/>
    <w:rsid w:val="29F044DF"/>
    <w:rsid w:val="2A82022B"/>
    <w:rsid w:val="2AD162B8"/>
    <w:rsid w:val="2C516F34"/>
    <w:rsid w:val="2E722B5D"/>
    <w:rsid w:val="2E932876"/>
    <w:rsid w:val="307F3AAA"/>
    <w:rsid w:val="348207CC"/>
    <w:rsid w:val="357B0C0F"/>
    <w:rsid w:val="382B77F4"/>
    <w:rsid w:val="38546A0E"/>
    <w:rsid w:val="391A1B18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A355599"/>
    <w:rsid w:val="4BB45D86"/>
    <w:rsid w:val="4C585A39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5DC24227"/>
    <w:rsid w:val="5E5025C9"/>
    <w:rsid w:val="61D114FD"/>
    <w:rsid w:val="61EA157C"/>
    <w:rsid w:val="62FF27C3"/>
    <w:rsid w:val="637013A0"/>
    <w:rsid w:val="63B87796"/>
    <w:rsid w:val="64FF7871"/>
    <w:rsid w:val="6577691A"/>
    <w:rsid w:val="65C626D6"/>
    <w:rsid w:val="65E174B2"/>
    <w:rsid w:val="668E76E4"/>
    <w:rsid w:val="67E977B2"/>
    <w:rsid w:val="682348BA"/>
    <w:rsid w:val="697624FF"/>
    <w:rsid w:val="6AF71568"/>
    <w:rsid w:val="6DB477EA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  <w:rsid w:val="7F2C0419"/>
    <w:rsid w:val="7FD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263</Words>
  <Characters>280</Characters>
  <Lines>4</Lines>
  <Paragraphs>1</Paragraphs>
  <TotalTime>3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2026-06-17T07:11:47Z</cp:lastPrinted>
  <dcterms:modified xsi:type="dcterms:W3CDTF">2026-06-17T07:12:07Z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B0F101C702D94A0EA1DE07415752FC9F_13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