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附件2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殡葬服务机构收费网络集中公示</w:t>
      </w:r>
    </w:p>
    <w:p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收费单位：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金龙山公墓</w:t>
      </w:r>
    </w:p>
    <w:p>
      <w:pPr>
        <w:jc w:val="lef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ind w:left="0" w:leftChars="0" w:right="0" w:rightChars="0" w:firstLine="0" w:firstLineChars="0"/>
        <w:jc w:val="both"/>
        <w:textAlignment w:val="baseline"/>
        <w:outlineLvl w:val="9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tbl>
      <w:tblPr>
        <w:tblStyle w:val="5"/>
        <w:tblW w:w="169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4"/>
        <w:gridCol w:w="1370"/>
        <w:gridCol w:w="1529"/>
        <w:gridCol w:w="1359"/>
        <w:gridCol w:w="1569"/>
        <w:gridCol w:w="1599"/>
        <w:gridCol w:w="1739"/>
        <w:gridCol w:w="2828"/>
        <w:gridCol w:w="1669"/>
        <w:gridCol w:w="1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16990" w:type="dxa"/>
            <w:gridSpan w:val="10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公墓收费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524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墓穴类型</w:t>
            </w:r>
          </w:p>
        </w:tc>
        <w:tc>
          <w:tcPr>
            <w:tcW w:w="1370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墓区位置</w:t>
            </w:r>
          </w:p>
        </w:tc>
        <w:tc>
          <w:tcPr>
            <w:tcW w:w="152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收费标准</w:t>
            </w:r>
          </w:p>
        </w:tc>
        <w:tc>
          <w:tcPr>
            <w:tcW w:w="135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计费单位</w:t>
            </w:r>
          </w:p>
        </w:tc>
        <w:tc>
          <w:tcPr>
            <w:tcW w:w="156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收费管理 形式</w:t>
            </w:r>
          </w:p>
        </w:tc>
        <w:tc>
          <w:tcPr>
            <w:tcW w:w="159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收费依据</w:t>
            </w:r>
          </w:p>
        </w:tc>
        <w:tc>
          <w:tcPr>
            <w:tcW w:w="173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护墓管理费</w:t>
            </w:r>
          </w:p>
        </w:tc>
        <w:tc>
          <w:tcPr>
            <w:tcW w:w="2828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墓穴详情</w:t>
            </w:r>
          </w:p>
        </w:tc>
        <w:tc>
          <w:tcPr>
            <w:tcW w:w="1669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减免政策</w:t>
            </w:r>
          </w:p>
        </w:tc>
        <w:tc>
          <w:tcPr>
            <w:tcW w:w="1804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备注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(可附照片)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6" w:hRule="atLeast"/>
        </w:trPr>
        <w:tc>
          <w:tcPr>
            <w:tcW w:w="152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壁墓</w:t>
            </w:r>
          </w:p>
        </w:tc>
        <w:tc>
          <w:tcPr>
            <w:tcW w:w="137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一区27台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二附27台</w:t>
            </w:r>
          </w:p>
          <w:p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二区28台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5000元</w:t>
            </w:r>
          </w:p>
        </w:tc>
        <w:tc>
          <w:tcPr>
            <w:tcW w:w="135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4100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元/个</w:t>
            </w:r>
          </w:p>
        </w:tc>
        <w:tc>
          <w:tcPr>
            <w:tcW w:w="156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政府指导价(具体内容以文件规定为准)</w:t>
            </w:r>
          </w:p>
        </w:tc>
        <w:tc>
          <w:tcPr>
            <w:tcW w:w="159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渡发改发〔2013〕219号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>
            <w:pPr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45/年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墓穴占地面积  0.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平方米；墓体主  材为花岗岩材料，含墓穴、墓碑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  <w:t>(具体内容 以当地减免 政策规定 为准)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</w:rPr>
            </w:pP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说明：1.殡葬服务机构要本着“应报尽报”的原则，按照本公示参考样式，全面完整填报并公示本单位提供的“基本殡葬服务收费”“非基 本殡葬服务收费”“殡葬用品价格”“公墓收费”“殡葬服务套餐价格”等所有服务项目、收费标准、服务内容、服务标准、收费依据和销售的殡葬用品价格、计价单位、产地、等级、材质等情况，不得以其他任何理由在公示之外加收费用；</w:t>
      </w:r>
    </w:p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2. 殡仪馆、公墓、骨灰堂外包服务商或租用殡仪馆、公墓、骨灰堂场所的第三方机构提供殡葬服务和寄售殡葬用品，视同殡仪馆、公墓、骨灰堂经营行为，按照“应报尽报”的原则一并公示，不得以其他任何理由在公示之外加收费用；</w:t>
      </w:r>
    </w:p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3. 本公示参考样式可根据实际情况作相应修改；推出服务销售套餐的，要完整公示每一套餐服务销售各要素的详细情况。</w:t>
      </w:r>
    </w:p>
    <w:p>
      <w:pPr>
        <w:spacing w:before="182" w:line="736" w:lineRule="exact"/>
        <w:rPr>
          <w:rFonts w:ascii="宋体" w:hAnsi="宋体" w:eastAsia="宋体" w:cs="宋体"/>
          <w:sz w:val="56"/>
          <w:szCs w:val="56"/>
        </w:rPr>
      </w:pPr>
    </w:p>
    <w:sectPr>
      <w:footerReference r:id="rId3" w:type="default"/>
      <w:pgSz w:w="22403" w:h="31680"/>
      <w:pgMar w:top="2692" w:right="3184" w:bottom="400" w:left="2303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C936997"/>
    <w:rsid w:val="561C7FFD"/>
    <w:rsid w:val="56792592"/>
    <w:rsid w:val="681F0E32"/>
    <w:rsid w:val="75B83562"/>
    <w:rsid w:val="760B4F95"/>
    <w:rsid w:val="76BB28DB"/>
    <w:rsid w:val="781F4C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499</Words>
  <Characters>521</Characters>
  <TotalTime>7</TotalTime>
  <ScaleCrop>false</ScaleCrop>
  <LinksUpToDate>false</LinksUpToDate>
  <CharactersWithSpaces>532</CharactersWithSpaces>
  <Application>WPS Office_11.1.0.9021_F1E327BC-269C-435d-A152-05C5408002CA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2025-09-01T11:11:00Z</dcterms:created>
  <dc:creator>hp</dc:creator>
  <cp:lastModifiedBy>Administrator</cp:lastModifiedBy>
  <dcterms:modified xsi:type="dcterms:W3CDTF">2025-11-28T10:35:38Z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2025-09-01T11:11:44Z</vt:filetime>
  </property>
  <property fmtid="{D5CDD505-2E9C-101B-9397-08002B2CF9AE}" pid="4" name="UsrData">
    <vt:lpwstr>68b50ee1918830001fddea7awl</vt:lpwstr>
  </property>
  <property fmtid="{D5CDD505-2E9C-101B-9397-08002B2CF9AE}" pid="5" name="KSOProductBuildVer">
    <vt:lpwstr>2052-11.1.0.9021</vt:lpwstr>
  </property>
  <property fmtid="{D5CDD505-2E9C-101B-9397-08002B2CF9AE}" pid="6" name="KSOTemplateDocerSaveRecord">
    <vt:lpwstr>eyJoZGlkIjoiMTE3MmY1MWE4ZmIwM2FkODIwODBlZjIwNjNiMjliZWYiLCJ1c2VySWQiOiI5MTc2NTg1NDcifQ==</vt:lpwstr>
  </property>
  <property fmtid="{D5CDD505-2E9C-101B-9397-08002B2CF9AE}" pid="7" name="ICV">
    <vt:lpwstr>DACACEAF1CA54B16908F31C535C56281_13</vt:lpwstr>
  </property>
</Properties>
</file>