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0" w:firstLineChars="0"/>
        <w:jc w:val="both"/>
        <w:rPr>
          <w:rFonts w:eastAsia="方正小标宋_GBK"/>
          <w:color w:val="auto"/>
          <w:sz w:val="44"/>
          <w:szCs w:val="44"/>
        </w:rPr>
      </w:pPr>
      <w:r>
        <w:rPr>
          <w:rFonts w:ascii="宋体" w:hAnsi="宋体" w:eastAsia="宋体" w:cs="宋体"/>
          <w:color w:val="auto"/>
          <w:kern w:val="0"/>
          <w:sz w:val="24"/>
          <w:szCs w:val="24"/>
        </w:rPr>
        <mc:AlternateContent>
          <mc:Choice Requires="wps">
            <w:drawing>
              <wp:anchor distT="45720" distB="45720" distL="114300" distR="114300" simplePos="0" relativeHeight="251659264" behindDoc="0" locked="0" layoutInCell="1" allowOverlap="1">
                <wp:simplePos x="0" y="0"/>
                <wp:positionH relativeFrom="column">
                  <wp:posOffset>4845050</wp:posOffset>
                </wp:positionH>
                <wp:positionV relativeFrom="paragraph">
                  <wp:posOffset>81915</wp:posOffset>
                </wp:positionV>
                <wp:extent cx="1005840" cy="222885"/>
                <wp:effectExtent l="0" t="0" r="3810"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5840" cy="222885"/>
                        </a:xfrm>
                        <a:prstGeom prst="rect">
                          <a:avLst/>
                        </a:prstGeom>
                        <a:solidFill>
                          <a:srgbClr val="FFFFFF"/>
                        </a:solidFill>
                        <a:ln>
                          <a:noFill/>
                        </a:ln>
                      </wps:spPr>
                      <wps:txbx>
                        <w:txbxContent>
                          <w:p>
                            <w:pPr>
                              <w:ind w:firstLine="420"/>
                              <w:rPr>
                                <w:rFonts w:asciiTheme="minorHAnsi" w:eastAsiaTheme="minorEastAsia"/>
                                <w:sz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1.5pt;margin-top:6.45pt;height:17.55pt;width:79.2pt;z-index:251659264;mso-width-relative:page;mso-height-relative:page;" fillcolor="#FFFFFF" filled="t" stroked="f" coordsize="21600,21600" o:gfxdata="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T+pD9cAAAAJAQAADwAAAAAAAAABACAAAAAiAAAAZHJzL2Rvd25yZXYueG1sUEsBAhQAFAAA&#10;AAgAh07iQPL5KrEpAgAAPgQAAA4AAAAAAAAAAQAgAAAAJgEAAGRycy9lMm9Eb2MueG1sUEsFBgAA&#10;AAAGAAYAWQEAAMEFAAAAAA==&#10;">
                <v:fill on="t" focussize="0,0"/>
                <v:stroke on="f"/>
                <v:imagedata o:title=""/>
                <o:lock v:ext="edit" aspectratio="f"/>
                <v:textbox>
                  <w:txbxContent>
                    <w:p>
                      <w:pPr>
                        <w:ind w:firstLine="420"/>
                        <w:rPr>
                          <w:rFonts w:asciiTheme="minorHAnsi" w:eastAsiaTheme="minorEastAsia"/>
                          <w:sz w:val="21"/>
                        </w:rPr>
                      </w:pPr>
                    </w:p>
                  </w:txbxContent>
                </v:textbox>
              </v:shape>
            </w:pict>
          </mc:Fallback>
        </mc:AlternateContent>
      </w:r>
    </w:p>
    <w:p>
      <w:pPr>
        <w:spacing w:after="0"/>
        <w:ind w:firstLine="0" w:firstLineChars="0"/>
        <w:jc w:val="center"/>
        <w:rPr>
          <w:rFonts w:eastAsia="方正小标宋_GBK"/>
          <w:color w:val="auto"/>
          <w:sz w:val="44"/>
          <w:szCs w:val="44"/>
        </w:rPr>
      </w:pPr>
      <w:r>
        <w:rPr>
          <w:rFonts w:hint="eastAsia" w:eastAsia="方正小标宋_GBK"/>
          <w:color w:val="auto"/>
          <w:sz w:val="44"/>
          <w:szCs w:val="44"/>
        </w:rPr>
        <w:t>关于重庆市大渡口区</w:t>
      </w:r>
      <w:r>
        <w:rPr>
          <w:rFonts w:eastAsia="方正小标宋_GBK" w:cs="Times New Roman"/>
          <w:color w:val="auto"/>
          <w:sz w:val="44"/>
          <w:szCs w:val="44"/>
        </w:rPr>
        <w:t>202</w:t>
      </w:r>
      <w:r>
        <w:rPr>
          <w:rFonts w:hint="eastAsia" w:eastAsia="方正小标宋_GBK" w:cs="Times New Roman"/>
          <w:color w:val="auto"/>
          <w:sz w:val="44"/>
          <w:szCs w:val="44"/>
          <w:lang w:val="en-US" w:eastAsia="zh-CN"/>
        </w:rPr>
        <w:t>5</w:t>
      </w:r>
      <w:r>
        <w:rPr>
          <w:rFonts w:hint="eastAsia" w:eastAsia="方正小标宋_GBK"/>
          <w:color w:val="auto"/>
          <w:sz w:val="44"/>
          <w:szCs w:val="44"/>
        </w:rPr>
        <w:t>年预算</w:t>
      </w:r>
    </w:p>
    <w:p>
      <w:pPr>
        <w:spacing w:after="0"/>
        <w:ind w:firstLine="0" w:firstLineChars="0"/>
        <w:jc w:val="center"/>
        <w:rPr>
          <w:rFonts w:hint="eastAsia" w:eastAsia="方正楷体_GBK"/>
          <w:color w:val="auto"/>
          <w:szCs w:val="32"/>
          <w:lang w:eastAsia="zh-CN"/>
        </w:rPr>
      </w:pPr>
      <w:r>
        <w:rPr>
          <w:rFonts w:hint="eastAsia" w:eastAsia="方正小标宋_GBK"/>
          <w:color w:val="auto"/>
          <w:sz w:val="44"/>
          <w:szCs w:val="44"/>
        </w:rPr>
        <w:t>执行情况和</w:t>
      </w:r>
      <w:r>
        <w:rPr>
          <w:rFonts w:eastAsia="方正小标宋_GBK" w:cs="Times New Roman"/>
          <w:color w:val="auto"/>
          <w:sz w:val="44"/>
          <w:szCs w:val="44"/>
        </w:rPr>
        <w:t>202</w:t>
      </w:r>
      <w:r>
        <w:rPr>
          <w:rFonts w:hint="eastAsia" w:eastAsia="方正小标宋_GBK" w:cs="Times New Roman"/>
          <w:color w:val="auto"/>
          <w:sz w:val="44"/>
          <w:szCs w:val="44"/>
          <w:lang w:val="en-US" w:eastAsia="zh-CN"/>
        </w:rPr>
        <w:t>6</w:t>
      </w:r>
      <w:r>
        <w:rPr>
          <w:rFonts w:hint="eastAsia" w:eastAsia="方正小标宋_GBK"/>
          <w:color w:val="auto"/>
          <w:sz w:val="44"/>
          <w:szCs w:val="44"/>
        </w:rPr>
        <w:t>年预算草案的报告</w:t>
      </w:r>
    </w:p>
    <w:p>
      <w:pPr>
        <w:spacing w:before="219" w:beforeLines="50" w:after="0"/>
        <w:ind w:firstLine="0" w:firstLineChars="0"/>
        <w:jc w:val="center"/>
        <w:rPr>
          <w:rFonts w:eastAsia="方正楷体_GBK" w:cs="宋体"/>
          <w:color w:val="auto"/>
          <w:kern w:val="0"/>
          <w:szCs w:val="32"/>
        </w:rPr>
      </w:pPr>
      <w:r>
        <w:rPr>
          <w:rFonts w:hint="eastAsia" w:eastAsia="方正楷体_GBK" w:cs="方正楷体_GBK"/>
          <w:color w:val="auto"/>
          <w:szCs w:val="32"/>
        </w:rPr>
        <w:t>重庆市大渡口区财政局</w:t>
      </w:r>
    </w:p>
    <w:p>
      <w:pPr>
        <w:spacing w:after="0"/>
        <w:ind w:firstLine="0" w:firstLineChars="0"/>
        <w:jc w:val="center"/>
        <w:rPr>
          <w:rFonts w:eastAsia="方正楷体_GBK"/>
          <w:color w:val="auto"/>
          <w:szCs w:val="32"/>
        </w:rPr>
      </w:pPr>
    </w:p>
    <w:p>
      <w:pPr>
        <w:spacing w:after="0"/>
        <w:ind w:firstLine="0" w:firstLineChars="0"/>
        <w:rPr>
          <w:rFonts w:cs="Times New Roman"/>
          <w:color w:val="auto"/>
          <w:szCs w:val="32"/>
        </w:rPr>
      </w:pPr>
      <w:r>
        <w:rPr>
          <w:rFonts w:cs="Times New Roman"/>
          <w:color w:val="auto"/>
          <w:szCs w:val="32"/>
        </w:rPr>
        <w:t>各位代表：</w:t>
      </w:r>
    </w:p>
    <w:p>
      <w:pPr>
        <w:spacing w:after="0"/>
        <w:ind w:firstLine="640"/>
        <w:rPr>
          <w:rFonts w:hint="eastAsia" w:eastAsia="方正仿宋_GBK"/>
          <w:color w:val="auto"/>
          <w:lang w:val="en-US" w:eastAsia="zh-CN"/>
        </w:rPr>
      </w:pPr>
      <w:r>
        <w:rPr>
          <w:color w:val="auto"/>
        </w:rPr>
        <w:t>受重庆市大渡口区人民政府委托，现将大渡口区</w:t>
      </w:r>
      <w:r>
        <w:rPr>
          <w:rFonts w:cs="Times New Roman"/>
          <w:color w:val="auto"/>
        </w:rPr>
        <w:t>202</w:t>
      </w:r>
      <w:r>
        <w:rPr>
          <w:rFonts w:hint="eastAsia" w:cs="Times New Roman"/>
          <w:color w:val="auto"/>
          <w:lang w:val="en-US" w:eastAsia="zh-CN"/>
        </w:rPr>
        <w:t>5</w:t>
      </w:r>
      <w:r>
        <w:rPr>
          <w:color w:val="auto"/>
        </w:rPr>
        <w:t>年预算执行情况和</w:t>
      </w:r>
      <w:r>
        <w:rPr>
          <w:rFonts w:cs="Times New Roman"/>
          <w:color w:val="auto"/>
        </w:rPr>
        <w:t>202</w:t>
      </w:r>
      <w:r>
        <w:rPr>
          <w:rFonts w:hint="eastAsia" w:cs="Times New Roman"/>
          <w:color w:val="auto"/>
          <w:lang w:val="en-US" w:eastAsia="zh-CN"/>
        </w:rPr>
        <w:t>6</w:t>
      </w:r>
      <w:r>
        <w:rPr>
          <w:color w:val="auto"/>
        </w:rPr>
        <w:t>年预算草案的报告提请大会审查，并请</w:t>
      </w:r>
      <w:r>
        <w:rPr>
          <w:rFonts w:hint="eastAsia"/>
          <w:color w:val="auto"/>
        </w:rPr>
        <w:t>各位</w:t>
      </w:r>
      <w:r>
        <w:rPr>
          <w:color w:val="auto"/>
        </w:rPr>
        <w:t>政协委员提出意见。</w:t>
      </w:r>
    </w:p>
    <w:p>
      <w:pPr>
        <w:spacing w:after="0"/>
        <w:ind w:firstLine="640"/>
        <w:rPr>
          <w:color w:val="auto"/>
        </w:rPr>
      </w:pPr>
      <w:r>
        <w:rPr>
          <w:rFonts w:hint="eastAsia" w:ascii="方正黑体_GBK" w:hAnsi="方正黑体_GBK" w:eastAsia="方正黑体_GBK" w:cs="方正黑体_GBK"/>
          <w:color w:val="auto"/>
        </w:rPr>
        <w:t>一、</w:t>
      </w:r>
      <w:r>
        <w:rPr>
          <w:rFonts w:eastAsia="方正黑体_GBK" w:cs="Times New Roman"/>
          <w:color w:val="auto"/>
          <w:szCs w:val="32"/>
        </w:rPr>
        <w:t>202</w:t>
      </w:r>
      <w:r>
        <w:rPr>
          <w:rFonts w:hint="eastAsia" w:eastAsia="方正黑体_GBK" w:cs="Times New Roman"/>
          <w:color w:val="auto"/>
          <w:szCs w:val="32"/>
          <w:lang w:val="en-US" w:eastAsia="zh-CN"/>
        </w:rPr>
        <w:t>5</w:t>
      </w:r>
      <w:r>
        <w:rPr>
          <w:rFonts w:eastAsia="方正黑体_GBK" w:cs="Times New Roman"/>
          <w:color w:val="auto"/>
          <w:szCs w:val="32"/>
        </w:rPr>
        <w:t>年预算执行情况</w:t>
      </w:r>
    </w:p>
    <w:p>
      <w:pPr>
        <w:spacing w:after="0"/>
        <w:ind w:firstLine="640"/>
        <w:rPr>
          <w:rFonts w:hint="eastAsia" w:eastAsia="方正仿宋_GBK"/>
          <w:color w:val="auto"/>
          <w:lang w:val="en-US" w:eastAsia="zh-CN"/>
        </w:rPr>
      </w:pPr>
      <w:r>
        <w:rPr>
          <w:rFonts w:cs="Times New Roman"/>
          <w:color w:val="auto"/>
        </w:rPr>
        <w:t>202</w:t>
      </w:r>
      <w:r>
        <w:rPr>
          <w:rFonts w:hint="eastAsia" w:cs="Times New Roman"/>
          <w:color w:val="auto"/>
          <w:lang w:val="en-US" w:eastAsia="zh-CN"/>
        </w:rPr>
        <w:t>5</w:t>
      </w:r>
      <w:r>
        <w:rPr>
          <w:rFonts w:hint="eastAsia"/>
          <w:color w:val="auto"/>
        </w:rPr>
        <w:t>年</w:t>
      </w:r>
      <w:r>
        <w:rPr>
          <w:rFonts w:hint="eastAsia"/>
          <w:color w:val="auto"/>
          <w:lang w:eastAsia="zh-CN"/>
        </w:rPr>
        <w:t>是“十四五”决胜收官之年，也是很不平凡的一年。</w:t>
      </w:r>
      <w:r>
        <w:rPr>
          <w:rFonts w:hint="eastAsia"/>
          <w:color w:val="auto"/>
          <w:lang w:val="en-US" w:eastAsia="zh-CN"/>
        </w:rPr>
        <w:t>全区财政工作坚持以习近平新时代中国特色社会主义思想为指导，全面贯彻党的二十大和二十届历次全会精神，在区委的坚强领导下，在区人大、区政协的监督支持下，坚持稳中求进工作总基调，认真落实“实施更加积极的财政政策，持续用力、更加给力”要求，加强逆周期调节，推动财政收入平稳增长、财政支出加力提效、财政管理持续加强，财政运行在紧平衡中保持总体平稳，较好完成年度目标任务。</w:t>
      </w:r>
    </w:p>
    <w:p>
      <w:pPr>
        <w:spacing w:after="0"/>
        <w:ind w:firstLine="640"/>
        <w:rPr>
          <w:rFonts w:eastAsia="方正楷体_GBK" w:cs="方正楷体_GBK"/>
          <w:color w:val="auto"/>
          <w:szCs w:val="32"/>
        </w:rPr>
      </w:pPr>
      <w:r>
        <w:rPr>
          <w:rFonts w:hint="eastAsia" w:eastAsia="方正楷体_GBK" w:cs="方正楷体_GBK"/>
          <w:color w:val="auto"/>
          <w:szCs w:val="32"/>
        </w:rPr>
        <w:t>（一）一般公共预算执行情况</w:t>
      </w:r>
    </w:p>
    <w:p>
      <w:pPr>
        <w:spacing w:beforeLines="0" w:after="0"/>
        <w:ind w:firstLine="643"/>
        <w:rPr>
          <w:rFonts w:cs="Times New Roman"/>
          <w:color w:val="auto"/>
          <w:szCs w:val="32"/>
        </w:rPr>
      </w:pPr>
      <w:r>
        <w:rPr>
          <w:rFonts w:eastAsia="仿宋" w:cs="Times New Roman"/>
          <w:b/>
          <w:bCs/>
          <w:color w:val="auto"/>
          <w:szCs w:val="32"/>
        </w:rPr>
        <w:t>1.</w:t>
      </w:r>
      <w:r>
        <w:rPr>
          <w:rFonts w:cs="Times New Roman"/>
          <w:b/>
          <w:bCs/>
          <w:color w:val="auto"/>
          <w:szCs w:val="32"/>
        </w:rPr>
        <w:t>收入执行情况。</w:t>
      </w:r>
      <w:r>
        <w:rPr>
          <w:rFonts w:cs="Times New Roman"/>
          <w:color w:val="auto"/>
          <w:szCs w:val="32"/>
        </w:rPr>
        <w:t>收入总</w:t>
      </w:r>
      <w:r>
        <w:rPr>
          <w:rFonts w:hint="default" w:ascii="Times New Roman" w:hAnsi="Times New Roman" w:cs="Times New Roman"/>
          <w:color w:val="auto"/>
          <w:szCs w:val="32"/>
        </w:rPr>
        <w:t>计</w:t>
      </w:r>
      <w:r>
        <w:rPr>
          <w:rFonts w:hint="eastAsia" w:cs="Times New Roman"/>
          <w:color w:val="auto"/>
          <w:szCs w:val="32"/>
          <w:lang w:val="en-US" w:eastAsia="zh-CN"/>
        </w:rPr>
        <w:t>820,300</w:t>
      </w:r>
      <w:r>
        <w:rPr>
          <w:rFonts w:hint="default" w:ascii="Times New Roman" w:hAnsi="Times New Roman" w:cs="Times New Roman"/>
          <w:color w:val="auto"/>
          <w:szCs w:val="32"/>
        </w:rPr>
        <w:t>万元，具体组成：本级收入</w:t>
      </w:r>
      <w:r>
        <w:rPr>
          <w:rFonts w:hint="default" w:ascii="Times New Roman" w:hAnsi="Times New Roman" w:cs="Times New Roman"/>
          <w:color w:val="auto"/>
          <w:szCs w:val="32"/>
          <w:lang w:val="en-US" w:eastAsia="zh-CN"/>
        </w:rPr>
        <w:t>219,66</w:t>
      </w:r>
      <w:r>
        <w:rPr>
          <w:rFonts w:hint="eastAsia" w:cs="Times New Roman"/>
          <w:color w:val="auto"/>
          <w:szCs w:val="32"/>
          <w:lang w:val="en-US" w:eastAsia="zh-CN"/>
        </w:rPr>
        <w:t>8</w:t>
      </w:r>
      <w:r>
        <w:rPr>
          <w:rFonts w:hint="default" w:ascii="Times New Roman" w:hAnsi="Times New Roman" w:cs="Times New Roman"/>
          <w:color w:val="auto"/>
          <w:szCs w:val="32"/>
        </w:rPr>
        <w:t>万元，完成预算的</w:t>
      </w:r>
      <w:r>
        <w:rPr>
          <w:rFonts w:hint="eastAsia" w:cs="Times New Roman"/>
          <w:color w:val="auto"/>
          <w:szCs w:val="32"/>
          <w:lang w:val="en-US" w:eastAsia="zh-CN"/>
        </w:rPr>
        <w:t>100.8</w:t>
      </w:r>
      <w:r>
        <w:rPr>
          <w:rFonts w:hint="default" w:ascii="Times New Roman" w:hAnsi="Times New Roman" w:cs="Times New Roman"/>
          <w:color w:val="auto"/>
          <w:szCs w:val="32"/>
        </w:rPr>
        <w:t>%，同比增长</w:t>
      </w:r>
      <w:r>
        <w:rPr>
          <w:rFonts w:hint="eastAsia" w:cs="Times New Roman"/>
          <w:color w:val="auto"/>
          <w:szCs w:val="32"/>
          <w:lang w:val="en-US" w:eastAsia="zh-CN"/>
        </w:rPr>
        <w:t>9.1</w:t>
      </w:r>
      <w:r>
        <w:rPr>
          <w:rFonts w:hint="default" w:ascii="Times New Roman" w:hAnsi="Times New Roman" w:cs="Times New Roman"/>
          <w:color w:val="auto"/>
          <w:szCs w:val="32"/>
        </w:rPr>
        <w:t>%；上级补助收入</w:t>
      </w:r>
      <w:r>
        <w:rPr>
          <w:rFonts w:hint="default" w:ascii="Times New Roman" w:hAnsi="Times New Roman" w:cs="Times New Roman"/>
          <w:color w:val="auto"/>
          <w:szCs w:val="32"/>
          <w:lang w:val="en-US" w:eastAsia="zh-CN"/>
        </w:rPr>
        <w:t>114,60</w:t>
      </w:r>
      <w:r>
        <w:rPr>
          <w:rFonts w:hint="eastAsia" w:cs="Times New Roman"/>
          <w:color w:val="auto"/>
          <w:szCs w:val="32"/>
          <w:lang w:val="en-US" w:eastAsia="zh-CN"/>
        </w:rPr>
        <w:t>8</w:t>
      </w:r>
      <w:r>
        <w:rPr>
          <w:rFonts w:hint="default" w:ascii="Times New Roman" w:hAnsi="Times New Roman" w:cs="Times New Roman"/>
          <w:color w:val="auto"/>
          <w:szCs w:val="32"/>
        </w:rPr>
        <w:t>万元；调入资金</w:t>
      </w:r>
      <w:r>
        <w:rPr>
          <w:rFonts w:hint="eastAsia" w:cs="Times New Roman"/>
          <w:color w:val="auto"/>
          <w:szCs w:val="32"/>
          <w:lang w:val="en-US" w:eastAsia="zh-CN"/>
        </w:rPr>
        <w:t>122，264</w:t>
      </w:r>
      <w:r>
        <w:rPr>
          <w:rFonts w:hint="default" w:ascii="Times New Roman" w:hAnsi="Times New Roman" w:cs="Times New Roman"/>
          <w:color w:val="auto"/>
          <w:szCs w:val="32"/>
        </w:rPr>
        <w:t>万元；债务转贷收入291,300万元；动用预算稳定调节基金25,404万元；上年结转47,056万元。</w:t>
      </w:r>
    </w:p>
    <w:p>
      <w:pPr>
        <w:spacing w:beforeLines="0" w:after="0"/>
        <w:ind w:firstLine="643"/>
        <w:rPr>
          <w:rFonts w:hint="default" w:ascii="Times New Roman" w:hAnsi="Times New Roman" w:cs="Times New Roman"/>
          <w:color w:val="auto"/>
          <w:szCs w:val="32"/>
        </w:rPr>
      </w:pPr>
      <w:r>
        <w:rPr>
          <w:rFonts w:eastAsia="仿宋" w:cs="Times New Roman"/>
          <w:b/>
          <w:bCs/>
          <w:color w:val="auto"/>
          <w:szCs w:val="32"/>
        </w:rPr>
        <w:t>2.</w:t>
      </w:r>
      <w:r>
        <w:rPr>
          <w:rFonts w:cs="Times New Roman"/>
          <w:b/>
          <w:bCs/>
          <w:color w:val="auto"/>
          <w:szCs w:val="32"/>
        </w:rPr>
        <w:t>支出执行情况。</w:t>
      </w:r>
      <w:r>
        <w:rPr>
          <w:rFonts w:cs="Times New Roman"/>
          <w:color w:val="auto"/>
          <w:szCs w:val="32"/>
        </w:rPr>
        <w:t>支出总</w:t>
      </w:r>
      <w:r>
        <w:rPr>
          <w:rFonts w:hint="default" w:ascii="Times New Roman" w:hAnsi="Times New Roman" w:cs="Times New Roman"/>
          <w:color w:val="auto"/>
          <w:szCs w:val="32"/>
        </w:rPr>
        <w:t>计</w:t>
      </w:r>
      <w:r>
        <w:rPr>
          <w:rFonts w:hint="eastAsia" w:cs="Times New Roman"/>
          <w:color w:val="auto"/>
          <w:szCs w:val="32"/>
          <w:lang w:val="en-US" w:eastAsia="zh-CN"/>
        </w:rPr>
        <w:t>820,300</w:t>
      </w:r>
      <w:r>
        <w:rPr>
          <w:rFonts w:hint="default" w:ascii="Times New Roman" w:hAnsi="Times New Roman" w:cs="Times New Roman"/>
          <w:color w:val="auto"/>
          <w:szCs w:val="32"/>
        </w:rPr>
        <w:t>万元，具体组成：本级支出434,575万元，完成预算的</w:t>
      </w:r>
      <w:r>
        <w:rPr>
          <w:rFonts w:hint="eastAsia" w:cs="Times New Roman"/>
          <w:color w:val="auto"/>
          <w:szCs w:val="32"/>
          <w:lang w:val="en-US" w:eastAsia="zh-CN"/>
        </w:rPr>
        <w:t>96.6</w:t>
      </w:r>
      <w:r>
        <w:rPr>
          <w:rFonts w:hint="default" w:ascii="Times New Roman" w:hAnsi="Times New Roman" w:cs="Times New Roman"/>
          <w:color w:val="auto"/>
          <w:szCs w:val="32"/>
        </w:rPr>
        <w:t>%；上解上级支出19,987万元；债务还本支出297,600万元；安排预算稳定调节基金</w:t>
      </w:r>
      <w:r>
        <w:rPr>
          <w:rFonts w:hint="eastAsia" w:cs="Times New Roman"/>
          <w:color w:val="auto"/>
          <w:szCs w:val="32"/>
          <w:lang w:val="en-US" w:eastAsia="zh-CN"/>
        </w:rPr>
        <w:t>31,239</w:t>
      </w:r>
      <w:r>
        <w:rPr>
          <w:rFonts w:hint="default" w:ascii="Times New Roman" w:hAnsi="Times New Roman" w:cs="Times New Roman"/>
          <w:color w:val="auto"/>
          <w:szCs w:val="32"/>
        </w:rPr>
        <w:t>万元；结转下年36,899万元。</w:t>
      </w:r>
    </w:p>
    <w:p>
      <w:pPr>
        <w:spacing w:beforeLines="0" w:after="0"/>
        <w:ind w:firstLine="643"/>
        <w:rPr>
          <w:rFonts w:hint="default" w:ascii="Times New Roman" w:hAnsi="Times New Roman" w:cs="Times New Roman"/>
          <w:color w:val="auto"/>
          <w:szCs w:val="32"/>
        </w:rPr>
      </w:pPr>
      <w:r>
        <w:rPr>
          <w:rFonts w:hint="eastAsia" w:cs="Times New Roman"/>
          <w:color w:val="auto"/>
          <w:szCs w:val="32"/>
          <w:lang w:val="en-US" w:eastAsia="zh-CN"/>
        </w:rPr>
        <w:t>一般公共</w:t>
      </w:r>
      <w:r>
        <w:rPr>
          <w:rFonts w:hint="eastAsia" w:cs="Times New Roman"/>
          <w:color w:val="auto"/>
          <w:szCs w:val="32"/>
        </w:rPr>
        <w:t>预算本级</w:t>
      </w:r>
      <w:r>
        <w:rPr>
          <w:rFonts w:cs="Times New Roman"/>
          <w:color w:val="auto"/>
          <w:szCs w:val="32"/>
        </w:rPr>
        <w:t>支出主要方向：</w:t>
      </w:r>
    </w:p>
    <w:p>
      <w:pPr>
        <w:keepNext w:val="0"/>
        <w:keepLines w:val="0"/>
        <w:pageBreakBefore w:val="0"/>
        <w:widowControl w:val="0"/>
        <w:kinsoku/>
        <w:wordWrap/>
        <w:overflowPunct/>
        <w:topLinePunct w:val="0"/>
        <w:autoSpaceDN/>
        <w:bidi w:val="0"/>
        <w:adjustRightInd/>
        <w:snapToGrid/>
        <w:spacing w:before="0" w:beforeLines="0" w:after="0"/>
        <w:ind w:firstLine="640"/>
        <w:textAlignment w:val="auto"/>
        <w:outlineLvl w:val="9"/>
        <w:rPr>
          <w:rFonts w:cs="Times New Roman"/>
          <w:color w:val="auto"/>
          <w:szCs w:val="32"/>
          <w:lang w:bidi="ar"/>
        </w:rPr>
      </w:pPr>
      <w:r>
        <w:rPr>
          <w:rFonts w:cs="Times New Roman"/>
          <w:color w:val="auto"/>
          <w:szCs w:val="32"/>
          <w:lang w:bidi="ar"/>
        </w:rPr>
        <w:t>——一般公共</w:t>
      </w:r>
      <w:r>
        <w:rPr>
          <w:rFonts w:hint="default" w:ascii="Times New Roman" w:hAnsi="Times New Roman" w:cs="Times New Roman"/>
          <w:color w:val="auto"/>
          <w:szCs w:val="32"/>
          <w:lang w:bidi="ar"/>
        </w:rPr>
        <w:t>服务支出</w:t>
      </w:r>
      <w:r>
        <w:rPr>
          <w:rFonts w:hint="eastAsia" w:cs="Times New Roman"/>
          <w:color w:val="auto"/>
          <w:szCs w:val="32"/>
          <w:lang w:val="en-US" w:eastAsia="zh-CN" w:bidi="ar"/>
        </w:rPr>
        <w:t>54,736</w:t>
      </w:r>
      <w:r>
        <w:rPr>
          <w:rFonts w:hint="default" w:ascii="Times New Roman" w:hAnsi="Times New Roman" w:cs="Times New Roman"/>
          <w:color w:val="auto"/>
          <w:szCs w:val="32"/>
          <w:lang w:bidi="ar"/>
        </w:rPr>
        <w:t>万元。主要用于：</w:t>
      </w:r>
      <w:r>
        <w:rPr>
          <w:rFonts w:hint="default" w:ascii="Times New Roman" w:hAnsi="Times New Roman" w:cs="Times New Roman"/>
          <w:color w:val="auto"/>
          <w:szCs w:val="32"/>
          <w:lang w:eastAsia="zh-CN" w:bidi="ar"/>
        </w:rPr>
        <w:t>保障党政机关、人大、政协、民主党派和群团组织正常运转及履行职能。大力推进党的建设，加强自身内部管理和干部队伍建设。支持全面深化改革，提升监察监督能力，加强督查协调、政务公开，提高依法履职能力和公共服务水平。</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rPr>
      </w:pPr>
      <w:r>
        <w:rPr>
          <w:rFonts w:cs="Times New Roman"/>
          <w:color w:val="auto"/>
          <w:szCs w:val="32"/>
          <w:lang w:bidi="ar"/>
        </w:rPr>
        <w:t>——公共安</w:t>
      </w:r>
      <w:r>
        <w:rPr>
          <w:rFonts w:hint="default" w:ascii="Times New Roman" w:hAnsi="Times New Roman" w:cs="Times New Roman"/>
          <w:color w:val="auto"/>
          <w:szCs w:val="32"/>
          <w:lang w:bidi="ar"/>
        </w:rPr>
        <w:t>全支出</w:t>
      </w:r>
      <w:r>
        <w:rPr>
          <w:rFonts w:hint="eastAsia" w:cs="Times New Roman"/>
          <w:color w:val="auto"/>
          <w:szCs w:val="32"/>
          <w:lang w:val="en-US" w:eastAsia="zh-CN" w:bidi="ar"/>
        </w:rPr>
        <w:t>35,802</w:t>
      </w:r>
      <w:r>
        <w:rPr>
          <w:rFonts w:hint="default" w:ascii="Times New Roman" w:hAnsi="Times New Roman" w:cs="Times New Roman"/>
          <w:color w:val="auto"/>
          <w:szCs w:val="32"/>
          <w:lang w:bidi="ar"/>
        </w:rPr>
        <w:t>万</w:t>
      </w:r>
      <w:r>
        <w:rPr>
          <w:rFonts w:cs="Times New Roman"/>
          <w:color w:val="auto"/>
          <w:szCs w:val="32"/>
          <w:lang w:bidi="ar"/>
        </w:rPr>
        <w:t>元。主要用于：</w:t>
      </w:r>
      <w:r>
        <w:rPr>
          <w:rFonts w:hint="eastAsia" w:cs="Times New Roman"/>
          <w:color w:val="auto"/>
          <w:szCs w:val="32"/>
          <w:lang w:eastAsia="zh-CN" w:bidi="ar"/>
        </w:rPr>
        <w:t>保障公安分局、司法局等单位正常运转及履行职能。严厉打击违法犯罪活动，支持执法办案、应急处置、基础装备、信息化建设等。落实政法干警关心关爱措施，创新“社区警务</w:t>
      </w:r>
      <w:r>
        <w:rPr>
          <w:rFonts w:hint="eastAsia" w:cs="Times New Roman"/>
          <w:color w:val="auto"/>
          <w:szCs w:val="32"/>
          <w:lang w:val="en-US" w:eastAsia="zh-CN" w:bidi="ar"/>
        </w:rPr>
        <w:t>+网络驿站</w:t>
      </w:r>
      <w:r>
        <w:rPr>
          <w:rFonts w:hint="eastAsia" w:cs="Times New Roman"/>
          <w:color w:val="auto"/>
          <w:szCs w:val="32"/>
          <w:lang w:eastAsia="zh-CN" w:bidi="ar"/>
        </w:rPr>
        <w:t>”警网融合、所队联勤办案、巡防处一体化机制，迭代升级平安稳定闭环管控新体系，深化平安法治领域改革，维护社会安全稳定和公平正义。</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rPr>
      </w:pPr>
      <w:r>
        <w:rPr>
          <w:rFonts w:cs="Times New Roman"/>
          <w:color w:val="auto"/>
          <w:szCs w:val="32"/>
          <w:lang w:bidi="ar"/>
        </w:rPr>
        <w:t>——教育支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95,702</w:t>
      </w:r>
      <w:r>
        <w:rPr>
          <w:rFonts w:hint="default" w:ascii="Times New Roman" w:hAnsi="Times New Roman" w:cs="Times New Roman"/>
          <w:color w:val="auto"/>
          <w:szCs w:val="32"/>
          <w:lang w:bidi="ar"/>
        </w:rPr>
        <w:t>万元</w:t>
      </w:r>
      <w:r>
        <w:rPr>
          <w:rFonts w:cs="Times New Roman"/>
          <w:color w:val="auto"/>
          <w:szCs w:val="32"/>
          <w:lang w:bidi="ar"/>
        </w:rPr>
        <w:t>。主要用于：</w:t>
      </w:r>
      <w:r>
        <w:rPr>
          <w:rFonts w:hint="eastAsia" w:cs="Times New Roman"/>
          <w:color w:val="auto"/>
          <w:szCs w:val="32"/>
          <w:lang w:eastAsia="zh-CN" w:bidi="ar"/>
        </w:rPr>
        <w:t>保障教委、学校等单位正常运转及履行职能。持续保障学校基础设施建设投入，</w:t>
      </w:r>
      <w:r>
        <w:rPr>
          <w:rFonts w:hint="eastAsia" w:ascii="Times New Roman" w:hAnsi="Times New Roman" w:eastAsia="方正仿宋_GBK" w:cs="方正仿宋_GBK"/>
          <w:color w:val="auto"/>
          <w:spacing w:val="0"/>
          <w:sz w:val="32"/>
          <w:szCs w:val="32"/>
          <w:highlight w:val="none"/>
          <w:u w:val="none" w:color="auto"/>
        </w:rPr>
        <w:t>大渡口西大附中建成投用</w:t>
      </w:r>
      <w:r>
        <w:rPr>
          <w:rFonts w:hint="eastAsia" w:ascii="Times New Roman" w:hAnsi="Times New Roman" w:eastAsia="方正仿宋_GBK" w:cs="方正仿宋_GBK"/>
          <w:color w:val="auto"/>
          <w:spacing w:val="0"/>
          <w:sz w:val="32"/>
          <w:szCs w:val="32"/>
          <w:highlight w:val="none"/>
          <w:u w:val="none" w:color="auto"/>
          <w:lang w:eastAsia="zh-CN"/>
        </w:rPr>
        <w:t>，茄</w:t>
      </w:r>
      <w:r>
        <w:rPr>
          <w:rFonts w:hint="eastAsia" w:ascii="Times New Roman" w:hAnsi="Times New Roman" w:eastAsia="方正仿宋_GBK" w:cs="方正仿宋_GBK"/>
          <w:color w:val="auto"/>
          <w:spacing w:val="0"/>
          <w:sz w:val="32"/>
          <w:szCs w:val="32"/>
          <w:highlight w:val="none"/>
          <w:u w:val="none" w:color="auto"/>
          <w:lang w:val="en-US" w:eastAsia="zh-CN"/>
        </w:rPr>
        <w:t>子溪</w:t>
      </w:r>
      <w:r>
        <w:rPr>
          <w:rFonts w:hint="eastAsia" w:ascii="Times New Roman" w:hAnsi="Times New Roman" w:eastAsia="方正仿宋_GBK" w:cs="方正仿宋_GBK"/>
          <w:color w:val="auto"/>
          <w:spacing w:val="0"/>
          <w:sz w:val="32"/>
          <w:szCs w:val="32"/>
          <w:highlight w:val="none"/>
          <w:u w:val="none" w:color="auto"/>
          <w:lang w:eastAsia="zh-CN"/>
        </w:rPr>
        <w:t>中</w:t>
      </w:r>
      <w:r>
        <w:rPr>
          <w:rFonts w:hint="eastAsia" w:ascii="Times New Roman" w:hAnsi="Times New Roman" w:eastAsia="方正仿宋_GBK" w:cs="方正仿宋_GBK"/>
          <w:color w:val="auto"/>
          <w:spacing w:val="0"/>
          <w:sz w:val="32"/>
          <w:szCs w:val="32"/>
          <w:highlight w:val="none"/>
          <w:u w:val="none" w:color="auto"/>
          <w:lang w:val="en-US" w:eastAsia="zh-CN"/>
        </w:rPr>
        <w:t>学、区实验小学一期</w:t>
      </w:r>
      <w:r>
        <w:rPr>
          <w:rFonts w:hint="eastAsia" w:ascii="Times New Roman" w:hAnsi="Times New Roman" w:eastAsia="方正仿宋_GBK" w:cs="方正仿宋_GBK"/>
          <w:color w:val="auto"/>
          <w:spacing w:val="0"/>
          <w:sz w:val="32"/>
          <w:szCs w:val="32"/>
          <w:highlight w:val="none"/>
          <w:u w:val="none" w:color="auto"/>
          <w:lang w:eastAsia="zh-CN"/>
        </w:rPr>
        <w:t>改扩建</w:t>
      </w:r>
      <w:r>
        <w:rPr>
          <w:rFonts w:hint="eastAsia" w:ascii="Times New Roman" w:hAnsi="Times New Roman" w:eastAsia="方正仿宋_GBK" w:cs="方正仿宋_GBK"/>
          <w:color w:val="auto"/>
          <w:spacing w:val="0"/>
          <w:sz w:val="32"/>
          <w:szCs w:val="32"/>
          <w:highlight w:val="none"/>
          <w:u w:val="none" w:color="auto"/>
          <w:lang w:val="en-US" w:eastAsia="zh-CN"/>
        </w:rPr>
        <w:t>完工</w:t>
      </w:r>
      <w:r>
        <w:rPr>
          <w:rFonts w:hint="eastAsia" w:cs="Times New Roman"/>
          <w:color w:val="auto"/>
          <w:szCs w:val="32"/>
          <w:lang w:eastAsia="zh-CN" w:bidi="ar"/>
        </w:rPr>
        <w:t>，学校办学条件持续改善。精准实施各级各类教育资助政策，支持完成全国义务教育优质均衡发展区创建。支持科学教育实验区建设，强化优质教育资源跨区合作，教育现代化水平显著提升。</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——科学技术支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7,148</w:t>
      </w:r>
      <w:r>
        <w:rPr>
          <w:rFonts w:hint="default" w:ascii="Times New Roman" w:hAnsi="Times New Roman" w:cs="Times New Roman"/>
          <w:color w:val="auto"/>
          <w:szCs w:val="32"/>
          <w:lang w:bidi="ar"/>
        </w:rPr>
        <w:t>万元。主要用于：</w:t>
      </w:r>
      <w:r>
        <w:rPr>
          <w:rFonts w:hint="default" w:ascii="Times New Roman" w:hAnsi="Times New Roman" w:cs="Times New Roman"/>
          <w:color w:val="auto"/>
          <w:szCs w:val="32"/>
          <w:lang w:eastAsia="zh-CN" w:bidi="ar"/>
        </w:rPr>
        <w:t>保障科技局等单位正常运转及履行职能。支持高质量实施高新技术企业和科技</w:t>
      </w:r>
      <w:r>
        <w:rPr>
          <w:rFonts w:hint="eastAsia" w:cs="Times New Roman"/>
          <w:color w:val="auto"/>
          <w:szCs w:val="32"/>
          <w:lang w:eastAsia="zh-CN" w:bidi="ar"/>
        </w:rPr>
        <w:t>型企业“双倍增”行动，综合科技创新指数保持全市前列。突出产业发展需求导向，加强创新技术攻关与成果转化，拓宽科技投入渠道，落实科技创新扶持政策，稳步提升全区科技创新能力。</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rPr>
      </w:pPr>
      <w:r>
        <w:rPr>
          <w:rFonts w:cs="Times New Roman"/>
          <w:color w:val="auto"/>
          <w:szCs w:val="32"/>
          <w:lang w:bidi="ar"/>
        </w:rPr>
        <w:t>——文化旅游体育与传</w:t>
      </w:r>
      <w:r>
        <w:rPr>
          <w:rFonts w:hint="default" w:ascii="Times New Roman" w:hAnsi="Times New Roman" w:cs="Times New Roman"/>
          <w:color w:val="auto"/>
          <w:szCs w:val="32"/>
          <w:lang w:bidi="ar"/>
        </w:rPr>
        <w:t>媒支出</w:t>
      </w:r>
      <w:r>
        <w:rPr>
          <w:rFonts w:hint="eastAsia" w:cs="Times New Roman"/>
          <w:color w:val="auto"/>
          <w:szCs w:val="32"/>
          <w:lang w:val="en-US" w:eastAsia="zh-CN" w:bidi="ar"/>
        </w:rPr>
        <w:t>9,117</w:t>
      </w:r>
      <w:r>
        <w:rPr>
          <w:rFonts w:hint="default" w:ascii="Times New Roman" w:hAnsi="Times New Roman" w:cs="Times New Roman"/>
          <w:color w:val="auto"/>
          <w:szCs w:val="32"/>
          <w:lang w:bidi="ar"/>
        </w:rPr>
        <w:t>万元。</w:t>
      </w:r>
      <w:r>
        <w:rPr>
          <w:rFonts w:cs="Times New Roman"/>
          <w:color w:val="auto"/>
          <w:szCs w:val="32"/>
          <w:lang w:bidi="ar"/>
        </w:rPr>
        <w:t>主要用于：</w:t>
      </w:r>
      <w:r>
        <w:rPr>
          <w:rFonts w:hint="eastAsia" w:cs="Times New Roman"/>
          <w:color w:val="auto"/>
          <w:szCs w:val="32"/>
          <w:lang w:eastAsia="zh-CN" w:bidi="ar"/>
        </w:rPr>
        <w:t>保障文化旅游委、融媒体中心等单位正常运转及履行职能。持续完善现代公共文化服务体系，落实“三馆一站”免费开放，开展第四次全国文物普查，加强文物保护利用和非物质文化遗产保护传承。成功举办全国四季“村晚”大联欢、</w:t>
      </w:r>
      <w:r>
        <w:rPr>
          <w:rFonts w:hint="eastAsia" w:cs="Times New Roman"/>
          <w:color w:val="auto"/>
          <w:szCs w:val="32"/>
          <w:highlight w:val="none"/>
          <w:lang w:bidi="ar"/>
        </w:rPr>
        <w:t>全国东西南北中羽毛球比赛</w:t>
      </w:r>
      <w:r>
        <w:rPr>
          <w:rFonts w:hint="eastAsia" w:cs="Times New Roman"/>
          <w:color w:val="auto"/>
          <w:szCs w:val="32"/>
          <w:highlight w:val="none"/>
          <w:lang w:eastAsia="zh-CN" w:bidi="ar"/>
        </w:rPr>
        <w:t>、</w:t>
      </w:r>
      <w:r>
        <w:rPr>
          <w:rFonts w:hint="eastAsia" w:cs="Times New Roman"/>
          <w:color w:val="auto"/>
          <w:szCs w:val="32"/>
          <w:lang w:eastAsia="zh-CN" w:bidi="ar"/>
        </w:rPr>
        <w:t>“渝超”足球比赛、大渡口半程马拉松等赛事活动，促进文体产业高质量发展。</w:t>
      </w:r>
    </w:p>
    <w:p>
      <w:pPr>
        <w:keepNext w:val="0"/>
        <w:keepLines w:val="0"/>
        <w:pageBreakBefore w:val="0"/>
        <w:widowControl w:val="0"/>
        <w:kinsoku/>
        <w:wordWrap/>
        <w:overflowPunct/>
        <w:topLinePunct w:val="0"/>
        <w:autoSpaceDE w:val="0"/>
        <w:autoSpaceDN/>
        <w:bidi w:val="0"/>
        <w:adjustRightInd/>
        <w:snapToGrid/>
        <w:spacing w:after="0"/>
        <w:ind w:left="0" w:leftChars="0" w:firstLine="640" w:firstLineChars="0"/>
        <w:textAlignment w:val="auto"/>
        <w:outlineLvl w:val="9"/>
        <w:rPr>
          <w:rFonts w:cs="Times New Roman"/>
          <w:color w:val="auto"/>
          <w:szCs w:val="32"/>
          <w:lang w:bidi="ar"/>
        </w:rPr>
      </w:pPr>
      <w:r>
        <w:rPr>
          <w:rFonts w:cs="Times New Roman"/>
          <w:color w:val="auto"/>
          <w:szCs w:val="32"/>
          <w:lang w:bidi="ar"/>
        </w:rPr>
        <w:t>——社会保障和就业</w:t>
      </w:r>
      <w:r>
        <w:rPr>
          <w:rFonts w:hint="default" w:ascii="Times New Roman" w:hAnsi="Times New Roman" w:cs="Times New Roman"/>
          <w:color w:val="auto"/>
          <w:szCs w:val="32"/>
          <w:lang w:bidi="ar"/>
        </w:rPr>
        <w:t>支出</w:t>
      </w:r>
      <w:r>
        <w:rPr>
          <w:rFonts w:hint="eastAsia" w:cs="Times New Roman"/>
          <w:color w:val="auto"/>
          <w:szCs w:val="32"/>
          <w:lang w:val="en-US" w:eastAsia="zh-CN" w:bidi="ar"/>
        </w:rPr>
        <w:t>53,408</w:t>
      </w:r>
      <w:r>
        <w:rPr>
          <w:rFonts w:hint="default" w:ascii="Times New Roman" w:hAnsi="Times New Roman" w:cs="Times New Roman"/>
          <w:color w:val="auto"/>
          <w:szCs w:val="32"/>
          <w:lang w:bidi="ar"/>
        </w:rPr>
        <w:t>万元</w:t>
      </w:r>
      <w:r>
        <w:rPr>
          <w:rFonts w:cs="Times New Roman"/>
          <w:color w:val="auto"/>
          <w:szCs w:val="32"/>
          <w:lang w:bidi="ar"/>
        </w:rPr>
        <w:t>。主要用于：</w:t>
      </w:r>
      <w:r>
        <w:rPr>
          <w:rFonts w:hint="eastAsia" w:cs="Times New Roman"/>
          <w:color w:val="auto"/>
          <w:szCs w:val="32"/>
          <w:lang w:eastAsia="zh-CN" w:bidi="ar"/>
        </w:rPr>
        <w:t>保障民政局、人力社保局、退役军人事务局等单位正常运转及履行职能。全面落实养老保险等社保的财政补助，保障离退休人员补贴，提高城乡低保、特困人员等困难群体补助标准。全面落实稳岗纾困政策，支持高校毕业生等重点群体充分就业。落实优抚安置措施，足额保障优抚对象待遇，加强退役安置，加大服务保障力度。</w:t>
      </w:r>
    </w:p>
    <w:p>
      <w:pPr>
        <w:keepNext w:val="0"/>
        <w:keepLines w:val="0"/>
        <w:pageBreakBefore w:val="0"/>
        <w:widowControl w:val="0"/>
        <w:kinsoku/>
        <w:wordWrap/>
        <w:overflowPunct/>
        <w:topLinePunct w:val="0"/>
        <w:autoSpaceDE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——卫生健康支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30,196</w:t>
      </w:r>
      <w:r>
        <w:rPr>
          <w:rFonts w:hint="default" w:ascii="Times New Roman" w:hAnsi="Times New Roman" w:cs="Times New Roman"/>
          <w:color w:val="auto"/>
          <w:szCs w:val="32"/>
          <w:lang w:bidi="ar"/>
        </w:rPr>
        <w:t>万</w:t>
      </w:r>
      <w:r>
        <w:rPr>
          <w:rFonts w:cs="Times New Roman"/>
          <w:color w:val="auto"/>
          <w:szCs w:val="32"/>
          <w:lang w:bidi="ar"/>
        </w:rPr>
        <w:t>元。主要用于：</w:t>
      </w:r>
      <w:r>
        <w:rPr>
          <w:rFonts w:hint="eastAsia" w:cs="Times New Roman"/>
          <w:color w:val="auto"/>
          <w:szCs w:val="32"/>
          <w:lang w:eastAsia="zh-CN" w:bidi="ar"/>
        </w:rPr>
        <w:t>保障卫生健康委、医疗保障局、医院及社区卫生服务中心等单位正常运转及履行职能。支持加强公立医院、基层医疗卫生机构、疾病预防控制机构能力建设，城乡居民医保补助提高到700元/人·年，基本公共卫生财政支出标准提高到99元/人·年。支持区中医院新院区建成投用，增强医疗卫生服务供给能力。及时发放育儿补贴，支持区托育综合服务中心建设。统筹支持医疗服务能力提升，保障基本药物补助和计划生育家庭扶助等支出。</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eastAsia="仿宋" w:cs="Times New Roman"/>
          <w:color w:val="auto"/>
          <w:szCs w:val="32"/>
          <w:lang w:bidi="ar"/>
        </w:rPr>
      </w:pPr>
      <w:r>
        <w:rPr>
          <w:rFonts w:cs="Times New Roman"/>
          <w:color w:val="auto"/>
          <w:szCs w:val="32"/>
          <w:lang w:bidi="ar"/>
        </w:rPr>
        <w:t>——节能环保</w:t>
      </w:r>
      <w:r>
        <w:rPr>
          <w:rFonts w:hint="default" w:ascii="Times New Roman" w:hAnsi="Times New Roman" w:cs="Times New Roman"/>
          <w:color w:val="auto"/>
          <w:szCs w:val="32"/>
          <w:lang w:bidi="ar"/>
        </w:rPr>
        <w:t>支出</w:t>
      </w:r>
      <w:r>
        <w:rPr>
          <w:rFonts w:hint="eastAsia" w:cs="Times New Roman"/>
          <w:color w:val="auto"/>
          <w:szCs w:val="32"/>
          <w:lang w:val="en-US" w:eastAsia="zh-CN" w:bidi="ar"/>
        </w:rPr>
        <w:t>10,864</w:t>
      </w:r>
      <w:r>
        <w:rPr>
          <w:rFonts w:hint="default" w:ascii="Times New Roman" w:hAnsi="Times New Roman" w:cs="Times New Roman"/>
          <w:color w:val="auto"/>
          <w:szCs w:val="32"/>
          <w:lang w:bidi="ar"/>
        </w:rPr>
        <w:t>万元。主</w:t>
      </w:r>
      <w:r>
        <w:rPr>
          <w:rFonts w:cs="Times New Roman"/>
          <w:color w:val="auto"/>
          <w:szCs w:val="32"/>
          <w:lang w:bidi="ar"/>
        </w:rPr>
        <w:t>要用于：</w:t>
      </w:r>
      <w:r>
        <w:rPr>
          <w:rFonts w:hint="eastAsia" w:ascii="方正仿宋_GBK" w:hAnsi="方正仿宋_GBK" w:cs="方正仿宋_GBK"/>
          <w:color w:val="auto"/>
          <w:szCs w:val="32"/>
          <w:lang w:eastAsia="zh-CN" w:bidi="ar"/>
        </w:rPr>
        <w:t>保障生态环境局等单位正常运转及履行职能。统筹实施环境污染防治、生态保护修复和“无废城市”建设。打好污染防治攻坚战，重点支持居民楼公共烟道颗粒物治理、工业废气超低排放改造、土壤污染修复、农村黑臭水体治理、雨污水管网整治等项目建设。持续守牢中梁山、金鳌山生态屏障，全力保障退耕还林还草、天然林保护和森林灾害综合防治。</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ascii="方正仿宋_GBK" w:hAnsi="方正仿宋_GBK" w:cs="方正仿宋_GBK"/>
          <w:color w:val="auto"/>
          <w:szCs w:val="32"/>
          <w:lang w:bidi="ar"/>
        </w:rPr>
      </w:pPr>
      <w:r>
        <w:rPr>
          <w:rFonts w:cs="Times New Roman"/>
          <w:color w:val="auto"/>
          <w:szCs w:val="32"/>
          <w:lang w:bidi="ar"/>
        </w:rPr>
        <w:t>——城乡社区支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26,908</w:t>
      </w:r>
      <w:r>
        <w:rPr>
          <w:rFonts w:hint="default" w:ascii="Times New Roman" w:hAnsi="Times New Roman" w:cs="Times New Roman"/>
          <w:color w:val="auto"/>
          <w:szCs w:val="32"/>
          <w:lang w:bidi="ar"/>
        </w:rPr>
        <w:t>万元。</w:t>
      </w:r>
      <w:r>
        <w:rPr>
          <w:rFonts w:cs="Times New Roman"/>
          <w:color w:val="auto"/>
          <w:szCs w:val="32"/>
          <w:lang w:bidi="ar"/>
        </w:rPr>
        <w:t>主要用于：</w:t>
      </w:r>
      <w:r>
        <w:rPr>
          <w:rFonts w:hint="eastAsia" w:cs="Times New Roman"/>
          <w:color w:val="auto"/>
          <w:szCs w:val="32"/>
          <w:lang w:bidi="ar"/>
        </w:rPr>
        <w:t>保障住房城乡建委、城市管理局等单位正常运转及履行职能。统筹支持公园、绿地、道路、桥梁等市政基础设施维修维护，持续推进城市排水设施应急抢险及常态化管护工作，确保城乡社区安全高效运转</w:t>
      </w:r>
      <w:r>
        <w:rPr>
          <w:rFonts w:hint="eastAsia" w:cs="Times New Roman"/>
          <w:color w:val="auto"/>
          <w:szCs w:val="32"/>
          <w:lang w:eastAsia="zh-CN" w:bidi="ar"/>
        </w:rPr>
        <w:t>。</w:t>
      </w:r>
      <w:r>
        <w:rPr>
          <w:rFonts w:hint="eastAsia" w:cs="Times New Roman"/>
          <w:color w:val="auto"/>
          <w:szCs w:val="32"/>
          <w:lang w:bidi="ar"/>
        </w:rPr>
        <w:t>重点推进老旧小区综合改造及燃气管道更新升级，切实改善居民居住环境质量</w:t>
      </w:r>
      <w:r>
        <w:rPr>
          <w:rFonts w:hint="eastAsia" w:cs="Times New Roman"/>
          <w:color w:val="auto"/>
          <w:szCs w:val="32"/>
          <w:lang w:eastAsia="zh-CN" w:bidi="ar"/>
        </w:rPr>
        <w:t>。</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w:t>
      </w:r>
      <w:r>
        <w:rPr>
          <w:rFonts w:ascii="方正仿宋_GBK" w:hAnsi="方正仿宋_GBK" w:cs="方正仿宋_GBK"/>
          <w:color w:val="auto"/>
          <w:szCs w:val="32"/>
          <w:lang w:bidi="ar"/>
        </w:rPr>
        <w:t>农林水</w:t>
      </w:r>
      <w:r>
        <w:rPr>
          <w:rFonts w:hint="default" w:ascii="Times New Roman" w:hAnsi="Times New Roman" w:cs="Times New Roman"/>
          <w:color w:val="auto"/>
          <w:szCs w:val="32"/>
          <w:lang w:bidi="ar"/>
        </w:rPr>
        <w:t>支出</w:t>
      </w:r>
      <w:r>
        <w:rPr>
          <w:rFonts w:hint="eastAsia" w:cs="Times New Roman"/>
          <w:color w:val="auto"/>
          <w:szCs w:val="32"/>
          <w:lang w:val="en-US" w:eastAsia="zh-CN" w:bidi="ar"/>
        </w:rPr>
        <w:t>11,519</w:t>
      </w:r>
      <w:r>
        <w:rPr>
          <w:rFonts w:hint="default" w:ascii="Times New Roman" w:hAnsi="Times New Roman" w:cs="Times New Roman"/>
          <w:color w:val="auto"/>
          <w:szCs w:val="32"/>
          <w:lang w:bidi="ar"/>
        </w:rPr>
        <w:t>万元</w:t>
      </w:r>
      <w:r>
        <w:rPr>
          <w:rFonts w:cs="Times New Roman"/>
          <w:color w:val="auto"/>
          <w:szCs w:val="32"/>
          <w:lang w:bidi="ar"/>
        </w:rPr>
        <w:t>。</w:t>
      </w:r>
      <w:r>
        <w:rPr>
          <w:rFonts w:hint="eastAsia" w:ascii="方正仿宋_GBK" w:hAnsi="方正仿宋_GBK" w:cs="方正仿宋_GBK"/>
          <w:color w:val="auto"/>
          <w:szCs w:val="32"/>
          <w:lang w:bidi="ar"/>
        </w:rPr>
        <w:t>主要用于</w:t>
      </w:r>
      <w:r>
        <w:rPr>
          <w:rFonts w:cs="Times New Roman"/>
          <w:color w:val="auto"/>
          <w:szCs w:val="32"/>
          <w:lang w:bidi="ar"/>
        </w:rPr>
        <w:t>：</w:t>
      </w:r>
      <w:r>
        <w:rPr>
          <w:rFonts w:hint="eastAsia" w:cs="Times New Roman"/>
          <w:color w:val="auto"/>
          <w:szCs w:val="32"/>
          <w:lang w:eastAsia="zh-CN" w:bidi="ar"/>
        </w:rPr>
        <w:t>保障农业农村委等单位正常运转及履行职能。强化农业产业升级，打造现代农业示范高地。推进水利建设发展，强化水资源管理，防治水土流失。开展森林防火防虫、河道清理及河长定期巡查等工作。推动乡村全面振兴，强化品牌农业建设，启动全域和美乡村建设，实施农业农村综合改革。</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——交通运输支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1,208</w:t>
      </w:r>
      <w:r>
        <w:rPr>
          <w:rFonts w:hint="default" w:ascii="Times New Roman" w:hAnsi="Times New Roman" w:cs="Times New Roman"/>
          <w:color w:val="auto"/>
          <w:szCs w:val="32"/>
          <w:lang w:bidi="ar"/>
        </w:rPr>
        <w:t>万元</w:t>
      </w:r>
      <w:r>
        <w:rPr>
          <w:rFonts w:cs="Times New Roman"/>
          <w:color w:val="auto"/>
          <w:szCs w:val="32"/>
          <w:lang w:bidi="ar"/>
        </w:rPr>
        <w:t>。主要用于：</w:t>
      </w:r>
      <w:r>
        <w:rPr>
          <w:rFonts w:hint="eastAsia" w:cs="Times New Roman"/>
          <w:color w:val="auto"/>
          <w:szCs w:val="32"/>
          <w:lang w:eastAsia="zh-CN" w:bidi="ar"/>
        </w:rPr>
        <w:t>保障交通运输委等单位正常运转及履行职能。重点支持“畅行交通”“平安交通”建设，实施路面修复养护及路域环境整治，建成投用全区首个非现场治超点。整治铁路、水路安全环境，落实农村客运保险，强化交通执法和行业污染防治，有效维护交通运输行业安全稳定。</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——资源勘探</w:t>
      </w:r>
      <w:r>
        <w:rPr>
          <w:rFonts w:hint="eastAsia" w:cs="Times New Roman"/>
          <w:color w:val="auto"/>
          <w:szCs w:val="32"/>
          <w:lang w:eastAsia="zh-CN" w:bidi="ar"/>
        </w:rPr>
        <w:t>工业</w:t>
      </w:r>
      <w:r>
        <w:rPr>
          <w:rFonts w:cs="Times New Roman"/>
          <w:color w:val="auto"/>
          <w:szCs w:val="32"/>
          <w:lang w:bidi="ar"/>
        </w:rPr>
        <w:t>信息</w:t>
      </w:r>
      <w:r>
        <w:rPr>
          <w:rFonts w:hint="default" w:ascii="Times New Roman" w:hAnsi="Times New Roman" w:cs="Times New Roman"/>
          <w:color w:val="auto"/>
          <w:szCs w:val="32"/>
          <w:lang w:bidi="ar"/>
        </w:rPr>
        <w:t>等支出</w:t>
      </w:r>
      <w:r>
        <w:rPr>
          <w:rFonts w:hint="eastAsia" w:cs="Times New Roman"/>
          <w:color w:val="auto"/>
          <w:szCs w:val="32"/>
          <w:lang w:val="en-US" w:eastAsia="zh-CN" w:bidi="ar"/>
        </w:rPr>
        <w:t>2,738</w:t>
      </w:r>
      <w:r>
        <w:rPr>
          <w:rFonts w:hint="default" w:ascii="Times New Roman" w:hAnsi="Times New Roman" w:cs="Times New Roman"/>
          <w:color w:val="auto"/>
          <w:szCs w:val="32"/>
          <w:lang w:bidi="ar"/>
        </w:rPr>
        <w:t>万</w:t>
      </w:r>
      <w:r>
        <w:rPr>
          <w:rFonts w:cs="Times New Roman"/>
          <w:color w:val="auto"/>
          <w:szCs w:val="32"/>
          <w:lang w:bidi="ar"/>
        </w:rPr>
        <w:t>元。主要用于：</w:t>
      </w:r>
      <w:r>
        <w:rPr>
          <w:rFonts w:hint="eastAsia" w:cs="Times New Roman"/>
          <w:color w:val="auto"/>
          <w:szCs w:val="32"/>
          <w:lang w:eastAsia="zh-CN" w:bidi="ar"/>
        </w:rPr>
        <w:t>助推专精特新“小巨人”等企业能力提升，助力现代生产性服务业市场主体培育及医药工业企业重点品种培育。支持体外诊断试剂生产链项目建设，推动企业智改数转、重大产业技术创新等。</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——商业服务业支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2,635</w:t>
      </w:r>
      <w:r>
        <w:rPr>
          <w:rFonts w:hint="default" w:ascii="Times New Roman" w:hAnsi="Times New Roman" w:cs="Times New Roman"/>
          <w:color w:val="auto"/>
          <w:szCs w:val="32"/>
          <w:lang w:bidi="ar"/>
        </w:rPr>
        <w:t>万元。</w:t>
      </w:r>
      <w:r>
        <w:rPr>
          <w:rFonts w:cs="Times New Roman"/>
          <w:color w:val="auto"/>
          <w:szCs w:val="32"/>
          <w:lang w:bidi="ar"/>
        </w:rPr>
        <w:t>主要用于：</w:t>
      </w:r>
      <w:r>
        <w:rPr>
          <w:rFonts w:hint="eastAsia" w:cs="Times New Roman"/>
          <w:color w:val="auto"/>
          <w:szCs w:val="32"/>
          <w:lang w:eastAsia="zh-CN" w:bidi="ar"/>
        </w:rPr>
        <w:t>支持</w:t>
      </w:r>
      <w:r>
        <w:rPr>
          <w:rFonts w:hint="eastAsia" w:cs="Times New Roman"/>
          <w:color w:val="auto"/>
          <w:szCs w:val="32"/>
          <w:lang w:bidi="ar"/>
        </w:rPr>
        <w:t>市场主体“出海”能力提升计划，成功举办大渡口半程马拉松消费季、重庆小面节、重庆火锅节</w:t>
      </w:r>
      <w:r>
        <w:rPr>
          <w:rFonts w:hint="eastAsia" w:cs="Times New Roman"/>
          <w:color w:val="auto"/>
          <w:szCs w:val="32"/>
          <w:lang w:eastAsia="zh-CN" w:bidi="ar"/>
        </w:rPr>
        <w:t>。</w:t>
      </w:r>
      <w:r>
        <w:rPr>
          <w:rFonts w:hint="eastAsia" w:cs="Times New Roman"/>
          <w:color w:val="auto"/>
          <w:szCs w:val="32"/>
          <w:lang w:bidi="ar"/>
        </w:rPr>
        <w:t>开展消费品以旧换新活动</w:t>
      </w:r>
      <w:r>
        <w:rPr>
          <w:rFonts w:hint="eastAsia" w:cs="Times New Roman"/>
          <w:color w:val="auto"/>
          <w:szCs w:val="32"/>
          <w:lang w:eastAsia="zh-CN" w:bidi="ar"/>
        </w:rPr>
        <w:t>，</w:t>
      </w:r>
      <w:r>
        <w:rPr>
          <w:rFonts w:hint="eastAsia" w:cs="Times New Roman"/>
          <w:color w:val="auto"/>
          <w:szCs w:val="32"/>
          <w:lang w:bidi="ar"/>
        </w:rPr>
        <w:t>支持淘小胖超市、渝缅航空等项目落地</w:t>
      </w:r>
      <w:r>
        <w:rPr>
          <w:rFonts w:hint="eastAsia" w:cs="Times New Roman"/>
          <w:color w:val="auto"/>
          <w:szCs w:val="32"/>
          <w:lang w:eastAsia="zh-CN" w:bidi="ar"/>
        </w:rPr>
        <w:t>，</w:t>
      </w:r>
      <w:r>
        <w:rPr>
          <w:rFonts w:hint="eastAsia" w:cs="Times New Roman"/>
          <w:color w:val="auto"/>
          <w:szCs w:val="32"/>
          <w:lang w:bidi="ar"/>
        </w:rPr>
        <w:t>促进区域商业扩容提质发展。</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cs="Times New Roman"/>
          <w:color w:val="auto"/>
          <w:szCs w:val="32"/>
          <w:lang w:bidi="ar"/>
        </w:rPr>
      </w:pPr>
      <w:r>
        <w:rPr>
          <w:rFonts w:cs="Times New Roman"/>
          <w:color w:val="auto"/>
          <w:szCs w:val="32"/>
          <w:lang w:bidi="ar"/>
        </w:rPr>
        <w:t>——住房保障支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61,209</w:t>
      </w:r>
      <w:r>
        <w:rPr>
          <w:rFonts w:hint="default" w:ascii="Times New Roman" w:hAnsi="Times New Roman" w:cs="Times New Roman"/>
          <w:color w:val="auto"/>
          <w:szCs w:val="32"/>
          <w:lang w:bidi="ar"/>
        </w:rPr>
        <w:t>万元。主要用于</w:t>
      </w:r>
      <w:r>
        <w:rPr>
          <w:rFonts w:cs="Times New Roman"/>
          <w:color w:val="auto"/>
          <w:szCs w:val="32"/>
          <w:lang w:bidi="ar"/>
        </w:rPr>
        <w:t>：</w:t>
      </w:r>
      <w:r>
        <w:rPr>
          <w:rFonts w:hint="eastAsia" w:cs="Times New Roman"/>
          <w:color w:val="auto"/>
          <w:szCs w:val="32"/>
          <w:lang w:eastAsia="zh-CN" w:bidi="ar"/>
        </w:rPr>
        <w:t>保障城中村改造、老旧小区改造、配售型保障性住房建设等方面支出。稳步实施住房公积金、住房补贴、住房租赁补贴等政策，强化对新市民、青年人等群体的住房保障。系统推进廉租房常态化维护管理，消除保障性住房安全隐患。加快配售型保障性住房建设步伐，完善多层次住房保障供给体系。持续深化棚户区改造、城中村改造以及老旧小区整治提升工作，重点推进五一互助、民新民乐片区城中村改造项目实施，配套建设安置房工程，有效落实居民安置需求。</w:t>
      </w:r>
    </w:p>
    <w:p>
      <w:pPr>
        <w:keepNext w:val="0"/>
        <w:keepLines w:val="0"/>
        <w:pageBreakBefore w:val="0"/>
        <w:widowControl w:val="0"/>
        <w:kinsoku/>
        <w:wordWrap/>
        <w:overflowPunct/>
        <w:topLinePunct w:val="0"/>
        <w:autoSpaceDN/>
        <w:bidi w:val="0"/>
        <w:adjustRightInd/>
        <w:snapToGrid/>
        <w:spacing w:after="0"/>
        <w:ind w:firstLine="640"/>
        <w:textAlignment w:val="auto"/>
        <w:outlineLvl w:val="9"/>
        <w:rPr>
          <w:rFonts w:eastAsia="方正楷体_GBK" w:cs="方正楷体_GBK"/>
          <w:color w:val="auto"/>
          <w:szCs w:val="32"/>
        </w:rPr>
      </w:pPr>
      <w:r>
        <w:rPr>
          <w:rFonts w:hint="eastAsia" w:eastAsia="方正楷体_GBK" w:cs="方正楷体_GBK"/>
          <w:color w:val="auto"/>
          <w:szCs w:val="32"/>
        </w:rPr>
        <w:t>（二）政府性基金预算执行情况</w:t>
      </w:r>
    </w:p>
    <w:p>
      <w:pPr>
        <w:keepNext w:val="0"/>
        <w:keepLines w:val="0"/>
        <w:pageBreakBefore w:val="0"/>
        <w:widowControl w:val="0"/>
        <w:kinsoku/>
        <w:wordWrap/>
        <w:overflowPunct/>
        <w:topLinePunct w:val="0"/>
        <w:autoSpaceDN/>
        <w:bidi w:val="0"/>
        <w:adjustRightInd/>
        <w:snapToGrid/>
        <w:spacing w:after="0"/>
        <w:ind w:firstLine="643"/>
        <w:textAlignment w:val="auto"/>
        <w:outlineLvl w:val="9"/>
        <w:rPr>
          <w:rFonts w:hint="default" w:ascii="Times New Roman" w:hAnsi="Times New Roman" w:cs="Times New Roman"/>
          <w:color w:val="auto"/>
          <w:szCs w:val="32"/>
        </w:rPr>
      </w:pPr>
      <w:r>
        <w:rPr>
          <w:rFonts w:cs="Times New Roman"/>
          <w:b/>
          <w:bCs/>
          <w:color w:val="auto"/>
          <w:szCs w:val="32"/>
        </w:rPr>
        <w:t>1.收入执行情况。</w:t>
      </w:r>
      <w:r>
        <w:rPr>
          <w:rFonts w:cs="Times New Roman"/>
          <w:color w:val="auto"/>
          <w:szCs w:val="32"/>
        </w:rPr>
        <w:t>收入</w:t>
      </w:r>
      <w:r>
        <w:rPr>
          <w:rFonts w:hint="default" w:ascii="Times New Roman" w:hAnsi="Times New Roman" w:cs="Times New Roman"/>
          <w:color w:val="auto"/>
          <w:szCs w:val="32"/>
        </w:rPr>
        <w:t>总计</w:t>
      </w:r>
      <w:r>
        <w:rPr>
          <w:rFonts w:hint="default" w:ascii="Times New Roman" w:hAnsi="Times New Roman" w:cs="Times New Roman"/>
          <w:color w:val="auto"/>
          <w:szCs w:val="32"/>
          <w:lang w:val="en-US" w:eastAsia="zh-CN"/>
        </w:rPr>
        <w:t>1,043,97</w:t>
      </w:r>
      <w:r>
        <w:rPr>
          <w:rFonts w:hint="eastAsia" w:cs="Times New Roman"/>
          <w:color w:val="auto"/>
          <w:szCs w:val="32"/>
          <w:lang w:val="en-US" w:eastAsia="zh-CN"/>
        </w:rPr>
        <w:t>4</w:t>
      </w:r>
      <w:r>
        <w:rPr>
          <w:rFonts w:hint="default" w:ascii="Times New Roman" w:hAnsi="Times New Roman" w:cs="Times New Roman"/>
          <w:color w:val="auto"/>
          <w:szCs w:val="32"/>
        </w:rPr>
        <w:t>万元，具体组成：本级收入</w:t>
      </w:r>
      <w:r>
        <w:rPr>
          <w:rFonts w:hint="default" w:ascii="Times New Roman" w:hAnsi="Times New Roman" w:cs="Times New Roman"/>
          <w:color w:val="auto"/>
          <w:szCs w:val="32"/>
          <w:lang w:val="en-US" w:eastAsia="zh-CN"/>
        </w:rPr>
        <w:t>39</w:t>
      </w:r>
      <w:r>
        <w:rPr>
          <w:rFonts w:hint="default" w:ascii="Times New Roman" w:hAnsi="Times New Roman" w:cs="Times New Roman"/>
          <w:color w:val="auto"/>
          <w:szCs w:val="32"/>
        </w:rPr>
        <w:t>万元；上级补助收入677,35</w:t>
      </w:r>
      <w:r>
        <w:rPr>
          <w:rFonts w:hint="eastAsia" w:cs="Times New Roman"/>
          <w:color w:val="auto"/>
          <w:szCs w:val="32"/>
          <w:lang w:val="en-US" w:eastAsia="zh-CN"/>
        </w:rPr>
        <w:t>3</w:t>
      </w:r>
      <w:r>
        <w:rPr>
          <w:rFonts w:hint="eastAsia" w:cs="Times New Roman"/>
          <w:color w:val="auto"/>
          <w:szCs w:val="32"/>
          <w:lang w:eastAsia="zh-CN"/>
        </w:rPr>
        <w:t>万</w:t>
      </w:r>
      <w:r>
        <w:rPr>
          <w:rFonts w:hint="default" w:ascii="Times New Roman" w:hAnsi="Times New Roman" w:cs="Times New Roman"/>
          <w:color w:val="auto"/>
          <w:szCs w:val="32"/>
        </w:rPr>
        <w:t>元；债务转贷收入345,200万元；上年结转</w:t>
      </w:r>
      <w:r>
        <w:rPr>
          <w:rFonts w:hint="default" w:ascii="Times New Roman" w:hAnsi="Times New Roman" w:cs="Times New Roman"/>
          <w:color w:val="auto"/>
          <w:szCs w:val="32"/>
          <w:lang w:val="en-US" w:eastAsia="zh-CN"/>
        </w:rPr>
        <w:t>21,382</w:t>
      </w:r>
      <w:r>
        <w:rPr>
          <w:rFonts w:hint="default" w:ascii="Times New Roman" w:hAnsi="Times New Roman" w:cs="Times New Roman"/>
          <w:color w:val="auto"/>
          <w:szCs w:val="32"/>
        </w:rPr>
        <w:t>万元。</w:t>
      </w:r>
    </w:p>
    <w:p>
      <w:pPr>
        <w:keepNext w:val="0"/>
        <w:keepLines w:val="0"/>
        <w:pageBreakBefore w:val="0"/>
        <w:widowControl w:val="0"/>
        <w:kinsoku/>
        <w:wordWrap/>
        <w:overflowPunct/>
        <w:topLinePunct w:val="0"/>
        <w:autoSpaceDN/>
        <w:bidi w:val="0"/>
        <w:adjustRightInd/>
        <w:snapToGrid/>
        <w:spacing w:after="0"/>
        <w:ind w:firstLine="643"/>
        <w:textAlignment w:val="auto"/>
        <w:outlineLvl w:val="9"/>
        <w:rPr>
          <w:rFonts w:hint="default" w:ascii="Times New Roman" w:hAnsi="Times New Roman" w:cs="Times New Roman"/>
          <w:color w:val="auto"/>
          <w:szCs w:val="32"/>
        </w:rPr>
      </w:pPr>
      <w:r>
        <w:rPr>
          <w:rFonts w:cs="Times New Roman"/>
          <w:b/>
          <w:bCs/>
          <w:color w:val="auto"/>
          <w:szCs w:val="32"/>
        </w:rPr>
        <w:t>2.支出执行情况。</w:t>
      </w:r>
      <w:r>
        <w:rPr>
          <w:rFonts w:cs="Times New Roman"/>
          <w:color w:val="auto"/>
          <w:szCs w:val="32"/>
        </w:rPr>
        <w:t>支出总</w:t>
      </w:r>
      <w:r>
        <w:rPr>
          <w:rFonts w:hint="default" w:ascii="Times New Roman" w:hAnsi="Times New Roman" w:cs="Times New Roman"/>
          <w:color w:val="auto"/>
          <w:szCs w:val="32"/>
        </w:rPr>
        <w:t>计</w:t>
      </w:r>
      <w:r>
        <w:rPr>
          <w:rFonts w:hint="default" w:ascii="Times New Roman" w:hAnsi="Times New Roman" w:cs="Times New Roman"/>
          <w:color w:val="auto"/>
          <w:szCs w:val="32"/>
          <w:lang w:val="en-US" w:eastAsia="zh-CN"/>
        </w:rPr>
        <w:t>1,043,97</w:t>
      </w:r>
      <w:r>
        <w:rPr>
          <w:rFonts w:hint="eastAsia" w:cs="Times New Roman"/>
          <w:color w:val="auto"/>
          <w:szCs w:val="32"/>
          <w:lang w:val="en-US" w:eastAsia="zh-CN"/>
        </w:rPr>
        <w:t>4</w:t>
      </w:r>
      <w:r>
        <w:rPr>
          <w:rFonts w:hint="default" w:ascii="Times New Roman" w:hAnsi="Times New Roman" w:cs="Times New Roman"/>
          <w:color w:val="auto"/>
          <w:szCs w:val="32"/>
        </w:rPr>
        <w:t>万元，具体组成：本级支出</w:t>
      </w:r>
      <w:r>
        <w:rPr>
          <w:rFonts w:hint="default" w:ascii="Times New Roman" w:hAnsi="Times New Roman" w:cs="Times New Roman"/>
          <w:color w:val="auto"/>
          <w:szCs w:val="32"/>
          <w:lang w:val="en-US" w:eastAsia="zh-CN"/>
        </w:rPr>
        <w:t>680,319</w:t>
      </w:r>
      <w:r>
        <w:rPr>
          <w:rFonts w:hint="default" w:ascii="Times New Roman" w:hAnsi="Times New Roman" w:cs="Times New Roman"/>
          <w:color w:val="auto"/>
          <w:szCs w:val="32"/>
        </w:rPr>
        <w:t>万元；上解上级支出</w:t>
      </w:r>
      <w:r>
        <w:rPr>
          <w:rFonts w:hint="eastAsia" w:cs="Times New Roman"/>
          <w:color w:val="auto"/>
          <w:szCs w:val="32"/>
          <w:lang w:val="en-US" w:eastAsia="zh-CN"/>
        </w:rPr>
        <w:t>287</w:t>
      </w:r>
      <w:r>
        <w:rPr>
          <w:rFonts w:hint="default" w:ascii="Times New Roman" w:hAnsi="Times New Roman" w:cs="Times New Roman"/>
          <w:color w:val="auto"/>
          <w:szCs w:val="32"/>
        </w:rPr>
        <w:t>万元；调出资金</w:t>
      </w:r>
      <w:r>
        <w:rPr>
          <w:rFonts w:hint="default" w:ascii="Times New Roman" w:hAnsi="Times New Roman" w:cs="Times New Roman"/>
          <w:color w:val="auto"/>
          <w:szCs w:val="32"/>
          <w:lang w:val="en-US" w:eastAsia="zh-CN"/>
        </w:rPr>
        <w:t>122,03</w:t>
      </w:r>
      <w:r>
        <w:rPr>
          <w:rFonts w:hint="eastAsia" w:cs="Times New Roman"/>
          <w:color w:val="auto"/>
          <w:szCs w:val="32"/>
          <w:lang w:val="en-US" w:eastAsia="zh-CN"/>
        </w:rPr>
        <w:t>3</w:t>
      </w:r>
      <w:r>
        <w:rPr>
          <w:rFonts w:hint="default" w:ascii="Times New Roman" w:hAnsi="Times New Roman" w:cs="Times New Roman"/>
          <w:color w:val="auto"/>
          <w:szCs w:val="32"/>
        </w:rPr>
        <w:t>万元；债务还本支出164,300万元；结转下年</w:t>
      </w:r>
      <w:r>
        <w:rPr>
          <w:rFonts w:hint="default" w:ascii="Times New Roman" w:hAnsi="Times New Roman" w:cs="Times New Roman"/>
          <w:color w:val="auto"/>
          <w:szCs w:val="32"/>
          <w:lang w:val="en-US" w:eastAsia="zh-CN"/>
        </w:rPr>
        <w:t>77,035</w:t>
      </w:r>
      <w:r>
        <w:rPr>
          <w:rFonts w:hint="default" w:ascii="Times New Roman" w:hAnsi="Times New Roman" w:cs="Times New Roman"/>
          <w:color w:val="auto"/>
          <w:szCs w:val="32"/>
        </w:rPr>
        <w:t>万元。</w:t>
      </w:r>
    </w:p>
    <w:p>
      <w:pPr>
        <w:spacing w:after="0"/>
        <w:ind w:firstLine="640"/>
        <w:rPr>
          <w:rFonts w:cs="Times New Roman"/>
          <w:color w:val="auto"/>
          <w:szCs w:val="32"/>
        </w:rPr>
      </w:pPr>
      <w:r>
        <w:rPr>
          <w:rFonts w:cs="Times New Roman"/>
          <w:color w:val="auto"/>
          <w:szCs w:val="32"/>
        </w:rPr>
        <w:t>政府性基金</w:t>
      </w:r>
      <w:r>
        <w:rPr>
          <w:rFonts w:hint="eastAsia" w:cs="Times New Roman"/>
          <w:color w:val="auto"/>
          <w:szCs w:val="32"/>
        </w:rPr>
        <w:t>预算本级</w:t>
      </w:r>
      <w:r>
        <w:rPr>
          <w:rFonts w:cs="Times New Roman"/>
          <w:color w:val="auto"/>
          <w:szCs w:val="32"/>
        </w:rPr>
        <w:t>支出主要方向：</w:t>
      </w:r>
    </w:p>
    <w:p>
      <w:pPr>
        <w:spacing w:after="0"/>
        <w:ind w:firstLine="640"/>
        <w:rPr>
          <w:rFonts w:cs="Times New Roman"/>
          <w:color w:val="auto"/>
          <w:szCs w:val="32"/>
          <w:lang w:bidi="ar"/>
        </w:rPr>
      </w:pPr>
      <w:r>
        <w:rPr>
          <w:rFonts w:cs="Times New Roman"/>
          <w:color w:val="auto"/>
          <w:szCs w:val="32"/>
          <w:lang w:bidi="ar"/>
        </w:rPr>
        <w:t>——城乡社区支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497,581</w:t>
      </w:r>
      <w:r>
        <w:rPr>
          <w:rFonts w:hint="default" w:ascii="Times New Roman" w:hAnsi="Times New Roman" w:cs="Times New Roman"/>
          <w:color w:val="auto"/>
          <w:szCs w:val="32"/>
          <w:lang w:bidi="ar"/>
        </w:rPr>
        <w:t>万元。主要用</w:t>
      </w:r>
      <w:r>
        <w:rPr>
          <w:rFonts w:cs="Times New Roman"/>
          <w:color w:val="auto"/>
          <w:szCs w:val="32"/>
          <w:lang w:bidi="ar"/>
        </w:rPr>
        <w:t>于：</w:t>
      </w:r>
      <w:r>
        <w:rPr>
          <w:rFonts w:hint="eastAsia" w:cs="Times New Roman"/>
          <w:color w:val="auto"/>
          <w:szCs w:val="32"/>
          <w:lang w:eastAsia="zh-CN" w:bidi="ar"/>
        </w:rPr>
        <w:t>稳步推进征地拆迁及基础设施建设，重点推进市区共建项目、建桥C区拓展区等征地拆迁任务，确保项目按计划实施。实施工业用地收储工作，优化土地资源配置。支持妇幼保健院、白居寺公园、排水管网整治等重点项目建设，提升公共服务与基础设施保障水平。统筹做好存量债务化解工作，防范和化解财政金融风险，保障区域发展稳健运行。</w:t>
      </w:r>
    </w:p>
    <w:p>
      <w:pPr>
        <w:spacing w:after="0"/>
        <w:ind w:firstLine="640"/>
        <w:rPr>
          <w:rFonts w:eastAsia="仿宋" w:cs="Times New Roman"/>
          <w:color w:val="auto"/>
          <w:szCs w:val="32"/>
        </w:rPr>
      </w:pPr>
      <w:r>
        <w:rPr>
          <w:rFonts w:cs="Times New Roman"/>
          <w:color w:val="auto"/>
          <w:szCs w:val="32"/>
          <w:lang w:bidi="ar"/>
        </w:rPr>
        <w:t>——其他支</w:t>
      </w:r>
      <w:r>
        <w:rPr>
          <w:rFonts w:hint="default" w:ascii="Times New Roman" w:hAnsi="Times New Roman" w:cs="Times New Roman"/>
          <w:color w:val="auto"/>
          <w:szCs w:val="32"/>
          <w:lang w:bidi="ar"/>
        </w:rPr>
        <w:t>出</w:t>
      </w:r>
      <w:r>
        <w:rPr>
          <w:rFonts w:hint="eastAsia" w:cs="Times New Roman"/>
          <w:color w:val="auto"/>
          <w:szCs w:val="32"/>
          <w:lang w:val="en-US" w:eastAsia="zh-CN" w:bidi="ar"/>
        </w:rPr>
        <w:t>159,752</w:t>
      </w:r>
      <w:r>
        <w:rPr>
          <w:rFonts w:hint="default" w:ascii="Times New Roman" w:hAnsi="Times New Roman" w:cs="Times New Roman"/>
          <w:color w:val="auto"/>
          <w:szCs w:val="32"/>
          <w:lang w:bidi="ar"/>
        </w:rPr>
        <w:t>万元。主要用</w:t>
      </w:r>
      <w:r>
        <w:rPr>
          <w:rFonts w:cs="Times New Roman"/>
          <w:color w:val="auto"/>
          <w:szCs w:val="32"/>
          <w:lang w:bidi="ar"/>
        </w:rPr>
        <w:t>于：</w:t>
      </w:r>
      <w:r>
        <w:rPr>
          <w:rFonts w:hint="eastAsia" w:ascii="Times New Roman" w:hAnsi="Times New Roman" w:eastAsia="方正仿宋_GBK" w:cs="Times New Roman"/>
          <w:i w:val="0"/>
          <w:iCs w:val="0"/>
          <w:caps w:val="0"/>
          <w:color w:val="auto"/>
          <w:spacing w:val="0"/>
          <w:sz w:val="32"/>
          <w:szCs w:val="32"/>
          <w:shd w:val="clear" w:fill="auto"/>
          <w:lang w:bidi="ar"/>
        </w:rPr>
        <w:t>支持城中村改造及存量债务化解。支持沙沱片区、五一互助及民新民乐片区城中村改造，加快推进征迁安置及基础设施建设。支持公共医疗卫生体系提升建设，构建“一院三区一中心”公共医疗卫生体系，持续提升全区医疗卫生服务均等化、专业化水平。支持产教融合基地建设，搭建实践教学、技术研发与技能培训一体化平台。</w:t>
      </w:r>
    </w:p>
    <w:p>
      <w:pPr>
        <w:spacing w:after="0"/>
        <w:ind w:firstLine="640"/>
        <w:rPr>
          <w:rFonts w:eastAsia="方正楷体_GBK" w:cs="方正楷体_GBK"/>
          <w:color w:val="auto"/>
          <w:szCs w:val="32"/>
        </w:rPr>
      </w:pPr>
      <w:r>
        <w:rPr>
          <w:rFonts w:hint="eastAsia" w:eastAsia="方正楷体_GBK" w:cs="方正楷体_GBK"/>
          <w:color w:val="auto"/>
          <w:szCs w:val="32"/>
        </w:rPr>
        <w:t>（三）国有资本经营预算执行情况</w:t>
      </w:r>
    </w:p>
    <w:p>
      <w:pPr>
        <w:spacing w:beforeLines="0" w:after="0" w:line="594" w:lineRule="exact"/>
        <w:ind w:firstLine="643"/>
        <w:rPr>
          <w:rFonts w:hint="default" w:ascii="Times New Roman" w:hAnsi="Times New Roman" w:cs="Times New Roman"/>
          <w:color w:val="auto"/>
          <w:szCs w:val="32"/>
        </w:rPr>
      </w:pPr>
      <w:r>
        <w:rPr>
          <w:rFonts w:cs="Times New Roman"/>
          <w:b/>
          <w:bCs/>
          <w:color w:val="auto"/>
          <w:szCs w:val="32"/>
        </w:rPr>
        <w:t>1.收入执行情况。</w:t>
      </w:r>
      <w:r>
        <w:rPr>
          <w:rFonts w:cs="Times New Roman"/>
          <w:color w:val="auto"/>
          <w:szCs w:val="32"/>
        </w:rPr>
        <w:t>收入总</w:t>
      </w:r>
      <w:r>
        <w:rPr>
          <w:rFonts w:hint="default" w:ascii="Times New Roman" w:hAnsi="Times New Roman" w:cs="Times New Roman"/>
          <w:color w:val="auto"/>
          <w:szCs w:val="32"/>
        </w:rPr>
        <w:t>计13,114万元，具体组成：本级收入</w:t>
      </w:r>
      <w:r>
        <w:rPr>
          <w:rFonts w:hint="default" w:ascii="Times New Roman" w:hAnsi="Times New Roman" w:cs="Times New Roman"/>
          <w:color w:val="auto"/>
          <w:szCs w:val="32"/>
          <w:lang w:val="en-US" w:eastAsia="zh-CN"/>
        </w:rPr>
        <w:t>12,653</w:t>
      </w:r>
      <w:r>
        <w:rPr>
          <w:rFonts w:hint="default" w:ascii="Times New Roman" w:hAnsi="Times New Roman" w:cs="Times New Roman"/>
          <w:color w:val="auto"/>
          <w:szCs w:val="32"/>
        </w:rPr>
        <w:t>万元，完成预算的</w:t>
      </w:r>
      <w:r>
        <w:rPr>
          <w:rFonts w:cs="Times New Roman"/>
          <w:color w:val="auto"/>
          <w:szCs w:val="32"/>
        </w:rPr>
        <w:t>100</w:t>
      </w:r>
      <w:r>
        <w:rPr>
          <w:rFonts w:hint="default" w:ascii="Times New Roman" w:hAnsi="Times New Roman" w:cs="Times New Roman"/>
          <w:color w:val="auto"/>
          <w:szCs w:val="32"/>
        </w:rPr>
        <w:t>%；上级补助收入230万元</w:t>
      </w:r>
      <w:r>
        <w:rPr>
          <w:rFonts w:hint="eastAsia" w:cs="Times New Roman"/>
          <w:color w:val="auto"/>
          <w:szCs w:val="32"/>
          <w:lang w:eastAsia="zh-CN"/>
        </w:rPr>
        <w:t>；</w:t>
      </w:r>
      <w:r>
        <w:rPr>
          <w:rFonts w:hint="eastAsia" w:cs="Times New Roman"/>
          <w:color w:val="auto"/>
          <w:szCs w:val="32"/>
          <w:lang w:val="en-US" w:eastAsia="zh-CN"/>
        </w:rPr>
        <w:t>上年结转231万元</w:t>
      </w:r>
      <w:r>
        <w:rPr>
          <w:rFonts w:hint="default" w:ascii="Times New Roman" w:hAnsi="Times New Roman" w:cs="Times New Roman"/>
          <w:color w:val="auto"/>
          <w:szCs w:val="32"/>
        </w:rPr>
        <w:t>。</w:t>
      </w:r>
    </w:p>
    <w:p>
      <w:pPr>
        <w:spacing w:beforeLines="0" w:after="0" w:line="594" w:lineRule="exact"/>
        <w:ind w:firstLine="643"/>
        <w:rPr>
          <w:rFonts w:hint="default" w:ascii="Times New Roman" w:hAnsi="Times New Roman" w:cs="Times New Roman"/>
          <w:color w:val="auto"/>
          <w:szCs w:val="32"/>
        </w:rPr>
      </w:pPr>
      <w:r>
        <w:rPr>
          <w:rFonts w:cs="Times New Roman"/>
          <w:b/>
          <w:bCs/>
          <w:color w:val="auto"/>
          <w:szCs w:val="32"/>
        </w:rPr>
        <w:t>2.支出执行情况。</w:t>
      </w:r>
      <w:r>
        <w:rPr>
          <w:rFonts w:cs="Times New Roman"/>
          <w:color w:val="auto"/>
          <w:szCs w:val="32"/>
        </w:rPr>
        <w:t>支出总</w:t>
      </w:r>
      <w:r>
        <w:rPr>
          <w:rFonts w:hint="default" w:ascii="Times New Roman" w:hAnsi="Times New Roman" w:cs="Times New Roman"/>
          <w:color w:val="auto"/>
          <w:szCs w:val="32"/>
        </w:rPr>
        <w:t>计13,114万元，具体组成：本级支出12,653万元，调出资金</w:t>
      </w:r>
      <w:r>
        <w:rPr>
          <w:rFonts w:hint="eastAsia" w:cs="Times New Roman"/>
          <w:color w:val="auto"/>
          <w:szCs w:val="32"/>
          <w:lang w:val="en-US" w:eastAsia="zh-CN"/>
        </w:rPr>
        <w:t>231</w:t>
      </w:r>
      <w:r>
        <w:rPr>
          <w:rFonts w:hint="default" w:ascii="Times New Roman" w:hAnsi="Times New Roman" w:cs="Times New Roman"/>
          <w:color w:val="auto"/>
          <w:szCs w:val="32"/>
        </w:rPr>
        <w:t>万元，结转下年</w:t>
      </w:r>
      <w:r>
        <w:rPr>
          <w:rFonts w:hint="eastAsia" w:cs="Times New Roman"/>
          <w:color w:val="auto"/>
          <w:szCs w:val="32"/>
          <w:lang w:val="en-US" w:eastAsia="zh-CN"/>
        </w:rPr>
        <w:t>230</w:t>
      </w:r>
      <w:r>
        <w:rPr>
          <w:rFonts w:hint="default" w:ascii="Times New Roman" w:hAnsi="Times New Roman" w:cs="Times New Roman"/>
          <w:color w:val="auto"/>
          <w:szCs w:val="32"/>
        </w:rPr>
        <w:t>万元。本级支出主要用于</w:t>
      </w:r>
      <w:r>
        <w:rPr>
          <w:rFonts w:hint="eastAsia" w:cs="Times New Roman"/>
          <w:color w:val="auto"/>
          <w:szCs w:val="32"/>
          <w:lang w:eastAsia="zh-CN"/>
        </w:rPr>
        <w:t>区属</w:t>
      </w:r>
      <w:r>
        <w:rPr>
          <w:rFonts w:hint="default" w:ascii="Times New Roman" w:hAnsi="Times New Roman" w:cs="Times New Roman"/>
          <w:color w:val="auto"/>
          <w:szCs w:val="32"/>
        </w:rPr>
        <w:t>国有企业注资。</w:t>
      </w:r>
    </w:p>
    <w:p>
      <w:pPr>
        <w:pStyle w:val="8"/>
        <w:spacing w:before="0" w:beforeLines="0" w:after="0" w:line="594" w:lineRule="exact"/>
        <w:ind w:firstLine="640"/>
        <w:rPr>
          <w:rFonts w:eastAsia="方正楷体_GBK" w:cs="方正楷体_GBK"/>
          <w:color w:val="auto"/>
          <w:szCs w:val="32"/>
        </w:rPr>
      </w:pPr>
      <w:r>
        <w:rPr>
          <w:rFonts w:hint="eastAsia" w:eastAsia="方正楷体_GBK" w:cs="方正楷体_GBK"/>
          <w:color w:val="auto"/>
          <w:szCs w:val="32"/>
        </w:rPr>
        <w:t>（四）地方政府债务限额及余额情况</w:t>
      </w:r>
    </w:p>
    <w:p>
      <w:pPr>
        <w:pStyle w:val="8"/>
        <w:spacing w:after="0"/>
        <w:ind w:firstLine="643"/>
        <w:rPr>
          <w:rFonts w:eastAsia="方正仿宋_GBK"/>
          <w:color w:val="auto"/>
          <w:szCs w:val="32"/>
        </w:rPr>
      </w:pPr>
      <w:r>
        <w:rPr>
          <w:rFonts w:eastAsia="方正仿宋_GBK"/>
          <w:b/>
          <w:bCs/>
          <w:color w:val="auto"/>
          <w:szCs w:val="32"/>
        </w:rPr>
        <w:t>1.举</w:t>
      </w:r>
      <w:r>
        <w:rPr>
          <w:rFonts w:hint="eastAsia" w:eastAsia="方正仿宋_GBK"/>
          <w:b/>
          <w:bCs/>
          <w:color w:val="auto"/>
          <w:szCs w:val="32"/>
        </w:rPr>
        <w:t>借</w:t>
      </w:r>
      <w:r>
        <w:rPr>
          <w:rFonts w:eastAsia="方正仿宋_GBK"/>
          <w:b/>
          <w:bCs/>
          <w:color w:val="auto"/>
          <w:szCs w:val="32"/>
        </w:rPr>
        <w:t>规模和结构。</w:t>
      </w:r>
      <w:r>
        <w:rPr>
          <w:rFonts w:eastAsia="方正仿宋_GBK"/>
          <w:b w:val="0"/>
          <w:bCs w:val="0"/>
          <w:color w:val="auto"/>
          <w:szCs w:val="32"/>
        </w:rPr>
        <w:t>2025年，全区政府债务限额174.36亿元，其中：一般债务限额77.68亿元，专项债务限额96.68亿元</w:t>
      </w:r>
      <w:r>
        <w:rPr>
          <w:rFonts w:hint="eastAsia" w:eastAsia="方正仿宋_GBK"/>
          <w:color w:val="auto"/>
          <w:szCs w:val="32"/>
        </w:rPr>
        <w:t>。全区政府债务余额174.</w:t>
      </w:r>
      <w:r>
        <w:rPr>
          <w:rFonts w:hint="eastAsia" w:eastAsia="方正仿宋_GBK"/>
          <w:color w:val="auto"/>
          <w:szCs w:val="32"/>
          <w:lang w:val="en-US" w:eastAsia="zh-CN"/>
        </w:rPr>
        <w:t>36</w:t>
      </w:r>
      <w:r>
        <w:rPr>
          <w:rFonts w:hint="eastAsia" w:eastAsia="方正仿宋_GBK"/>
          <w:color w:val="auto"/>
          <w:szCs w:val="32"/>
        </w:rPr>
        <w:t>亿元，其中：一般债务余额7</w:t>
      </w:r>
      <w:r>
        <w:rPr>
          <w:rFonts w:hint="eastAsia" w:eastAsia="方正仿宋_GBK"/>
          <w:color w:val="auto"/>
          <w:szCs w:val="32"/>
          <w:lang w:val="en-US" w:eastAsia="zh-CN"/>
        </w:rPr>
        <w:t>7.68</w:t>
      </w:r>
      <w:r>
        <w:rPr>
          <w:rFonts w:hint="eastAsia" w:eastAsia="方正仿宋_GBK"/>
          <w:color w:val="auto"/>
          <w:szCs w:val="32"/>
        </w:rPr>
        <w:t>亿元，专项债务余额96.68亿元，政府债务余额控制在核定限额之内。按照财政部政府债务风险评估办法计算，全区2025年政府债务率为</w:t>
      </w:r>
      <w:r>
        <w:rPr>
          <w:rFonts w:hint="eastAsia" w:eastAsia="方正仿宋_GBK"/>
          <w:color w:val="auto"/>
          <w:szCs w:val="32"/>
          <w:lang w:val="en-US" w:eastAsia="zh-CN"/>
        </w:rPr>
        <w:t>165.5</w:t>
      </w:r>
      <w:r>
        <w:rPr>
          <w:rFonts w:hint="default" w:ascii="Times New Roman" w:hAnsi="Times New Roman" w:eastAsia="方正仿宋_GBK" w:cs="Times New Roman"/>
          <w:color w:val="auto"/>
          <w:szCs w:val="32"/>
        </w:rPr>
        <w:t>%</w:t>
      </w:r>
      <w:r>
        <w:rPr>
          <w:rFonts w:hint="eastAsia" w:eastAsia="方正仿宋_GBK"/>
          <w:color w:val="auto"/>
          <w:szCs w:val="32"/>
        </w:rPr>
        <w:t>，风险总体可控。</w:t>
      </w:r>
    </w:p>
    <w:p>
      <w:pPr>
        <w:pStyle w:val="8"/>
        <w:keepNext w:val="0"/>
        <w:keepLines w:val="0"/>
        <w:pageBreakBefore w:val="0"/>
        <w:widowControl w:val="0"/>
        <w:kinsoku/>
        <w:wordWrap/>
        <w:overflowPunct/>
        <w:topLinePunct w:val="0"/>
        <w:autoSpaceDE/>
        <w:autoSpaceDN/>
        <w:bidi w:val="0"/>
        <w:adjustRightInd/>
        <w:snapToGrid/>
        <w:spacing w:after="0"/>
        <w:ind w:firstLine="643"/>
        <w:textAlignment w:val="auto"/>
        <w:outlineLvl w:val="9"/>
        <w:rPr>
          <w:rFonts w:hint="eastAsia" w:eastAsia="方正仿宋_GBK"/>
          <w:color w:val="auto"/>
          <w:szCs w:val="32"/>
        </w:rPr>
      </w:pPr>
      <w:r>
        <w:rPr>
          <w:rFonts w:eastAsia="方正仿宋_GBK"/>
          <w:b/>
          <w:bCs/>
          <w:color w:val="auto"/>
          <w:szCs w:val="32"/>
        </w:rPr>
        <w:t>2.使用情况。</w:t>
      </w:r>
      <w:r>
        <w:rPr>
          <w:rFonts w:hint="eastAsia" w:eastAsia="方正仿宋_GBK"/>
          <w:color w:val="auto"/>
          <w:szCs w:val="32"/>
        </w:rPr>
        <w:t>2025年，全区争取政府债券63.65亿元。其中：新增债券16.94亿元、再融资债券43.36亿元、存量政府投资项目收尾的专项债券3.35亿元。新增债券主要用于：支持改善办学条件，保障大渡口西大附中</w:t>
      </w:r>
      <w:r>
        <w:rPr>
          <w:rFonts w:hint="eastAsia" w:eastAsia="方正仿宋_GBK"/>
          <w:color w:val="auto"/>
          <w:szCs w:val="32"/>
          <w:lang w:eastAsia="zh-CN"/>
        </w:rPr>
        <w:t>和茄子溪中学、</w:t>
      </w:r>
      <w:r>
        <w:rPr>
          <w:rFonts w:hint="eastAsia" w:eastAsia="方正仿宋_GBK"/>
          <w:color w:val="auto"/>
          <w:szCs w:val="32"/>
        </w:rPr>
        <w:t>区实验小学一期</w:t>
      </w:r>
      <w:r>
        <w:rPr>
          <w:rFonts w:hint="eastAsia" w:eastAsia="方正仿宋_GBK"/>
          <w:color w:val="auto"/>
          <w:szCs w:val="32"/>
          <w:lang w:eastAsia="zh-CN"/>
        </w:rPr>
        <w:t>改扩建等</w:t>
      </w:r>
      <w:r>
        <w:rPr>
          <w:rFonts w:hint="eastAsia" w:eastAsia="方正仿宋_GBK"/>
          <w:color w:val="auto"/>
          <w:szCs w:val="32"/>
        </w:rPr>
        <w:t>学校项目建设。推进住房保障体系建设，支持五一互助、民新民乐及沙沱片区城中村改造，保障翠柏、柏华、惠丰居、金属村等老旧小区改造，加快配售型保障性住房建设。支持产教融合基地等项目建设，加快提升公共医疗卫生服务能力等。</w:t>
      </w:r>
    </w:p>
    <w:p>
      <w:pPr>
        <w:pStyle w:val="8"/>
        <w:spacing w:after="0"/>
        <w:ind w:firstLine="643"/>
        <w:rPr>
          <w:rFonts w:eastAsia="黑体"/>
          <w:color w:val="auto"/>
          <w:szCs w:val="32"/>
        </w:rPr>
      </w:pPr>
      <w:r>
        <w:rPr>
          <w:rFonts w:eastAsia="方正仿宋_GBK"/>
          <w:b/>
          <w:bCs/>
          <w:color w:val="auto"/>
          <w:szCs w:val="32"/>
        </w:rPr>
        <w:t>3.</w:t>
      </w:r>
      <w:r>
        <w:rPr>
          <w:rFonts w:hint="eastAsia" w:eastAsia="方正仿宋_GBK"/>
          <w:b/>
          <w:bCs/>
          <w:color w:val="auto"/>
          <w:szCs w:val="32"/>
        </w:rPr>
        <w:t>偿还情况</w:t>
      </w:r>
      <w:r>
        <w:rPr>
          <w:rFonts w:eastAsia="方正仿宋_GBK"/>
          <w:b/>
          <w:bCs/>
          <w:color w:val="auto"/>
          <w:szCs w:val="32"/>
        </w:rPr>
        <w:t>。</w:t>
      </w:r>
      <w:r>
        <w:rPr>
          <w:rFonts w:eastAsia="方正仿宋_GBK"/>
          <w:color w:val="auto"/>
          <w:szCs w:val="32"/>
        </w:rPr>
        <w:t>202</w:t>
      </w:r>
      <w:r>
        <w:rPr>
          <w:rFonts w:hint="eastAsia" w:eastAsia="方正仿宋_GBK"/>
          <w:color w:val="auto"/>
          <w:szCs w:val="32"/>
          <w:lang w:val="en-US" w:eastAsia="zh-CN"/>
        </w:rPr>
        <w:t>5</w:t>
      </w:r>
      <w:r>
        <w:rPr>
          <w:rFonts w:hint="eastAsia" w:eastAsia="方正仿宋_GBK"/>
          <w:color w:val="auto"/>
          <w:szCs w:val="32"/>
        </w:rPr>
        <w:t>年，全区政府债务还本付息付费32.</w:t>
      </w:r>
      <w:r>
        <w:rPr>
          <w:rFonts w:hint="eastAsia" w:eastAsia="方正仿宋_GBK"/>
          <w:color w:val="auto"/>
          <w:szCs w:val="32"/>
          <w:lang w:val="en-US" w:eastAsia="zh-CN"/>
        </w:rPr>
        <w:t>66</w:t>
      </w:r>
      <w:r>
        <w:rPr>
          <w:rFonts w:hint="eastAsia" w:eastAsia="方正仿宋_GBK"/>
          <w:color w:val="auto"/>
          <w:szCs w:val="32"/>
        </w:rPr>
        <w:t>亿元。</w:t>
      </w:r>
    </w:p>
    <w:p>
      <w:pPr>
        <w:keepNext w:val="0"/>
        <w:keepLines w:val="0"/>
        <w:pageBreakBefore w:val="0"/>
        <w:widowControl w:val="0"/>
        <w:kinsoku/>
        <w:wordWrap/>
        <w:overflowPunct/>
        <w:topLinePunct w:val="0"/>
        <w:autoSpaceDE/>
        <w:autoSpaceDN/>
        <w:bidi w:val="0"/>
        <w:adjustRightInd/>
        <w:snapToGrid/>
        <w:spacing w:after="0"/>
        <w:ind w:firstLine="640"/>
        <w:textAlignment w:val="auto"/>
        <w:outlineLvl w:val="9"/>
        <w:rPr>
          <w:rFonts w:eastAsia="黑体" w:cs="Times New Roman"/>
          <w:color w:val="auto"/>
          <w:szCs w:val="32"/>
        </w:rPr>
      </w:pPr>
      <w:r>
        <w:rPr>
          <w:rFonts w:hint="eastAsia" w:eastAsia="黑体" w:cs="Times New Roman"/>
          <w:color w:val="auto"/>
          <w:szCs w:val="32"/>
        </w:rPr>
        <w:t>二、</w:t>
      </w:r>
      <w:r>
        <w:rPr>
          <w:rFonts w:eastAsia="黑体" w:cs="Times New Roman"/>
          <w:color w:val="auto"/>
          <w:szCs w:val="32"/>
        </w:rPr>
        <w:t>202</w:t>
      </w:r>
      <w:r>
        <w:rPr>
          <w:rFonts w:hint="eastAsia" w:eastAsia="黑体" w:cs="Times New Roman"/>
          <w:color w:val="auto"/>
          <w:szCs w:val="32"/>
          <w:lang w:val="en-US" w:eastAsia="zh-CN"/>
        </w:rPr>
        <w:t>5</w:t>
      </w:r>
      <w:r>
        <w:rPr>
          <w:rFonts w:eastAsia="黑体" w:cs="Times New Roman"/>
          <w:color w:val="auto"/>
          <w:szCs w:val="32"/>
        </w:rPr>
        <w:t>年财政重点工作</w:t>
      </w:r>
    </w:p>
    <w:p>
      <w:pPr>
        <w:keepNext w:val="0"/>
        <w:keepLines w:val="0"/>
        <w:pageBreakBefore w:val="0"/>
        <w:widowControl w:val="0"/>
        <w:kinsoku/>
        <w:wordWrap/>
        <w:overflowPunct/>
        <w:topLinePunct w:val="0"/>
        <w:autoSpaceDE/>
        <w:autoSpaceDN/>
        <w:bidi w:val="0"/>
        <w:adjustRightInd/>
        <w:snapToGrid/>
        <w:spacing w:after="0"/>
        <w:ind w:firstLine="640"/>
        <w:textAlignment w:val="auto"/>
        <w:outlineLvl w:val="9"/>
        <w:rPr>
          <w:rFonts w:hint="eastAsia" w:ascii="方正仿宋_GBK" w:hAnsi="方正仿宋_GBK" w:eastAsia="方正仿宋_GBK" w:cs="方正仿宋_GBK"/>
          <w:color w:val="auto"/>
          <w:lang w:val="en-US" w:eastAsia="zh-CN"/>
        </w:rPr>
      </w:pPr>
      <w:r>
        <w:rPr>
          <w:rFonts w:cs="Times New Roman"/>
          <w:color w:val="auto"/>
        </w:rPr>
        <w:t>202</w:t>
      </w:r>
      <w:r>
        <w:rPr>
          <w:rFonts w:hint="eastAsia" w:cs="Times New Roman"/>
          <w:color w:val="auto"/>
          <w:lang w:val="en-US" w:eastAsia="zh-CN"/>
        </w:rPr>
        <w:t>5</w:t>
      </w:r>
      <w:r>
        <w:rPr>
          <w:rFonts w:cs="Times New Roman"/>
          <w:color w:val="auto"/>
        </w:rPr>
        <w:t>年，</w:t>
      </w:r>
      <w:r>
        <w:rPr>
          <w:rFonts w:hint="eastAsia" w:ascii="方正仿宋_GBK" w:hAnsi="方正仿宋_GBK" w:cs="方正仿宋_GBK"/>
          <w:color w:val="auto"/>
        </w:rPr>
        <w:t>全区财政工作</w:t>
      </w:r>
      <w:r>
        <w:rPr>
          <w:rFonts w:hint="eastAsia" w:ascii="方正仿宋_GBK" w:hAnsi="方正仿宋_GBK" w:cs="方正仿宋_GBK"/>
          <w:color w:val="auto"/>
          <w:lang w:eastAsia="zh-CN"/>
        </w:rPr>
        <w:t>始终坚持以政领财、以财辅政，聚焦全区发展大局，克难奋进、主动作为，在应对挑战中夯基垒台，在服务发展中彰显担当，以零基预算重塑资源配置逻辑，以绩效管理提升资金使用效益，以精准调度守牢风险防控底线，为“尚义大渡口、宜居宜业城”建设奠定了坚实基础</w:t>
      </w:r>
      <w:r>
        <w:rPr>
          <w:rFonts w:hint="eastAsia" w:ascii="方正仿宋_GBK" w:hAnsi="方正仿宋_GBK" w:cs="方正仿宋_GBK"/>
          <w:color w:val="auto"/>
        </w:rPr>
        <w:t>。</w:t>
      </w:r>
    </w:p>
    <w:p>
      <w:pPr>
        <w:keepNext w:val="0"/>
        <w:keepLines w:val="0"/>
        <w:pageBreakBefore w:val="0"/>
        <w:widowControl w:val="0"/>
        <w:kinsoku/>
        <w:wordWrap/>
        <w:overflowPunct/>
        <w:topLinePunct w:val="0"/>
        <w:autoSpaceDE/>
        <w:autoSpaceDN/>
        <w:bidi w:val="0"/>
        <w:adjustRightInd/>
        <w:snapToGrid/>
        <w:spacing w:after="0"/>
        <w:ind w:firstLine="640"/>
        <w:textAlignment w:val="auto"/>
        <w:rPr>
          <w:rFonts w:ascii="方正楷体_GBK" w:hAnsi="方正楷体_GBK" w:eastAsia="方正楷体_GBK" w:cs="方正楷体_GBK"/>
          <w:color w:val="auto"/>
        </w:rPr>
      </w:pPr>
      <w:r>
        <w:rPr>
          <w:rFonts w:hint="eastAsia" w:ascii="方正楷体_GBK" w:hAnsi="方正楷体_GBK" w:eastAsia="方正楷体_GBK" w:cs="方正楷体_GBK"/>
          <w:color w:val="auto"/>
        </w:rPr>
        <w:t>（一）主要政策落实及重点工作开展情况</w:t>
      </w:r>
    </w:p>
    <w:p>
      <w:pPr>
        <w:keepNext w:val="0"/>
        <w:keepLines w:val="0"/>
        <w:pageBreakBefore w:val="0"/>
        <w:widowControl w:val="0"/>
        <w:kinsoku/>
        <w:wordWrap/>
        <w:overflowPunct/>
        <w:topLinePunct w:val="0"/>
        <w:autoSpaceDE/>
        <w:autoSpaceDN/>
        <w:bidi w:val="0"/>
        <w:adjustRightInd/>
        <w:snapToGrid/>
        <w:spacing w:after="0" w:line="594" w:lineRule="exact"/>
        <w:ind w:firstLine="643"/>
        <w:textAlignment w:val="auto"/>
        <w:outlineLvl w:val="9"/>
        <w:rPr>
          <w:color w:val="auto"/>
        </w:rPr>
      </w:pPr>
      <w:r>
        <w:rPr>
          <w:rFonts w:hint="eastAsia" w:ascii="方正仿宋_GBK" w:hAnsi="方正仿宋_GBK" w:eastAsia="方正仿宋_GBK" w:cs="方正仿宋_GBK"/>
          <w:b/>
          <w:bCs/>
          <w:color w:val="auto"/>
          <w:szCs w:val="32"/>
        </w:rPr>
        <w:t>一是</w:t>
      </w:r>
      <w:r>
        <w:rPr>
          <w:rFonts w:hint="eastAsia" w:ascii="方正仿宋_GBK" w:hAnsi="方正仿宋_GBK" w:eastAsia="方正仿宋_GBK" w:cs="方正仿宋_GBK"/>
          <w:b/>
          <w:bCs/>
          <w:color w:val="auto"/>
          <w:szCs w:val="32"/>
          <w:lang w:val="en-US" w:eastAsia="zh-CN"/>
        </w:rPr>
        <w:t>精抓收入组织，夯实发展根基展现财政作为</w:t>
      </w:r>
      <w:r>
        <w:rPr>
          <w:rFonts w:hint="eastAsia" w:ascii="方正楷体_GBK" w:hAnsi="方正楷体_GBK" w:eastAsia="方正楷体_GBK" w:cs="方正楷体_GBK"/>
          <w:b/>
          <w:bCs/>
          <w:color w:val="auto"/>
          <w:szCs w:val="32"/>
          <w:lang w:val="en-US" w:eastAsia="zh-CN"/>
        </w:rPr>
        <w:t>。</w:t>
      </w:r>
      <w:r>
        <w:rPr>
          <w:rFonts w:hint="eastAsia" w:ascii="方正仿宋_GBK" w:cs="Times New Roman"/>
          <w:b w:val="0"/>
          <w:bCs w:val="0"/>
          <w:color w:val="auto"/>
          <w:szCs w:val="32"/>
          <w:lang w:eastAsia="zh-CN"/>
        </w:rPr>
        <w:t>始终坚持以依法聚财为导向、系统谋划为支撑，以强烈的担当进取精神，将组织收入贯穿财政工作全过程。</w:t>
      </w:r>
      <w:r>
        <w:rPr>
          <w:rFonts w:hint="eastAsia" w:ascii="方正仿宋_GBK" w:cs="Times New Roman"/>
          <w:b/>
          <w:bCs/>
          <w:color w:val="auto"/>
          <w:szCs w:val="32"/>
          <w:lang w:eastAsia="zh-CN"/>
        </w:rPr>
        <w:t>系统施策稳税收。</w:t>
      </w:r>
      <w:r>
        <w:rPr>
          <w:rFonts w:hint="eastAsia" w:ascii="方正仿宋_GBK" w:cs="Times New Roman"/>
          <w:b w:val="0"/>
          <w:bCs w:val="0"/>
          <w:color w:val="auto"/>
          <w:szCs w:val="32"/>
          <w:lang w:eastAsia="zh-CN"/>
        </w:rPr>
        <w:t>始终将培植税源与加强征管相结合，确保财政收入质优量稳。全力服务海康威视等龙头企业，紧盯新引进的重点产业项目，培育梯次化后续税源。加强区级各部门涉税数据共享，扩大共享数据范围，以数字化应用堵塞征管漏洞，确保应收尽收。区级税收收入实</w:t>
      </w:r>
      <w:r>
        <w:rPr>
          <w:rFonts w:hint="default" w:ascii="Times New Roman" w:hAnsi="Times New Roman" w:cs="Times New Roman"/>
          <w:b w:val="0"/>
          <w:bCs w:val="0"/>
          <w:color w:val="auto"/>
          <w:szCs w:val="32"/>
          <w:lang w:eastAsia="zh-CN"/>
        </w:rPr>
        <w:t>现</w:t>
      </w:r>
      <w:r>
        <w:rPr>
          <w:rFonts w:hint="eastAsia" w:cs="Times New Roman"/>
          <w:b w:val="0"/>
          <w:bCs w:val="0"/>
          <w:color w:val="auto"/>
          <w:szCs w:val="32"/>
          <w:lang w:val="en-US" w:eastAsia="zh-CN"/>
        </w:rPr>
        <w:t>13</w:t>
      </w:r>
      <w:r>
        <w:rPr>
          <w:rFonts w:hint="default" w:ascii="Times New Roman" w:hAnsi="Times New Roman" w:cs="Times New Roman"/>
          <w:b w:val="0"/>
          <w:bCs w:val="0"/>
          <w:color w:val="auto"/>
          <w:szCs w:val="32"/>
          <w:lang w:eastAsia="zh-CN"/>
        </w:rPr>
        <w:t>亿元，同比增长</w:t>
      </w:r>
      <w:r>
        <w:rPr>
          <w:rFonts w:hint="eastAsia" w:cs="Times New Roman"/>
          <w:b w:val="0"/>
          <w:bCs w:val="0"/>
          <w:color w:val="auto"/>
          <w:szCs w:val="32"/>
          <w:lang w:val="en-US" w:eastAsia="zh-CN"/>
        </w:rPr>
        <w:t>7.9</w:t>
      </w:r>
      <w:r>
        <w:rPr>
          <w:rFonts w:hint="default" w:ascii="Times New Roman" w:hAnsi="Times New Roman" w:cs="Times New Roman"/>
          <w:b w:val="0"/>
          <w:bCs w:val="0"/>
          <w:color w:val="auto"/>
          <w:szCs w:val="32"/>
          <w:lang w:eastAsia="zh-CN"/>
        </w:rPr>
        <w:t>%</w:t>
      </w:r>
      <w:r>
        <w:rPr>
          <w:rFonts w:hint="eastAsia" w:cs="Times New Roman"/>
          <w:b w:val="0"/>
          <w:bCs w:val="0"/>
          <w:color w:val="auto"/>
          <w:szCs w:val="32"/>
          <w:lang w:eastAsia="zh-CN"/>
        </w:rPr>
        <w:t>。</w:t>
      </w:r>
      <w:r>
        <w:rPr>
          <w:rFonts w:hint="eastAsia" w:ascii="方正仿宋_GBK" w:hAnsi="方正仿宋_GBK" w:cs="方正仿宋_GBK"/>
          <w:b/>
          <w:bCs/>
          <w:color w:val="auto"/>
          <w:sz w:val="32"/>
          <w:szCs w:val="32"/>
          <w:lang w:eastAsia="zh-CN"/>
        </w:rPr>
        <w:t>盘活资</w:t>
      </w:r>
      <w:r>
        <w:rPr>
          <w:rFonts w:hint="eastAsia" w:ascii="方正仿宋_GBK" w:hAnsi="方正仿宋_GBK" w:cs="方正仿宋_GBK"/>
          <w:b/>
          <w:bCs/>
          <w:color w:val="auto"/>
          <w:sz w:val="32"/>
          <w:szCs w:val="32"/>
          <w:lang w:val="en-US" w:eastAsia="zh-CN"/>
        </w:rPr>
        <w:t>产</w:t>
      </w:r>
      <w:r>
        <w:rPr>
          <w:rFonts w:hint="eastAsia" w:ascii="方正仿宋_GBK" w:hAnsi="方正仿宋_GBK" w:eastAsia="方正仿宋_GBK" w:cs="方正仿宋_GBK"/>
          <w:b/>
          <w:bCs/>
          <w:color w:val="auto"/>
          <w:sz w:val="32"/>
          <w:szCs w:val="32"/>
          <w:lang w:eastAsia="zh-CN"/>
        </w:rPr>
        <w:t>拓</w:t>
      </w:r>
      <w:r>
        <w:rPr>
          <w:rFonts w:hint="eastAsia" w:ascii="方正仿宋_GBK" w:hAnsi="方正仿宋_GBK" w:cs="方正仿宋_GBK"/>
          <w:b/>
          <w:bCs/>
          <w:color w:val="auto"/>
          <w:sz w:val="32"/>
          <w:szCs w:val="32"/>
          <w:lang w:eastAsia="zh-CN"/>
        </w:rPr>
        <w:t>收入</w:t>
      </w:r>
      <w:r>
        <w:rPr>
          <w:rFonts w:hint="eastAsia" w:ascii="方正仿宋_GBK" w:hAnsi="方正仿宋_GBK" w:eastAsia="方正仿宋_GBK" w:cs="方正仿宋_GBK"/>
          <w:b/>
          <w:bCs/>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全覆盖开展“三资”清查，管好存量资产，激活沉睡资产，整合大滨路文旅等经营权资源，深度挖掘资产金融属性，全年实现非税收入9亿元。</w:t>
      </w:r>
      <w:r>
        <w:rPr>
          <w:rFonts w:hint="default" w:ascii="Times New Roman" w:hAnsi="Times New Roman" w:eastAsia="方正仿宋_GBK" w:cs="Times New Roman"/>
          <w:b w:val="0"/>
          <w:bCs w:val="0"/>
          <w:color w:val="auto"/>
          <w:sz w:val="32"/>
          <w:szCs w:val="32"/>
          <w:lang w:eastAsia="zh-CN"/>
        </w:rPr>
        <w:t>积极盘活存量土地、零星公共基础设施建设用地资源，强化区属国有公司资金调度，推动土地划拨全流程办理，加大工业用地招商及以前年度出让地块收入催缴力度，实现国有土地使用权收入</w:t>
      </w:r>
      <w:r>
        <w:rPr>
          <w:rFonts w:hint="eastAsia" w:cs="Times New Roman"/>
          <w:b w:val="0"/>
          <w:bCs w:val="0"/>
          <w:color w:val="auto"/>
          <w:sz w:val="32"/>
          <w:szCs w:val="32"/>
          <w:lang w:val="en-US" w:eastAsia="zh-CN"/>
        </w:rPr>
        <w:t>63</w:t>
      </w:r>
      <w:r>
        <w:rPr>
          <w:rFonts w:hint="default" w:ascii="Times New Roman" w:hAnsi="Times New Roman" w:eastAsia="方正仿宋_GBK" w:cs="Times New Roman"/>
          <w:b w:val="0"/>
          <w:bCs w:val="0"/>
          <w:color w:val="auto"/>
          <w:sz w:val="32"/>
          <w:szCs w:val="32"/>
          <w:lang w:eastAsia="zh-CN"/>
        </w:rPr>
        <w:t>亿元。</w:t>
      </w:r>
      <w:r>
        <w:rPr>
          <w:rFonts w:hint="eastAsia" w:ascii="方正仿宋_GBK" w:hAnsi="方正仿宋_GBK" w:cs="方正仿宋_GBK"/>
          <w:b/>
          <w:bCs/>
          <w:color w:val="auto"/>
          <w:sz w:val="32"/>
          <w:szCs w:val="32"/>
          <w:lang w:eastAsia="zh-CN"/>
        </w:rPr>
        <w:t>精准对接</w:t>
      </w:r>
      <w:r>
        <w:rPr>
          <w:rFonts w:hint="eastAsia" w:ascii="方正仿宋_GBK" w:hAnsi="方正仿宋_GBK" w:eastAsia="方正仿宋_GBK" w:cs="方正仿宋_GBK"/>
          <w:b/>
          <w:bCs/>
          <w:color w:val="auto"/>
          <w:sz w:val="32"/>
          <w:szCs w:val="32"/>
          <w:lang w:eastAsia="zh-CN"/>
        </w:rPr>
        <w:t>争资</w:t>
      </w:r>
      <w:r>
        <w:rPr>
          <w:rFonts w:hint="eastAsia" w:ascii="方正仿宋_GBK" w:hAnsi="方正仿宋_GBK" w:cs="方正仿宋_GBK"/>
          <w:b/>
          <w:bCs/>
          <w:color w:val="auto"/>
          <w:sz w:val="32"/>
          <w:szCs w:val="32"/>
          <w:lang w:eastAsia="zh-CN"/>
        </w:rPr>
        <w:t>金</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val="0"/>
          <w:bCs w:val="0"/>
          <w:color w:val="auto"/>
          <w:sz w:val="32"/>
          <w:szCs w:val="32"/>
          <w:lang w:eastAsia="zh-CN"/>
        </w:rPr>
        <w:t>汇编《向上争资</w:t>
      </w:r>
      <w:r>
        <w:rPr>
          <w:rFonts w:hint="default" w:ascii="Times New Roman" w:hAnsi="Times New Roman" w:eastAsia="方正仿宋_GBK" w:cs="Times New Roman"/>
          <w:b w:val="0"/>
          <w:bCs w:val="0"/>
          <w:color w:val="auto"/>
          <w:sz w:val="32"/>
          <w:szCs w:val="32"/>
          <w:lang w:eastAsia="zh-CN"/>
        </w:rPr>
        <w:t>指南（</w:t>
      </w:r>
      <w:r>
        <w:rPr>
          <w:rFonts w:hint="default" w:ascii="Times New Roman" w:hAnsi="Times New Roman" w:eastAsia="方正仿宋_GBK" w:cs="Times New Roman"/>
          <w:b w:val="0"/>
          <w:bCs w:val="0"/>
          <w:color w:val="auto"/>
          <w:sz w:val="32"/>
          <w:szCs w:val="32"/>
          <w:lang w:val="en-US" w:eastAsia="zh-CN"/>
        </w:rPr>
        <w:t>2025年版</w:t>
      </w:r>
      <w:r>
        <w:rPr>
          <w:rFonts w:hint="default" w:ascii="Times New Roman" w:hAnsi="Times New Roman" w:eastAsia="方正仿宋_GBK" w:cs="Times New Roman"/>
          <w:b w:val="0"/>
          <w:bCs w:val="0"/>
          <w:color w:val="auto"/>
          <w:sz w:val="32"/>
          <w:szCs w:val="32"/>
          <w:lang w:eastAsia="zh-CN"/>
        </w:rPr>
        <w:t>）》，精</w:t>
      </w:r>
      <w:r>
        <w:rPr>
          <w:rFonts w:hint="eastAsia" w:ascii="方正仿宋_GBK" w:hAnsi="方正仿宋_GBK" w:eastAsia="方正仿宋_GBK" w:cs="方正仿宋_GBK"/>
          <w:b w:val="0"/>
          <w:bCs w:val="0"/>
          <w:color w:val="auto"/>
          <w:sz w:val="32"/>
          <w:szCs w:val="32"/>
          <w:lang w:eastAsia="zh-CN"/>
        </w:rPr>
        <w:t>准指导争资工作。印发《争取上级资金工作考核办法》，实行对上争资“周通报”，充分调动积极性和主动性</w:t>
      </w:r>
      <w:r>
        <w:rPr>
          <w:rFonts w:hint="eastAsia" w:ascii="方正仿宋_GBK" w:hAnsi="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eastAsia="zh-CN"/>
        </w:rPr>
        <w:t>抢抓中央预算内投资、超长期特别国债、“两重”“两新”等政策机遇，提高项目储备成熟度和申报成功率</w:t>
      </w:r>
      <w:r>
        <w:rPr>
          <w:rFonts w:hint="eastAsia" w:ascii="方正仿宋_GBK" w:hAnsi="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eastAsia="zh-CN"/>
        </w:rPr>
        <w:t>争取到位各类</w:t>
      </w:r>
      <w:r>
        <w:rPr>
          <w:rFonts w:hint="default" w:ascii="Times New Roman" w:hAnsi="Times New Roman" w:eastAsia="方正仿宋_GBK" w:cs="Times New Roman"/>
          <w:b w:val="0"/>
          <w:bCs w:val="0"/>
          <w:color w:val="auto"/>
          <w:sz w:val="32"/>
          <w:szCs w:val="32"/>
          <w:lang w:eastAsia="zh-CN"/>
        </w:rPr>
        <w:t>上级资金</w:t>
      </w:r>
      <w:r>
        <w:rPr>
          <w:rFonts w:hint="eastAsia" w:cs="Times New Roman"/>
          <w:b w:val="0"/>
          <w:bCs w:val="0"/>
          <w:color w:val="auto"/>
          <w:sz w:val="32"/>
          <w:szCs w:val="32"/>
          <w:lang w:val="en-US" w:eastAsia="zh-CN"/>
        </w:rPr>
        <w:t>29.6</w:t>
      </w:r>
      <w:r>
        <w:rPr>
          <w:rFonts w:hint="default" w:ascii="Times New Roman" w:hAnsi="Times New Roman" w:eastAsia="方正仿宋_GBK" w:cs="Times New Roman"/>
          <w:b w:val="0"/>
          <w:bCs w:val="0"/>
          <w:color w:val="auto"/>
          <w:sz w:val="32"/>
          <w:szCs w:val="32"/>
          <w:lang w:eastAsia="zh-CN"/>
        </w:rPr>
        <w:t>亿元，创历史新高。</w:t>
      </w:r>
    </w:p>
    <w:p>
      <w:pPr>
        <w:pStyle w:val="28"/>
        <w:keepNext w:val="0"/>
        <w:keepLines w:val="0"/>
        <w:pageBreakBefore w:val="0"/>
        <w:kinsoku/>
        <w:wordWrap/>
        <w:overflowPunct/>
        <w:topLinePunct w:val="0"/>
        <w:autoSpaceDE/>
        <w:autoSpaceDN/>
        <w:bidi w:val="0"/>
        <w:adjustRightInd/>
        <w:snapToGrid/>
        <w:spacing w:after="0"/>
        <w:ind w:firstLine="643"/>
        <w:jc w:val="both"/>
        <w:textAlignment w:val="baseline"/>
        <w:outlineLvl w:val="9"/>
        <w:rPr>
          <w:rFonts w:hint="eastAsia" w:cs="Times New Roman"/>
          <w:b w:val="0"/>
          <w:bCs w:val="0"/>
          <w:color w:val="auto"/>
          <w:kern w:val="2"/>
          <w:sz w:val="32"/>
          <w:szCs w:val="32"/>
          <w:lang w:val="en-US" w:eastAsia="zh-CN" w:bidi="ar-SA"/>
        </w:rPr>
      </w:pPr>
      <w:r>
        <w:rPr>
          <w:rFonts w:hint="eastAsia" w:ascii="方正仿宋_GBK" w:hAnsi="方正仿宋_GBK" w:eastAsia="方正仿宋_GBK" w:cs="方正仿宋_GBK"/>
          <w:b/>
          <w:bCs/>
          <w:color w:val="auto"/>
          <w:sz w:val="32"/>
          <w:szCs w:val="32"/>
        </w:rPr>
        <w:t>二是</w:t>
      </w:r>
      <w:r>
        <w:rPr>
          <w:rFonts w:hint="eastAsia" w:ascii="方正仿宋_GBK" w:hAnsi="方正仿宋_GBK" w:eastAsia="方正仿宋_GBK" w:cs="方正仿宋_GBK"/>
          <w:b/>
          <w:bCs/>
          <w:color w:val="auto"/>
          <w:sz w:val="32"/>
          <w:szCs w:val="32"/>
          <w:lang w:eastAsia="zh-CN"/>
        </w:rPr>
        <w:t>精保民生支出，增进百姓福祉传递财政温度。</w:t>
      </w:r>
      <w:r>
        <w:rPr>
          <w:rFonts w:hint="eastAsia" w:ascii="Times New Roman" w:hAnsi="Times New Roman" w:cs="Times New Roman"/>
          <w:b w:val="0"/>
          <w:bCs w:val="0"/>
          <w:color w:val="auto"/>
          <w:sz w:val="32"/>
          <w:szCs w:val="32"/>
          <w:lang w:eastAsia="zh-CN"/>
        </w:rPr>
        <w:t>始终坚持以人民为中心、民生优先为原则，以真挚的为民服务情怀，将改善民生贯穿财政工作全过程。</w:t>
      </w:r>
      <w:r>
        <w:rPr>
          <w:rFonts w:hint="eastAsia" w:ascii="Times New Roman" w:hAnsi="Times New Roman" w:cs="Times New Roman"/>
          <w:b/>
          <w:bCs/>
          <w:color w:val="auto"/>
          <w:sz w:val="32"/>
          <w:szCs w:val="32"/>
          <w:lang w:eastAsia="zh-CN"/>
        </w:rPr>
        <w:t>滚动实施民生实事，回应群众期盼。</w:t>
      </w:r>
      <w:r>
        <w:rPr>
          <w:rFonts w:hint="eastAsia" w:ascii="Times New Roman" w:hAnsi="Times New Roman"/>
          <w:color w:val="auto"/>
          <w:sz w:val="32"/>
          <w:szCs w:val="32"/>
        </w:rPr>
        <w:t>坚持将一般公共预算支出的80%以上用于民生领域，统筹各类资金2.8亿元，支持城市微型公园打造、“15分钟高品质生活服务圈”创建、中小学生近视防控“光明工程”建设等重点民生实事。支持新开工改造城镇老旧小区2个、老旧住宅更新改造电梯71台、完善学校周边交通标志标线、深入实施“义渡润心”心理健康教育改革等</w:t>
      </w:r>
      <w:r>
        <w:rPr>
          <w:rFonts w:hint="eastAsia" w:ascii="Times New Roman" w:hAnsi="Times New Roman"/>
          <w:color w:val="auto"/>
          <w:sz w:val="32"/>
          <w:szCs w:val="32"/>
          <w:lang w:eastAsia="zh-CN"/>
        </w:rPr>
        <w:t>。</w:t>
      </w:r>
      <w:r>
        <w:rPr>
          <w:rFonts w:hint="eastAsia" w:ascii="Times New Roman" w:hAnsi="Times New Roman" w:eastAsia="方正仿宋_GBK" w:cs="Times New Roman"/>
          <w:b/>
          <w:bCs/>
          <w:color w:val="auto"/>
          <w:kern w:val="2"/>
          <w:sz w:val="32"/>
          <w:szCs w:val="32"/>
          <w:lang w:val="en-US" w:eastAsia="zh-CN" w:bidi="ar-SA"/>
        </w:rPr>
        <w:t>坚定保障教育优先，力促优质均衡。</w:t>
      </w:r>
      <w:r>
        <w:rPr>
          <w:rFonts w:hint="eastAsia" w:ascii="Times New Roman" w:hAnsi="Times New Roman" w:cs="Times New Roman"/>
          <w:b w:val="0"/>
          <w:bCs w:val="0"/>
          <w:color w:val="auto"/>
          <w:sz w:val="32"/>
          <w:szCs w:val="32"/>
        </w:rPr>
        <w:t>坚定教育优先战略，全年投入</w:t>
      </w:r>
      <w:r>
        <w:rPr>
          <w:rFonts w:hint="eastAsia" w:ascii="Times New Roman" w:hAnsi="Times New Roman" w:cs="Times New Roman"/>
          <w:b w:val="0"/>
          <w:bCs w:val="0"/>
          <w:color w:val="auto"/>
          <w:sz w:val="32"/>
          <w:szCs w:val="32"/>
          <w:lang w:val="en-US" w:eastAsia="zh-CN"/>
        </w:rPr>
        <w:t>9.6</w:t>
      </w:r>
      <w:r>
        <w:rPr>
          <w:rFonts w:hint="eastAsia" w:ascii="Times New Roman" w:hAnsi="Times New Roman" w:cs="Times New Roman"/>
          <w:b w:val="0"/>
          <w:bCs w:val="0"/>
          <w:color w:val="auto"/>
          <w:sz w:val="32"/>
          <w:szCs w:val="32"/>
        </w:rPr>
        <w:t>亿元，支持办好人民满意的教育。紧扣教育强区建设目标，支持学前教育优质普惠发展、义务教育优质均衡发展、高中教育多样特色发展、职业教育产教融合发展。全面落实各项助学政策</w:t>
      </w:r>
      <w:r>
        <w:rPr>
          <w:rFonts w:hint="eastAsia" w:ascii="Times New Roman" w:hAnsi="Times New Roman" w:cs="Times New Roman"/>
          <w:b w:val="0"/>
          <w:bCs w:val="0"/>
          <w:color w:val="auto"/>
          <w:sz w:val="32"/>
          <w:szCs w:val="32"/>
          <w:lang w:eastAsia="zh-CN"/>
        </w:rPr>
        <w:t>，发放资助资金</w:t>
      </w:r>
      <w:r>
        <w:rPr>
          <w:rFonts w:hint="eastAsia" w:ascii="Times New Roman" w:hAnsi="Times New Roman" w:cs="Times New Roman"/>
          <w:b w:val="0"/>
          <w:bCs w:val="0"/>
          <w:color w:val="auto"/>
          <w:sz w:val="32"/>
          <w:szCs w:val="32"/>
          <w:lang w:val="en-US" w:eastAsia="zh-CN"/>
        </w:rPr>
        <w:t>1,900万元，惠及学生1.6万人次</w:t>
      </w:r>
      <w:r>
        <w:rPr>
          <w:rFonts w:hint="eastAsia" w:ascii="Times New Roman" w:hAnsi="Times New Roman" w:cs="Times New Roman"/>
          <w:b w:val="0"/>
          <w:bCs w:val="0"/>
          <w:color w:val="auto"/>
          <w:sz w:val="32"/>
          <w:szCs w:val="32"/>
        </w:rPr>
        <w:t>。稳步提高资助标准，普高、中职国家助学金平均标准由每生每年2,000元提</w:t>
      </w:r>
      <w:r>
        <w:rPr>
          <w:rFonts w:hint="eastAsia" w:ascii="Times New Roman" w:hAnsi="Times New Roman" w:cs="Times New Roman"/>
          <w:b w:val="0"/>
          <w:bCs w:val="0"/>
          <w:color w:val="auto"/>
          <w:sz w:val="32"/>
          <w:szCs w:val="32"/>
          <w:lang w:eastAsia="zh-CN"/>
        </w:rPr>
        <w:t>高到</w:t>
      </w:r>
      <w:r>
        <w:rPr>
          <w:rFonts w:hint="eastAsia" w:ascii="Times New Roman" w:hAnsi="Times New Roman" w:cs="Times New Roman"/>
          <w:b w:val="0"/>
          <w:bCs w:val="0"/>
          <w:color w:val="auto"/>
          <w:sz w:val="32"/>
          <w:szCs w:val="32"/>
        </w:rPr>
        <w:t>2,300元，并将中职三年级家庭经济困难学生首次纳入国家助学金覆盖范围。</w:t>
      </w:r>
      <w:r>
        <w:rPr>
          <w:rFonts w:hint="eastAsia" w:ascii="Times New Roman" w:hAnsi="Times New Roman" w:eastAsia="方正仿宋_GBK" w:cs="Times New Roman"/>
          <w:b/>
          <w:bCs/>
          <w:color w:val="auto"/>
          <w:kern w:val="2"/>
          <w:sz w:val="32"/>
          <w:szCs w:val="32"/>
          <w:lang w:val="en-US" w:eastAsia="zh-CN" w:bidi="ar-SA"/>
        </w:rPr>
        <w:t>强化社保就业兜底，守护基本民生。</w:t>
      </w:r>
      <w:r>
        <w:rPr>
          <w:rFonts w:hint="eastAsia" w:cs="Times New Roman"/>
          <w:b w:val="0"/>
          <w:bCs w:val="0"/>
          <w:color w:val="auto"/>
          <w:kern w:val="2"/>
          <w:sz w:val="32"/>
          <w:szCs w:val="32"/>
          <w:lang w:val="en-US" w:eastAsia="zh-CN" w:bidi="ar-SA"/>
        </w:rPr>
        <w:t>安排</w:t>
      </w:r>
      <w:r>
        <w:rPr>
          <w:rFonts w:hint="default" w:ascii="Times New Roman" w:hAnsi="Times New Roman" w:cs="Times New Roman"/>
          <w:b w:val="0"/>
          <w:bCs w:val="0"/>
          <w:color w:val="auto"/>
          <w:kern w:val="2"/>
          <w:sz w:val="32"/>
          <w:szCs w:val="32"/>
          <w:lang w:val="en-US" w:eastAsia="zh-CN" w:bidi="ar-SA"/>
        </w:rPr>
        <w:t>6,000</w:t>
      </w:r>
      <w:r>
        <w:rPr>
          <w:rFonts w:hint="eastAsia" w:cs="Times New Roman"/>
          <w:b w:val="0"/>
          <w:bCs w:val="0"/>
          <w:color w:val="auto"/>
          <w:kern w:val="2"/>
          <w:sz w:val="32"/>
          <w:szCs w:val="32"/>
          <w:lang w:val="en-US" w:eastAsia="zh-CN" w:bidi="ar-SA"/>
        </w:rPr>
        <w:t>万元就业补助资金，保障职业技能培训、公益性岗位等就业补贴，深化打造“义渡就业列车”服务品牌，促进就业创业。全面落实低保等困难群体补助政策，支持成立纾困帮扶基金，持续推进抚恤优待和退役安置，进一步提升基本公共卫生服务能力。积极推动养老事业发展，支持投用老年</w:t>
      </w:r>
      <w:r>
        <w:rPr>
          <w:rFonts w:hint="default" w:ascii="Times New Roman" w:hAnsi="Times New Roman" w:cs="Times New Roman"/>
          <w:b w:val="0"/>
          <w:bCs w:val="0"/>
          <w:color w:val="auto"/>
          <w:kern w:val="2"/>
          <w:sz w:val="32"/>
          <w:szCs w:val="32"/>
          <w:lang w:val="en-US" w:eastAsia="zh-CN" w:bidi="ar-SA"/>
        </w:rPr>
        <w:t>食堂26个，发放</w:t>
      </w:r>
      <w:r>
        <w:rPr>
          <w:rFonts w:hint="eastAsia" w:cs="Times New Roman"/>
          <w:b w:val="0"/>
          <w:bCs w:val="0"/>
          <w:color w:val="auto"/>
          <w:kern w:val="2"/>
          <w:sz w:val="32"/>
          <w:szCs w:val="32"/>
          <w:lang w:val="en-US" w:eastAsia="zh-CN" w:bidi="ar-SA"/>
        </w:rPr>
        <w:t>困难失能老年人养老服务等补贴，实现“弱有所扶、难有所帮、急有所救”的民生承诺。</w:t>
      </w:r>
    </w:p>
    <w:p>
      <w:pPr>
        <w:pStyle w:val="28"/>
        <w:spacing w:after="0"/>
        <w:ind w:firstLine="643"/>
        <w:jc w:val="both"/>
        <w:rPr>
          <w:rFonts w:hint="default" w:ascii="Times New Roman" w:hAnsi="Times New Roman" w:eastAsia="方正仿宋_GBK" w:cs="Times New Roman"/>
          <w:b w:val="0"/>
          <w:bCs w:val="0"/>
          <w:color w:val="auto"/>
          <w:sz w:val="32"/>
          <w:szCs w:val="32"/>
          <w:lang w:val="en-US" w:eastAsia="zh-CN"/>
        </w:rPr>
      </w:pPr>
      <w:r>
        <w:rPr>
          <w:rFonts w:hint="eastAsia" w:ascii="方正仿宋_GBK" w:hAnsi="方正仿宋_GBK" w:eastAsia="方正仿宋_GBK" w:cs="方正仿宋_GBK"/>
          <w:b/>
          <w:bCs/>
          <w:color w:val="auto"/>
          <w:sz w:val="32"/>
          <w:szCs w:val="32"/>
        </w:rPr>
        <w:t>三是</w:t>
      </w:r>
      <w:r>
        <w:rPr>
          <w:rFonts w:hint="eastAsia" w:ascii="方正仿宋_GBK" w:hAnsi="方正仿宋_GBK" w:eastAsia="方正仿宋_GBK" w:cs="方正仿宋_GBK"/>
          <w:b/>
          <w:bCs/>
          <w:color w:val="auto"/>
          <w:sz w:val="32"/>
          <w:szCs w:val="32"/>
          <w:lang w:eastAsia="zh-CN"/>
        </w:rPr>
        <w:t>精筹发展资源，培育增长动能贡献财政力量。</w:t>
      </w:r>
      <w:r>
        <w:rPr>
          <w:rFonts w:hint="eastAsia" w:ascii="方正仿宋_GBK" w:hAnsi="方正仿宋_GBK" w:eastAsia="方正仿宋_GBK" w:cs="方正仿宋_GBK"/>
          <w:b w:val="0"/>
          <w:bCs w:val="0"/>
          <w:color w:val="auto"/>
          <w:sz w:val="32"/>
          <w:szCs w:val="32"/>
          <w:lang w:eastAsia="zh-CN"/>
        </w:rPr>
        <w:t>始终坚持以战略引领为方向、精准施策为方法，以敏锐的实干发展眼光，将动能培育贯穿财政工作全过程。</w:t>
      </w:r>
      <w:r>
        <w:rPr>
          <w:rFonts w:hint="eastAsia" w:ascii="方正仿宋_GBK" w:hAnsi="方正仿宋_GBK" w:eastAsia="方正仿宋_GBK" w:cs="方正仿宋_GBK"/>
          <w:b/>
          <w:bCs/>
          <w:color w:val="auto"/>
          <w:sz w:val="32"/>
          <w:szCs w:val="32"/>
          <w:lang w:eastAsia="zh-CN"/>
        </w:rPr>
        <w:t>强化项目投资支撑，筑牢发展基石。</w:t>
      </w:r>
      <w:r>
        <w:rPr>
          <w:rFonts w:hint="eastAsia" w:ascii="方正仿宋_GBK" w:hAnsi="方正仿宋_GBK" w:eastAsia="方正仿宋_GBK" w:cs="方正仿宋_GBK"/>
          <w:b w:val="0"/>
          <w:bCs w:val="0"/>
          <w:color w:val="auto"/>
          <w:sz w:val="32"/>
          <w:szCs w:val="32"/>
          <w:lang w:eastAsia="zh-CN"/>
        </w:rPr>
        <w:t>抢抓更加积极的财政政策窗口期，加强项目策划包装。安排重大项目前</w:t>
      </w:r>
      <w:r>
        <w:rPr>
          <w:rFonts w:hint="default" w:ascii="Times New Roman" w:hAnsi="Times New Roman" w:eastAsia="方正仿宋_GBK" w:cs="Times New Roman"/>
          <w:b w:val="0"/>
          <w:bCs w:val="0"/>
          <w:color w:val="auto"/>
          <w:sz w:val="32"/>
          <w:szCs w:val="32"/>
          <w:lang w:eastAsia="zh-CN"/>
        </w:rPr>
        <w:t>期经费，专项用于支持项目前期工作</w:t>
      </w:r>
      <w:r>
        <w:rPr>
          <w:rFonts w:hint="eastAsia" w:ascii="Times New Roman" w:hAnsi="Times New Roman" w:cs="Times New Roman"/>
          <w:b w:val="0"/>
          <w:bCs w:val="0"/>
          <w:color w:val="auto"/>
          <w:sz w:val="32"/>
          <w:szCs w:val="32"/>
          <w:lang w:eastAsia="zh-CN"/>
        </w:rPr>
        <w:t>，争取中央政策性资金超</w:t>
      </w:r>
      <w:r>
        <w:rPr>
          <w:rFonts w:hint="eastAsia" w:ascii="Times New Roman" w:hAnsi="Times New Roman" w:cs="Times New Roman"/>
          <w:b w:val="0"/>
          <w:bCs w:val="0"/>
          <w:color w:val="auto"/>
          <w:sz w:val="32"/>
          <w:szCs w:val="32"/>
          <w:lang w:val="en-US" w:eastAsia="zh-CN"/>
        </w:rPr>
        <w:t>20亿元</w:t>
      </w:r>
      <w:r>
        <w:rPr>
          <w:rFonts w:hint="default" w:ascii="Times New Roman" w:hAnsi="Times New Roman" w:eastAsia="方正仿宋_GBK" w:cs="Times New Roman"/>
          <w:b w:val="0"/>
          <w:bCs w:val="0"/>
          <w:color w:val="auto"/>
          <w:sz w:val="32"/>
          <w:szCs w:val="32"/>
          <w:lang w:eastAsia="zh-CN"/>
        </w:rPr>
        <w:t>，支持五一互助</w:t>
      </w:r>
      <w:r>
        <w:rPr>
          <w:rFonts w:hint="eastAsia" w:eastAsia="方正仿宋_GBK" w:cs="Times New Roman"/>
          <w:b w:val="0"/>
          <w:bCs w:val="0"/>
          <w:color w:val="auto"/>
          <w:sz w:val="32"/>
          <w:szCs w:val="32"/>
          <w:lang w:val="en-US" w:eastAsia="zh-CN"/>
        </w:rPr>
        <w:t>和民新民乐</w:t>
      </w:r>
      <w:r>
        <w:rPr>
          <w:rFonts w:hint="default" w:ascii="Times New Roman" w:hAnsi="Times New Roman" w:eastAsia="方正仿宋_GBK" w:cs="Times New Roman"/>
          <w:b w:val="0"/>
          <w:bCs w:val="0"/>
          <w:color w:val="auto"/>
          <w:sz w:val="32"/>
          <w:szCs w:val="32"/>
          <w:lang w:eastAsia="zh-CN"/>
        </w:rPr>
        <w:t>安置房、配售型保障性住房、建桥C区拓展区</w:t>
      </w:r>
      <w:r>
        <w:rPr>
          <w:rFonts w:hint="eastAsia" w:ascii="方正仿宋_GBK" w:hAnsi="方正仿宋_GBK" w:eastAsia="方正仿宋_GBK" w:cs="方正仿宋_GBK"/>
          <w:b w:val="0"/>
          <w:bCs w:val="0"/>
          <w:color w:val="auto"/>
          <w:sz w:val="32"/>
          <w:szCs w:val="32"/>
          <w:lang w:eastAsia="zh-CN"/>
        </w:rPr>
        <w:t>、城市供排水基础设施等重点项目有序推进。</w:t>
      </w:r>
      <w:r>
        <w:rPr>
          <w:rFonts w:hint="eastAsia" w:ascii="方正仿宋_GBK" w:hAnsi="方正仿宋_GBK" w:eastAsia="方正仿宋_GBK" w:cs="方正仿宋_GBK"/>
          <w:b/>
          <w:bCs/>
          <w:color w:val="auto"/>
          <w:sz w:val="32"/>
          <w:szCs w:val="32"/>
          <w:lang w:eastAsia="zh-CN"/>
        </w:rPr>
        <w:t>激发市场主体活力，夯实增长基础。</w:t>
      </w:r>
      <w:r>
        <w:rPr>
          <w:rFonts w:hint="eastAsia" w:ascii="方正仿宋_GBK" w:hAnsi="方正仿宋_GBK" w:eastAsia="方正仿宋_GBK" w:cs="方正仿宋_GBK"/>
          <w:b w:val="0"/>
          <w:bCs w:val="0"/>
          <w:color w:val="auto"/>
          <w:sz w:val="32"/>
          <w:szCs w:val="32"/>
          <w:lang w:eastAsia="zh-CN"/>
        </w:rPr>
        <w:t>将激发市场主体内生动力作为财政服务的重点，不折不扣落实惠企政策，切实降低企业经营成本。</w:t>
      </w:r>
      <w:r>
        <w:rPr>
          <w:rFonts w:hint="eastAsia" w:ascii="方正仿宋_GBK" w:hAnsi="方正仿宋_GBK" w:eastAsia="方正仿宋_GBK" w:cs="方正仿宋_GBK"/>
          <w:b w:val="0"/>
          <w:bCs w:val="0"/>
          <w:color w:val="auto"/>
          <w:sz w:val="32"/>
          <w:szCs w:val="32"/>
          <w:lang w:val="en-US" w:eastAsia="zh-CN"/>
        </w:rPr>
        <w:t>落实政府采购向中小企业倾斜政策，全年中小企业政</w:t>
      </w:r>
      <w:r>
        <w:rPr>
          <w:rFonts w:hint="default" w:ascii="Times New Roman" w:hAnsi="Times New Roman" w:eastAsia="方正仿宋_GBK" w:cs="Times New Roman"/>
          <w:b w:val="0"/>
          <w:bCs w:val="0"/>
          <w:color w:val="auto"/>
          <w:sz w:val="32"/>
          <w:szCs w:val="32"/>
          <w:lang w:val="en-US" w:eastAsia="zh-CN"/>
        </w:rPr>
        <w:t>府采购</w:t>
      </w:r>
      <w:r>
        <w:rPr>
          <w:rFonts w:hint="eastAsia" w:ascii="Times New Roman" w:hAnsi="Times New Roman" w:cs="Times New Roman"/>
          <w:b w:val="0"/>
          <w:bCs w:val="0"/>
          <w:color w:val="auto"/>
          <w:sz w:val="32"/>
          <w:szCs w:val="32"/>
          <w:lang w:val="en-US" w:eastAsia="zh-CN"/>
        </w:rPr>
        <w:t>合同规模4</w:t>
      </w:r>
      <w:r>
        <w:rPr>
          <w:rFonts w:hint="default" w:ascii="Times New Roman" w:hAnsi="Times New Roman" w:eastAsia="方正仿宋_GBK" w:cs="Times New Roman"/>
          <w:b w:val="0"/>
          <w:bCs w:val="0"/>
          <w:color w:val="auto"/>
          <w:sz w:val="32"/>
          <w:szCs w:val="32"/>
          <w:lang w:val="en-US" w:eastAsia="zh-CN"/>
        </w:rPr>
        <w:t>亿元</w:t>
      </w:r>
      <w:r>
        <w:rPr>
          <w:rFonts w:hint="eastAsia" w:ascii="Times New Roman" w:hAnsi="Times New Roman" w:cs="Times New Roman"/>
          <w:b w:val="0"/>
          <w:bCs w:val="0"/>
          <w:color w:val="auto"/>
          <w:sz w:val="32"/>
          <w:szCs w:val="32"/>
          <w:lang w:val="en-US" w:eastAsia="zh-CN"/>
        </w:rPr>
        <w:t>，占比86.2%</w:t>
      </w:r>
      <w:r>
        <w:rPr>
          <w:rFonts w:hint="default" w:ascii="Times New Roman" w:hAnsi="Times New Roman" w:eastAsia="方正仿宋_GBK" w:cs="Times New Roman"/>
          <w:b w:val="0"/>
          <w:bCs w:val="0"/>
          <w:color w:val="auto"/>
          <w:sz w:val="32"/>
          <w:szCs w:val="32"/>
          <w:lang w:val="en-US" w:eastAsia="zh-CN"/>
        </w:rPr>
        <w:t>。投入</w:t>
      </w:r>
      <w:r>
        <w:rPr>
          <w:rFonts w:hint="eastAsia" w:ascii="Times New Roman" w:hAnsi="Times New Roman" w:cs="Times New Roman"/>
          <w:b w:val="0"/>
          <w:bCs w:val="0"/>
          <w:color w:val="auto"/>
          <w:sz w:val="32"/>
          <w:szCs w:val="32"/>
          <w:lang w:val="en-US" w:eastAsia="zh-CN"/>
        </w:rPr>
        <w:t>近1,000</w:t>
      </w:r>
      <w:r>
        <w:rPr>
          <w:rFonts w:hint="default" w:ascii="Times New Roman" w:hAnsi="Times New Roman" w:eastAsia="方正仿宋_GBK" w:cs="Times New Roman"/>
          <w:b w:val="0"/>
          <w:bCs w:val="0"/>
          <w:color w:val="auto"/>
          <w:sz w:val="32"/>
          <w:szCs w:val="32"/>
          <w:lang w:val="en-US" w:eastAsia="zh-CN"/>
        </w:rPr>
        <w:t>万元</w:t>
      </w:r>
      <w:r>
        <w:rPr>
          <w:rFonts w:hint="eastAsia" w:ascii="Times New Roman" w:hAnsi="Times New Roman" w:cs="Times New Roman"/>
          <w:b w:val="0"/>
          <w:bCs w:val="0"/>
          <w:color w:val="auto"/>
          <w:sz w:val="32"/>
          <w:szCs w:val="32"/>
          <w:lang w:val="en-US" w:eastAsia="zh-CN"/>
        </w:rPr>
        <w:t>，发放</w:t>
      </w:r>
      <w:r>
        <w:rPr>
          <w:rFonts w:hint="default" w:ascii="Times New Roman" w:hAnsi="Times New Roman" w:eastAsia="方正仿宋_GBK" w:cs="Times New Roman"/>
          <w:b w:val="0"/>
          <w:bCs w:val="0"/>
          <w:color w:val="auto"/>
          <w:sz w:val="32"/>
          <w:szCs w:val="32"/>
          <w:lang w:val="en-US" w:eastAsia="zh-CN"/>
        </w:rPr>
        <w:t>购房契税消费券</w:t>
      </w:r>
      <w:r>
        <w:rPr>
          <w:rFonts w:hint="eastAsia" w:ascii="Times New Roman" w:hAnsi="Times New Roman" w:cs="Times New Roman"/>
          <w:b w:val="0"/>
          <w:bCs w:val="0"/>
          <w:color w:val="auto"/>
          <w:sz w:val="32"/>
          <w:szCs w:val="32"/>
          <w:lang w:val="en-US" w:eastAsia="zh-CN"/>
        </w:rPr>
        <w:t>，举办</w:t>
      </w:r>
      <w:r>
        <w:rPr>
          <w:rFonts w:hint="eastAsia" w:eastAsia="方正仿宋_GBK" w:cs="Times New Roman"/>
          <w:b w:val="0"/>
          <w:bCs w:val="0"/>
          <w:color w:val="auto"/>
          <w:sz w:val="32"/>
          <w:szCs w:val="32"/>
          <w:lang w:val="en-US" w:eastAsia="zh-CN"/>
        </w:rPr>
        <w:t>重庆火锅节、重庆小面节</w:t>
      </w:r>
      <w:r>
        <w:rPr>
          <w:rFonts w:hint="default" w:ascii="Times New Roman" w:hAnsi="Times New Roman" w:eastAsia="方正仿宋_GBK" w:cs="Times New Roman"/>
          <w:b w:val="0"/>
          <w:bCs w:val="0"/>
          <w:color w:val="auto"/>
          <w:sz w:val="32"/>
          <w:szCs w:val="32"/>
          <w:lang w:val="en-US" w:eastAsia="zh-CN"/>
        </w:rPr>
        <w:t>等活动，释放消费潜力。</w:t>
      </w:r>
      <w:r>
        <w:rPr>
          <w:rFonts w:hint="eastAsia" w:ascii="方正仿宋_GBK" w:hAnsi="方正仿宋_GBK" w:eastAsia="方正仿宋_GBK" w:cs="方正仿宋_GBK"/>
          <w:b/>
          <w:bCs/>
          <w:color w:val="auto"/>
          <w:sz w:val="32"/>
          <w:szCs w:val="32"/>
          <w:lang w:eastAsia="zh-CN"/>
        </w:rPr>
        <w:t>赋能现代产业体系，推动能级跃升。</w:t>
      </w:r>
      <w:r>
        <w:rPr>
          <w:rFonts w:hint="eastAsia" w:ascii="方正仿宋_GBK" w:hAnsi="方正仿宋_GBK" w:eastAsia="方正仿宋_GBK" w:cs="方正仿宋_GBK"/>
          <w:b w:val="0"/>
          <w:bCs w:val="0"/>
          <w:color w:val="auto"/>
          <w:sz w:val="32"/>
          <w:szCs w:val="32"/>
          <w:lang w:eastAsia="zh-CN"/>
        </w:rPr>
        <w:t>紧密围绕全区构建“</w:t>
      </w:r>
      <w:r>
        <w:rPr>
          <w:rFonts w:hint="default" w:ascii="Times New Roman" w:hAnsi="Times New Roman" w:eastAsia="方正仿宋_GBK" w:cs="Times New Roman"/>
          <w:b w:val="0"/>
          <w:bCs w:val="0"/>
          <w:color w:val="auto"/>
          <w:sz w:val="32"/>
          <w:szCs w:val="32"/>
          <w:lang w:val="en-US" w:eastAsia="zh-CN"/>
        </w:rPr>
        <w:t>3216</w:t>
      </w:r>
      <w:r>
        <w:rPr>
          <w:rFonts w:hint="eastAsia" w:ascii="方正仿宋_GBK" w:hAnsi="方正仿宋_GBK" w:eastAsia="方正仿宋_GBK" w:cs="方正仿宋_GBK"/>
          <w:b w:val="0"/>
          <w:bCs w:val="0"/>
          <w:color w:val="auto"/>
          <w:sz w:val="32"/>
          <w:szCs w:val="32"/>
          <w:lang w:eastAsia="zh-CN"/>
        </w:rPr>
        <w:t>”现代产业体系的战略目标，精准配置资源。安排</w:t>
      </w:r>
      <w:r>
        <w:rPr>
          <w:rFonts w:hint="eastAsia" w:ascii="Times New Roman" w:hAnsi="Times New Roman" w:cs="Times New Roman"/>
          <w:b w:val="0"/>
          <w:bCs w:val="0"/>
          <w:color w:val="auto"/>
          <w:sz w:val="32"/>
          <w:szCs w:val="32"/>
          <w:lang w:val="en-US" w:eastAsia="zh-CN"/>
        </w:rPr>
        <w:t>专项经费</w:t>
      </w:r>
      <w:r>
        <w:rPr>
          <w:rFonts w:hint="default" w:ascii="Times New Roman" w:hAnsi="Times New Roman" w:eastAsia="方正仿宋_GBK" w:cs="Times New Roman"/>
          <w:b w:val="0"/>
          <w:bCs w:val="0"/>
          <w:color w:val="auto"/>
          <w:sz w:val="32"/>
          <w:szCs w:val="32"/>
          <w:lang w:eastAsia="zh-CN"/>
        </w:rPr>
        <w:t>保障专业化驻</w:t>
      </w:r>
      <w:r>
        <w:rPr>
          <w:rFonts w:hint="eastAsia" w:ascii="方正仿宋_GBK" w:hAnsi="方正仿宋_GBK" w:eastAsia="方正仿宋_GBK" w:cs="方正仿宋_GBK"/>
          <w:b w:val="0"/>
          <w:bCs w:val="0"/>
          <w:color w:val="auto"/>
          <w:sz w:val="32"/>
          <w:szCs w:val="32"/>
          <w:lang w:eastAsia="zh-CN"/>
        </w:rPr>
        <w:t>外招商和产业专班招商，全年新</w:t>
      </w:r>
      <w:r>
        <w:rPr>
          <w:rFonts w:hint="eastAsia" w:ascii="方正仿宋_GBK" w:hAnsi="方正仿宋_GBK" w:cs="方正仿宋_GBK"/>
          <w:b w:val="0"/>
          <w:bCs w:val="0"/>
          <w:color w:val="auto"/>
          <w:sz w:val="32"/>
          <w:szCs w:val="32"/>
          <w:lang w:eastAsia="zh-CN"/>
        </w:rPr>
        <w:t>招引</w:t>
      </w:r>
      <w:r>
        <w:rPr>
          <w:rFonts w:hint="eastAsia" w:ascii="方正仿宋_GBK" w:hAnsi="方正仿宋_GBK" w:eastAsia="方正仿宋_GBK" w:cs="方正仿宋_GBK"/>
          <w:b w:val="0"/>
          <w:bCs w:val="0"/>
          <w:color w:val="auto"/>
          <w:sz w:val="32"/>
          <w:szCs w:val="32"/>
          <w:lang w:eastAsia="zh-CN"/>
        </w:rPr>
        <w:t>项</w:t>
      </w:r>
      <w:r>
        <w:rPr>
          <w:rFonts w:hint="default" w:ascii="Times New Roman" w:hAnsi="Times New Roman" w:eastAsia="方正仿宋_GBK" w:cs="Times New Roman"/>
          <w:b w:val="0"/>
          <w:bCs w:val="0"/>
          <w:color w:val="auto"/>
          <w:sz w:val="32"/>
          <w:szCs w:val="32"/>
          <w:lang w:eastAsia="zh-CN"/>
        </w:rPr>
        <w:t>目</w:t>
      </w:r>
      <w:r>
        <w:rPr>
          <w:rFonts w:hint="default" w:ascii="Times New Roman" w:hAnsi="Times New Roman" w:cs="Times New Roman"/>
          <w:b w:val="0"/>
          <w:bCs w:val="0"/>
          <w:color w:val="auto"/>
          <w:sz w:val="32"/>
          <w:szCs w:val="32"/>
          <w:lang w:val="en-US" w:eastAsia="zh-CN"/>
        </w:rPr>
        <w:t>169</w:t>
      </w:r>
      <w:r>
        <w:rPr>
          <w:rFonts w:hint="default" w:ascii="Times New Roman" w:hAnsi="Times New Roman" w:eastAsia="方正仿宋_GBK" w:cs="Times New Roman"/>
          <w:b w:val="0"/>
          <w:bCs w:val="0"/>
          <w:color w:val="auto"/>
          <w:sz w:val="32"/>
          <w:szCs w:val="32"/>
          <w:lang w:val="en-US" w:eastAsia="zh-CN"/>
        </w:rPr>
        <w:t>个</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cs="方正仿宋_GBK"/>
          <w:b w:val="0"/>
          <w:bCs w:val="0"/>
          <w:color w:val="auto"/>
          <w:sz w:val="32"/>
          <w:szCs w:val="32"/>
          <w:lang w:val="en-US" w:eastAsia="zh-CN"/>
        </w:rPr>
        <w:t>天农集团、新华贸等头部企业签约落地，钱江摩托、苏文电能等上市企业入驻</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加</w:t>
      </w:r>
      <w:r>
        <w:rPr>
          <w:rFonts w:hint="eastAsia" w:ascii="方正仿宋_GBK" w:hAnsi="方正仿宋_GBK" w:eastAsia="方正仿宋_GBK" w:cs="方正仿宋_GBK"/>
          <w:b w:val="0"/>
          <w:bCs w:val="0"/>
          <w:color w:val="auto"/>
          <w:sz w:val="32"/>
          <w:szCs w:val="32"/>
          <w:lang w:eastAsia="zh-CN"/>
        </w:rPr>
        <w:t>快推动产业转型升级，新增“专精特新”企</w:t>
      </w:r>
      <w:r>
        <w:rPr>
          <w:rFonts w:hint="default" w:ascii="Times New Roman" w:hAnsi="Times New Roman" w:eastAsia="方正仿宋_GBK" w:cs="Times New Roman"/>
          <w:b w:val="0"/>
          <w:bCs w:val="0"/>
          <w:color w:val="auto"/>
          <w:sz w:val="32"/>
          <w:szCs w:val="32"/>
          <w:lang w:eastAsia="zh-CN"/>
        </w:rPr>
        <w:t>业</w:t>
      </w:r>
      <w:r>
        <w:rPr>
          <w:rFonts w:hint="default" w:ascii="Times New Roman" w:hAnsi="Times New Roman" w:eastAsia="方正仿宋_GBK" w:cs="Times New Roman"/>
          <w:b w:val="0"/>
          <w:bCs w:val="0"/>
          <w:color w:val="auto"/>
          <w:sz w:val="32"/>
          <w:szCs w:val="32"/>
          <w:lang w:val="en-US" w:eastAsia="zh-CN"/>
        </w:rPr>
        <w:t>20家、瞪羚企业2家，</w:t>
      </w:r>
      <w:r>
        <w:rPr>
          <w:rFonts w:hint="eastAsia" w:eastAsia="方正仿宋_GBK" w:cs="Times New Roman"/>
          <w:b w:val="0"/>
          <w:bCs w:val="0"/>
          <w:color w:val="auto"/>
          <w:sz w:val="32"/>
          <w:szCs w:val="32"/>
          <w:lang w:eastAsia="zh-CN"/>
        </w:rPr>
        <w:t>国际复</w:t>
      </w:r>
      <w:r>
        <w:rPr>
          <w:rFonts w:hint="eastAsia" w:cs="Times New Roman"/>
          <w:b w:val="0"/>
          <w:bCs w:val="0"/>
          <w:color w:val="auto"/>
          <w:sz w:val="32"/>
          <w:szCs w:val="32"/>
          <w:lang w:eastAsia="zh-CN"/>
        </w:rPr>
        <w:t>材</w:t>
      </w:r>
      <w:r>
        <w:rPr>
          <w:rFonts w:hint="default" w:ascii="Times New Roman" w:hAnsi="Times New Roman" w:eastAsia="方正仿宋_GBK" w:cs="Times New Roman"/>
          <w:b w:val="0"/>
          <w:bCs w:val="0"/>
          <w:color w:val="auto"/>
          <w:sz w:val="32"/>
          <w:szCs w:val="32"/>
          <w:lang w:eastAsia="zh-CN"/>
        </w:rPr>
        <w:t>等</w:t>
      </w:r>
      <w:r>
        <w:rPr>
          <w:rFonts w:hint="eastAsia" w:ascii="Times New Roman" w:hAnsi="Times New Roman" w:cs="Times New Roman"/>
          <w:b w:val="0"/>
          <w:bCs w:val="0"/>
          <w:color w:val="auto"/>
          <w:sz w:val="32"/>
          <w:szCs w:val="32"/>
          <w:lang w:val="en-US" w:eastAsia="zh-CN"/>
        </w:rPr>
        <w:t>4家</w:t>
      </w:r>
      <w:r>
        <w:rPr>
          <w:rFonts w:hint="default" w:ascii="Times New Roman" w:hAnsi="Times New Roman" w:eastAsia="方正仿宋_GBK" w:cs="Times New Roman"/>
          <w:b w:val="0"/>
          <w:bCs w:val="0"/>
          <w:color w:val="auto"/>
          <w:sz w:val="32"/>
          <w:szCs w:val="32"/>
          <w:lang w:val="en-US" w:eastAsia="zh-CN"/>
        </w:rPr>
        <w:t>企业荣获</w:t>
      </w:r>
      <w:r>
        <w:rPr>
          <w:rFonts w:hint="eastAsia" w:eastAsia="方正仿宋_GBK" w:cs="Times New Roman"/>
          <w:b w:val="0"/>
          <w:bCs w:val="0"/>
          <w:color w:val="auto"/>
          <w:sz w:val="32"/>
          <w:szCs w:val="32"/>
          <w:lang w:val="en-US" w:eastAsia="zh-CN"/>
        </w:rPr>
        <w:t>市科技进步一等奖</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落实</w:t>
      </w:r>
      <w:r>
        <w:rPr>
          <w:rFonts w:hint="eastAsia" w:ascii="方正仿宋_GBK" w:hAnsi="方正仿宋_GBK" w:eastAsia="方正仿宋_GBK" w:cs="方正仿宋_GBK"/>
          <w:b w:val="0"/>
          <w:bCs w:val="0"/>
          <w:color w:val="auto"/>
          <w:sz w:val="32"/>
          <w:szCs w:val="32"/>
          <w:lang w:val="en-US" w:eastAsia="zh-CN"/>
        </w:rPr>
        <w:t>“科技创新十五条”</w:t>
      </w:r>
      <w:r>
        <w:rPr>
          <w:rFonts w:hint="default" w:ascii="Times New Roman" w:hAnsi="Times New Roman" w:eastAsia="方正仿宋_GBK" w:cs="Times New Roman"/>
          <w:b w:val="0"/>
          <w:bCs w:val="0"/>
          <w:color w:val="auto"/>
          <w:sz w:val="32"/>
          <w:szCs w:val="32"/>
          <w:lang w:val="en-US" w:eastAsia="zh-CN"/>
        </w:rPr>
        <w:t>政策，兑现</w:t>
      </w:r>
      <w:r>
        <w:rPr>
          <w:rFonts w:hint="eastAsia" w:ascii="Times New Roman" w:hAnsi="Times New Roman" w:cs="Times New Roman"/>
          <w:b w:val="0"/>
          <w:bCs w:val="0"/>
          <w:color w:val="auto"/>
          <w:sz w:val="32"/>
          <w:szCs w:val="32"/>
          <w:lang w:val="en-US" w:eastAsia="zh-CN"/>
        </w:rPr>
        <w:t>300</w:t>
      </w:r>
      <w:r>
        <w:rPr>
          <w:rFonts w:hint="default" w:ascii="Times New Roman" w:hAnsi="Times New Roman" w:eastAsia="方正仿宋_GBK" w:cs="Times New Roman"/>
          <w:b w:val="0"/>
          <w:bCs w:val="0"/>
          <w:color w:val="auto"/>
          <w:sz w:val="32"/>
          <w:szCs w:val="32"/>
          <w:lang w:val="en-US" w:eastAsia="zh-CN"/>
        </w:rPr>
        <w:t>余家科技型企业奖励</w:t>
      </w:r>
      <w:r>
        <w:rPr>
          <w:rFonts w:hint="eastAsia" w:ascii="Times New Roman" w:hAnsi="Times New Roman" w:cs="Times New Roman"/>
          <w:b w:val="0"/>
          <w:bCs w:val="0"/>
          <w:color w:val="auto"/>
          <w:sz w:val="32"/>
          <w:szCs w:val="32"/>
          <w:lang w:val="en-US" w:eastAsia="zh-CN"/>
        </w:rPr>
        <w:t>1,000</w:t>
      </w:r>
      <w:r>
        <w:rPr>
          <w:rFonts w:hint="default" w:ascii="Times New Roman" w:hAnsi="Times New Roman" w:eastAsia="方正仿宋_GBK" w:cs="Times New Roman"/>
          <w:b w:val="0"/>
          <w:bCs w:val="0"/>
          <w:color w:val="auto"/>
          <w:sz w:val="32"/>
          <w:szCs w:val="32"/>
          <w:lang w:val="en-US" w:eastAsia="zh-CN"/>
        </w:rPr>
        <w:t>万元，有效激励市场主体研发创新。</w:t>
      </w:r>
    </w:p>
    <w:p>
      <w:pPr>
        <w:pStyle w:val="2"/>
        <w:adjustRightInd w:val="0"/>
        <w:spacing w:after="0"/>
        <w:ind w:firstLine="643"/>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rPr>
        <w:t>四是</w:t>
      </w:r>
      <w:r>
        <w:rPr>
          <w:rFonts w:hint="eastAsia" w:ascii="方正仿宋_GBK" w:hAnsi="方正仿宋_GBK" w:eastAsia="方正仿宋_GBK" w:cs="方正仿宋_GBK"/>
          <w:b/>
          <w:bCs/>
          <w:color w:val="auto"/>
          <w:sz w:val="32"/>
          <w:szCs w:val="32"/>
          <w:lang w:eastAsia="zh-CN"/>
        </w:rPr>
        <w:t>精研改革创新，提升治理效能打造财政样板。</w:t>
      </w:r>
      <w:r>
        <w:rPr>
          <w:rFonts w:hint="eastAsia" w:ascii="方正仿宋_GBK" w:hAnsi="方正仿宋_GBK" w:eastAsia="方正仿宋_GBK" w:cs="方正仿宋_GBK"/>
          <w:b w:val="0"/>
          <w:bCs w:val="0"/>
          <w:color w:val="auto"/>
          <w:sz w:val="32"/>
          <w:szCs w:val="32"/>
          <w:lang w:eastAsia="zh-CN"/>
        </w:rPr>
        <w:t>始终坚持以改革创新为动力、系统集成为抓手，以深刻的改革治理智慧，将效能提升贯穿财政工作全过程。</w:t>
      </w:r>
      <w:r>
        <w:rPr>
          <w:rFonts w:hint="eastAsia" w:ascii="方正仿宋_GBK" w:hAnsi="方正仿宋_GBK" w:eastAsia="方正仿宋_GBK" w:cs="方正仿宋_GBK"/>
          <w:b/>
          <w:bCs/>
          <w:color w:val="auto"/>
          <w:sz w:val="32"/>
          <w:szCs w:val="32"/>
          <w:lang w:eastAsia="zh-CN"/>
        </w:rPr>
        <w:t>推进预算编制改革，重构源头管控机制。</w:t>
      </w:r>
      <w:r>
        <w:rPr>
          <w:rFonts w:hint="eastAsia" w:ascii="方正仿宋_GBK" w:hAnsi="方正仿宋_GBK" w:eastAsia="方正仿宋_GBK" w:cs="方正仿宋_GBK"/>
          <w:b w:val="0"/>
          <w:bCs w:val="0"/>
          <w:color w:val="auto"/>
          <w:sz w:val="32"/>
          <w:szCs w:val="32"/>
          <w:lang w:eastAsia="zh-CN"/>
        </w:rPr>
        <w:t>全面推进零基预算改革，建立“从零开始”预算编审机制，注重绩效评价结果运用。实行项目分类管理，建立</w:t>
      </w:r>
      <w:r>
        <w:rPr>
          <w:rFonts w:hint="default" w:ascii="Times New Roman" w:hAnsi="Times New Roman" w:eastAsia="方正仿宋_GBK" w:cs="Times New Roman"/>
          <w:b w:val="0"/>
          <w:bCs w:val="0"/>
          <w:color w:val="auto"/>
          <w:sz w:val="32"/>
          <w:szCs w:val="32"/>
          <w:lang w:val="en-US" w:eastAsia="zh-CN"/>
        </w:rPr>
        <w:t>17类一</w:t>
      </w:r>
      <w:r>
        <w:rPr>
          <w:rFonts w:hint="eastAsia" w:ascii="方正仿宋_GBK" w:hAnsi="方正仿宋_GBK" w:eastAsia="方正仿宋_GBK" w:cs="方正仿宋_GBK"/>
          <w:b w:val="0"/>
          <w:bCs w:val="0"/>
          <w:color w:val="auto"/>
          <w:sz w:val="32"/>
          <w:szCs w:val="32"/>
          <w:lang w:val="en-US" w:eastAsia="zh-CN"/>
        </w:rPr>
        <w:t>般性项目横向评审机制，优化重点项目公开评审方式。实施</w:t>
      </w:r>
      <w:r>
        <w:rPr>
          <w:rFonts w:hint="default" w:ascii="Times New Roman" w:hAnsi="Times New Roman" w:eastAsia="方正仿宋_GBK" w:cs="Times New Roman"/>
          <w:b w:val="0"/>
          <w:bCs w:val="0"/>
          <w:color w:val="auto"/>
          <w:sz w:val="32"/>
          <w:szCs w:val="32"/>
          <w:lang w:val="en-US" w:eastAsia="zh-CN"/>
        </w:rPr>
        <w:t>ABC</w:t>
      </w:r>
      <w:r>
        <w:rPr>
          <w:rFonts w:hint="eastAsia" w:ascii="方正仿宋_GBK" w:hAnsi="方正仿宋_GBK" w:eastAsia="方正仿宋_GBK" w:cs="方正仿宋_GBK"/>
          <w:b w:val="0"/>
          <w:bCs w:val="0"/>
          <w:color w:val="auto"/>
          <w:sz w:val="32"/>
          <w:szCs w:val="32"/>
          <w:lang w:val="en-US" w:eastAsia="zh-CN"/>
        </w:rPr>
        <w:t>排序保障机制，优先安排前序支出，提高重点支出保障集中度。</w:t>
      </w:r>
      <w:r>
        <w:rPr>
          <w:rFonts w:hint="eastAsia" w:ascii="方正仿宋_GBK" w:hAnsi="方正仿宋_GBK" w:eastAsia="方正仿宋_GBK" w:cs="方正仿宋_GBK"/>
          <w:b w:val="0"/>
          <w:bCs w:val="0"/>
          <w:color w:val="auto"/>
          <w:sz w:val="32"/>
          <w:szCs w:val="32"/>
          <w:lang w:eastAsia="zh-CN"/>
        </w:rPr>
        <w:t>强化预算刚性约束，严格执行区人代会批准的预算，严控预算追加和调剂，实行预算执行全过程监控。</w:t>
      </w:r>
      <w:r>
        <w:rPr>
          <w:rFonts w:hint="eastAsia" w:ascii="方正仿宋_GBK" w:hAnsi="方正仿宋_GBK" w:eastAsia="方正仿宋_GBK" w:cs="方正仿宋_GBK"/>
          <w:b/>
          <w:bCs/>
          <w:color w:val="auto"/>
          <w:sz w:val="32"/>
          <w:szCs w:val="32"/>
          <w:lang w:eastAsia="zh-CN"/>
        </w:rPr>
        <w:t>创新差旅报销模式，打造智慧监管样本。</w:t>
      </w:r>
      <w:r>
        <w:rPr>
          <w:rFonts w:hint="eastAsia" w:ascii="方正仿宋_GBK" w:hAnsi="方正仿宋_GBK" w:eastAsia="方正仿宋_GBK" w:cs="方正仿宋_GBK"/>
          <w:b w:val="0"/>
          <w:bCs w:val="0"/>
          <w:color w:val="auto"/>
          <w:sz w:val="32"/>
          <w:szCs w:val="32"/>
          <w:highlight w:val="none"/>
          <w:lang w:eastAsia="zh-CN"/>
        </w:rPr>
        <w:t>以“坚持源头治理、注重制度约束、推动数字赋能”为核心，率先在全市以“全覆盖”模式启动差旅报销</w:t>
      </w:r>
      <w:r>
        <w:rPr>
          <w:rFonts w:hint="eastAsia" w:ascii="方正仿宋_GBK" w:hAnsi="方正仿宋_GBK" w:eastAsia="方正仿宋_GBK" w:cs="方正仿宋_GBK"/>
          <w:b w:val="0"/>
          <w:bCs w:val="0"/>
          <w:color w:val="auto"/>
          <w:sz w:val="32"/>
          <w:szCs w:val="32"/>
          <w:highlight w:val="none"/>
          <w:lang w:val="en-US" w:eastAsia="zh-CN"/>
        </w:rPr>
        <w:t>电子化</w:t>
      </w:r>
      <w:r>
        <w:rPr>
          <w:rFonts w:hint="eastAsia" w:ascii="方正仿宋_GBK" w:hAnsi="方正仿宋_GBK" w:eastAsia="方正仿宋_GBK" w:cs="方正仿宋_GBK"/>
          <w:b w:val="0"/>
          <w:bCs w:val="0"/>
          <w:color w:val="auto"/>
          <w:sz w:val="32"/>
          <w:szCs w:val="32"/>
          <w:highlight w:val="none"/>
          <w:lang w:eastAsia="zh-CN"/>
        </w:rPr>
        <w:t>改革，以流程再造实现厉行节约，从“被动约束”向“主动赋能”转变，为基层严控行政成本提供了可操作的实</w:t>
      </w:r>
      <w:r>
        <w:rPr>
          <w:rFonts w:hint="default" w:ascii="Times New Roman" w:hAnsi="Times New Roman" w:eastAsia="方正仿宋_GBK" w:cs="Times New Roman"/>
          <w:b w:val="0"/>
          <w:bCs w:val="0"/>
          <w:color w:val="auto"/>
          <w:sz w:val="32"/>
          <w:szCs w:val="32"/>
          <w:highlight w:val="none"/>
          <w:lang w:eastAsia="zh-CN"/>
        </w:rPr>
        <w:t>践样本</w:t>
      </w:r>
      <w:r>
        <w:rPr>
          <w:rFonts w:hint="eastAsia" w:ascii="Times New Roman" w:hAnsi="Times New Roman" w:eastAsia="方正仿宋_GBK" w:cs="Times New Roman"/>
          <w:b w:val="0"/>
          <w:bCs w:val="0"/>
          <w:color w:val="auto"/>
          <w:sz w:val="32"/>
          <w:szCs w:val="32"/>
          <w:highlight w:val="none"/>
          <w:lang w:eastAsia="zh-CN"/>
        </w:rPr>
        <w:t>，差旅</w:t>
      </w:r>
      <w:r>
        <w:rPr>
          <w:rFonts w:hint="eastAsia" w:ascii="Times New Roman" w:hAnsi="Times New Roman" w:eastAsia="方正仿宋_GBK" w:cs="Times New Roman"/>
          <w:b w:val="0"/>
          <w:bCs w:val="0"/>
          <w:color w:val="auto"/>
          <w:sz w:val="32"/>
          <w:szCs w:val="32"/>
          <w:highlight w:val="none"/>
          <w:lang w:val="en-US" w:eastAsia="zh-CN"/>
        </w:rPr>
        <w:t>综合</w:t>
      </w:r>
      <w:r>
        <w:rPr>
          <w:rFonts w:hint="eastAsia" w:ascii="Times New Roman" w:hAnsi="Times New Roman" w:eastAsia="方正仿宋_GBK" w:cs="Times New Roman"/>
          <w:b w:val="0"/>
          <w:bCs w:val="0"/>
          <w:color w:val="auto"/>
          <w:sz w:val="32"/>
          <w:szCs w:val="32"/>
          <w:highlight w:val="none"/>
          <w:lang w:eastAsia="zh-CN"/>
        </w:rPr>
        <w:t>成本实现下降，平均报销周期</w:t>
      </w:r>
      <w:r>
        <w:rPr>
          <w:rFonts w:hint="eastAsia" w:ascii="Times New Roman" w:hAnsi="Times New Roman" w:eastAsia="方正仿宋_GBK" w:cs="Times New Roman"/>
          <w:b w:val="0"/>
          <w:bCs w:val="0"/>
          <w:color w:val="auto"/>
          <w:sz w:val="32"/>
          <w:szCs w:val="32"/>
          <w:highlight w:val="none"/>
          <w:lang w:val="en-US" w:eastAsia="zh-CN"/>
        </w:rPr>
        <w:t>可</w:t>
      </w:r>
      <w:r>
        <w:rPr>
          <w:rFonts w:hint="eastAsia" w:ascii="Times New Roman" w:hAnsi="Times New Roman" w:eastAsia="方正仿宋_GBK" w:cs="Times New Roman"/>
          <w:b w:val="0"/>
          <w:bCs w:val="0"/>
          <w:color w:val="auto"/>
          <w:sz w:val="32"/>
          <w:szCs w:val="32"/>
          <w:highlight w:val="none"/>
          <w:lang w:eastAsia="zh-CN"/>
        </w:rPr>
        <w:t>压缩至</w:t>
      </w:r>
      <w:r>
        <w:rPr>
          <w:rFonts w:hint="eastAsia" w:ascii="Times New Roman" w:hAnsi="Times New Roman" w:eastAsia="方正仿宋_GBK" w:cs="Times New Roman"/>
          <w:b w:val="0"/>
          <w:bCs w:val="0"/>
          <w:color w:val="auto"/>
          <w:sz w:val="32"/>
          <w:szCs w:val="32"/>
          <w:highlight w:val="none"/>
          <w:lang w:val="en-US" w:eastAsia="zh-CN"/>
        </w:rPr>
        <w:t>30分钟</w:t>
      </w:r>
      <w:r>
        <w:rPr>
          <w:rFonts w:hint="default" w:ascii="Times New Roman" w:hAnsi="Times New Roman" w:eastAsia="方正仿宋_GBK" w:cs="Times New Roman"/>
          <w:b w:val="0"/>
          <w:bCs w:val="0"/>
          <w:color w:val="auto"/>
          <w:sz w:val="32"/>
          <w:szCs w:val="32"/>
          <w:highlight w:val="none"/>
          <w:lang w:eastAsia="zh-CN"/>
        </w:rPr>
        <w:t>。</w:t>
      </w:r>
      <w:r>
        <w:rPr>
          <w:rFonts w:hint="eastAsia" w:ascii="方正仿宋_GBK" w:hAnsi="方正仿宋_GBK" w:eastAsia="方正仿宋_GBK" w:cs="方正仿宋_GBK"/>
          <w:b/>
          <w:bCs/>
          <w:color w:val="auto"/>
          <w:sz w:val="32"/>
          <w:szCs w:val="32"/>
          <w:lang w:eastAsia="zh-CN"/>
        </w:rPr>
        <w:t>强化支出全程管控，构建协同增效闭环。</w:t>
      </w:r>
      <w:r>
        <w:rPr>
          <w:rFonts w:hint="eastAsia" w:ascii="方正仿宋_GBK" w:hAnsi="方正仿宋_GBK" w:eastAsia="方正仿宋_GBK" w:cs="方正仿宋_GBK"/>
          <w:b w:val="0"/>
          <w:bCs w:val="0"/>
          <w:color w:val="auto"/>
          <w:sz w:val="32"/>
          <w:szCs w:val="32"/>
          <w:lang w:eastAsia="zh-CN"/>
        </w:rPr>
        <w:t>构建“预算绩效+采购监管+投资评审”的协同管控体系，推动财政资金配置效率和使用效益全面提升。全面深化财政预算绩效管理工作，开展</w:t>
      </w:r>
      <w:r>
        <w:rPr>
          <w:rFonts w:hint="eastAsia" w:ascii="Times New Roman" w:hAnsi="Times New Roman" w:eastAsia="方正仿宋_GBK" w:cs="Times New Roman"/>
          <w:b w:val="0"/>
          <w:bCs w:val="0"/>
          <w:color w:val="auto"/>
          <w:sz w:val="32"/>
          <w:szCs w:val="32"/>
          <w:lang w:val="en-US" w:eastAsia="zh-CN"/>
        </w:rPr>
        <w:t>141</w:t>
      </w:r>
      <w:r>
        <w:rPr>
          <w:rFonts w:hint="default" w:ascii="Times New Roman" w:hAnsi="Times New Roman" w:eastAsia="方正仿宋_GBK" w:cs="Times New Roman"/>
          <w:b w:val="0"/>
          <w:bCs w:val="0"/>
          <w:color w:val="auto"/>
          <w:sz w:val="32"/>
          <w:szCs w:val="32"/>
          <w:lang w:eastAsia="zh-CN"/>
        </w:rPr>
        <w:t>个项目事前绩效评估，涉及金额</w:t>
      </w:r>
      <w:r>
        <w:rPr>
          <w:rFonts w:hint="eastAsia" w:ascii="Times New Roman" w:hAnsi="Times New Roman" w:eastAsia="方正仿宋_GBK" w:cs="Times New Roman"/>
          <w:b w:val="0"/>
          <w:bCs w:val="0"/>
          <w:color w:val="auto"/>
          <w:sz w:val="32"/>
          <w:szCs w:val="32"/>
          <w:lang w:val="en-US" w:eastAsia="zh-CN"/>
        </w:rPr>
        <w:t>39.6</w:t>
      </w:r>
      <w:r>
        <w:rPr>
          <w:rFonts w:hint="default" w:ascii="Times New Roman" w:hAnsi="Times New Roman" w:eastAsia="方正仿宋_GBK" w:cs="Times New Roman"/>
          <w:b w:val="0"/>
          <w:bCs w:val="0"/>
          <w:color w:val="auto"/>
          <w:sz w:val="32"/>
          <w:szCs w:val="32"/>
          <w:lang w:eastAsia="zh-CN"/>
        </w:rPr>
        <w:t>亿元，从源头优化配置；对100万元以上项目实行重点监控，依据结果收回或调整预算；推动绩效信息全面公开，</w:t>
      </w:r>
      <w:r>
        <w:rPr>
          <w:rFonts w:hint="eastAsia" w:ascii="方正仿宋_GBK" w:hAnsi="方正仿宋_GBK" w:eastAsia="方正仿宋_GBK" w:cs="方正仿宋_GBK"/>
          <w:b w:val="0"/>
          <w:bCs w:val="0"/>
          <w:color w:val="auto"/>
          <w:sz w:val="32"/>
          <w:szCs w:val="32"/>
          <w:lang w:eastAsia="zh-CN"/>
        </w:rPr>
        <w:t>接受社会监督。</w:t>
      </w:r>
      <w:r>
        <w:rPr>
          <w:rFonts w:hint="default" w:ascii="Times New Roman" w:hAnsi="Times New Roman" w:eastAsia="方正仿宋_GBK" w:cs="Times New Roman"/>
          <w:color w:val="auto"/>
          <w:sz w:val="32"/>
          <w:szCs w:val="32"/>
          <w:lang w:eastAsia="zh-CN"/>
        </w:rPr>
        <w:t>深</w:t>
      </w:r>
      <w:r>
        <w:rPr>
          <w:rFonts w:hint="eastAsia" w:ascii="方正仿宋_GBK" w:hAnsi="方正仿宋_GBK" w:eastAsia="方正仿宋_GBK" w:cs="方正仿宋_GBK"/>
          <w:color w:val="auto"/>
          <w:sz w:val="32"/>
          <w:szCs w:val="32"/>
          <w:lang w:eastAsia="zh-CN"/>
        </w:rPr>
        <w:t>化“互联网+政府采购”监管，全流程</w:t>
      </w:r>
      <w:r>
        <w:rPr>
          <w:rFonts w:hint="default" w:ascii="Times New Roman" w:hAnsi="Times New Roman" w:eastAsia="方正仿宋_GBK" w:cs="Times New Roman"/>
          <w:color w:val="auto"/>
          <w:sz w:val="32"/>
          <w:szCs w:val="32"/>
          <w:lang w:eastAsia="zh-CN"/>
        </w:rPr>
        <w:t>电子化采购率达100%，合同签订时间同比压缩2</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eastAsia="zh-CN"/>
        </w:rPr>
        <w:t>%。聚焦预算和结算评审，对重点项目</w:t>
      </w:r>
      <w:r>
        <w:rPr>
          <w:rFonts w:hint="eastAsia" w:ascii="方正仿宋_GBK" w:hAnsi="方正仿宋_GBK" w:eastAsia="方正仿宋_GBK" w:cs="方正仿宋_GBK"/>
          <w:color w:val="auto"/>
          <w:sz w:val="32"/>
          <w:szCs w:val="32"/>
          <w:lang w:eastAsia="zh-CN"/>
        </w:rPr>
        <w:t>实行“即送即审”，全年</w:t>
      </w:r>
      <w:r>
        <w:rPr>
          <w:rFonts w:hint="default" w:ascii="Times New Roman" w:hAnsi="Times New Roman" w:eastAsia="方正仿宋_GBK" w:cs="Times New Roman"/>
          <w:color w:val="auto"/>
          <w:sz w:val="32"/>
          <w:szCs w:val="32"/>
          <w:lang w:eastAsia="zh-CN"/>
        </w:rPr>
        <w:t>办结项目154个，送审金额10.6亿元，审减</w:t>
      </w:r>
      <w:r>
        <w:rPr>
          <w:rFonts w:hint="eastAsia" w:ascii="Times New Roman" w:hAnsi="Times New Roman" w:eastAsia="方正仿宋_GBK" w:cs="Times New Roman"/>
          <w:color w:val="auto"/>
          <w:sz w:val="32"/>
          <w:szCs w:val="32"/>
          <w:lang w:eastAsia="zh-CN"/>
        </w:rPr>
        <w:t>金额</w:t>
      </w:r>
      <w:r>
        <w:rPr>
          <w:rFonts w:hint="default" w:ascii="Times New Roman" w:hAnsi="Times New Roman" w:eastAsia="方正仿宋_GBK" w:cs="Times New Roman"/>
          <w:color w:val="auto"/>
          <w:sz w:val="32"/>
          <w:szCs w:val="32"/>
          <w:lang w:eastAsia="zh-CN"/>
        </w:rPr>
        <w:t>2.1亿元，综合审减率19.5%，有效节支增效。</w:t>
      </w:r>
    </w:p>
    <w:p>
      <w:pPr>
        <w:keepNext w:val="0"/>
        <w:keepLines w:val="0"/>
        <w:pageBreakBefore w:val="0"/>
        <w:widowControl w:val="0"/>
        <w:kinsoku/>
        <w:wordWrap/>
        <w:overflowPunct/>
        <w:topLinePunct w:val="0"/>
        <w:autoSpaceDE/>
        <w:autoSpaceDN/>
        <w:bidi w:val="0"/>
        <w:adjustRightInd/>
        <w:snapToGrid/>
        <w:spacing w:after="0"/>
        <w:ind w:firstLine="643"/>
        <w:textAlignment w:val="auto"/>
        <w:outlineLvl w:val="9"/>
        <w:rPr>
          <w:rFonts w:hint="eastAsia"/>
          <w:b w:val="0"/>
          <w:bCs w:val="0"/>
          <w:color w:val="auto"/>
          <w:szCs w:val="32"/>
          <w:lang w:eastAsia="zh-CN"/>
        </w:rPr>
      </w:pPr>
      <w:r>
        <w:rPr>
          <w:rFonts w:hint="eastAsia" w:ascii="方正仿宋_GBK" w:hAnsi="方正仿宋_GBK" w:eastAsia="方正仿宋_GBK" w:cs="方正仿宋_GBK"/>
          <w:b/>
          <w:bCs/>
          <w:color w:val="auto"/>
          <w:szCs w:val="32"/>
        </w:rPr>
        <w:t>五是</w:t>
      </w:r>
      <w:r>
        <w:rPr>
          <w:rFonts w:hint="eastAsia" w:ascii="方正仿宋_GBK" w:hAnsi="方正仿宋_GBK" w:eastAsia="方正仿宋_GBK" w:cs="方正仿宋_GBK"/>
          <w:b/>
          <w:bCs/>
          <w:color w:val="auto"/>
          <w:szCs w:val="32"/>
          <w:lang w:eastAsia="zh-CN"/>
        </w:rPr>
        <w:t>精控运行风险，筑牢安全底线扛起财政担当。</w:t>
      </w:r>
      <w:r>
        <w:rPr>
          <w:rFonts w:hint="eastAsia" w:ascii="方正仿宋_GBK" w:hAnsi="方正仿宋_GBK" w:cs="方正仿宋_GBK"/>
          <w:b w:val="0"/>
          <w:bCs w:val="0"/>
          <w:color w:val="auto"/>
          <w:szCs w:val="32"/>
          <w:lang w:eastAsia="zh-CN"/>
        </w:rPr>
        <w:t>始终坚持以底线思维为约束、系统观念为指导，以清醒的政治责任意识，将风险防控贯穿财政工作全过程。</w:t>
      </w:r>
      <w:r>
        <w:rPr>
          <w:rFonts w:hint="eastAsia" w:ascii="方正仿宋_GBK" w:hAnsi="方正仿宋_GBK" w:cs="方正仿宋_GBK"/>
          <w:b/>
          <w:bCs/>
          <w:color w:val="auto"/>
          <w:szCs w:val="32"/>
          <w:lang w:eastAsia="zh-CN"/>
        </w:rPr>
        <w:t>债务风险防控有力有效。</w:t>
      </w:r>
      <w:r>
        <w:rPr>
          <w:rFonts w:hint="eastAsia" w:ascii="方正仿宋_GBK" w:hAnsi="方正仿宋_GBK" w:cs="方正仿宋_GBK"/>
          <w:b w:val="0"/>
          <w:bCs w:val="0"/>
          <w:color w:val="auto"/>
          <w:szCs w:val="32"/>
          <w:lang w:eastAsia="zh-CN"/>
        </w:rPr>
        <w:t>坚持底线思维，压实主体责任，坚决遏制新增隐性债务，稳妥有序化解存量债务，确保风险总体可控。坚持“资金跟着项目走”的原则，争取</w:t>
      </w:r>
      <w:r>
        <w:rPr>
          <w:rFonts w:hint="eastAsia" w:cs="Times New Roman"/>
          <w:b w:val="0"/>
          <w:bCs w:val="0"/>
          <w:color w:val="auto"/>
          <w:szCs w:val="32"/>
          <w:lang w:val="en-US" w:eastAsia="zh-CN"/>
        </w:rPr>
        <w:t>新增</w:t>
      </w:r>
      <w:r>
        <w:rPr>
          <w:rFonts w:hint="default" w:ascii="Times New Roman" w:hAnsi="Times New Roman" w:cs="Times New Roman"/>
          <w:b w:val="0"/>
          <w:bCs w:val="0"/>
          <w:color w:val="auto"/>
          <w:szCs w:val="32"/>
          <w:lang w:eastAsia="zh-CN"/>
        </w:rPr>
        <w:t>政府债券</w:t>
      </w:r>
      <w:r>
        <w:rPr>
          <w:rFonts w:hint="eastAsia" w:cs="Times New Roman"/>
          <w:b w:val="0"/>
          <w:bCs w:val="0"/>
          <w:color w:val="auto"/>
          <w:szCs w:val="32"/>
          <w:lang w:val="en-US" w:eastAsia="zh-CN"/>
        </w:rPr>
        <w:t>16.94亿元</w:t>
      </w:r>
      <w:r>
        <w:rPr>
          <w:rFonts w:hint="default" w:ascii="Times New Roman" w:hAnsi="Times New Roman" w:cs="Times New Roman"/>
          <w:b w:val="0"/>
          <w:bCs w:val="0"/>
          <w:color w:val="auto"/>
          <w:szCs w:val="32"/>
          <w:lang w:eastAsia="zh-CN"/>
        </w:rPr>
        <w:t>，全</w:t>
      </w:r>
      <w:r>
        <w:rPr>
          <w:rFonts w:hint="eastAsia" w:cs="Times New Roman"/>
          <w:b w:val="0"/>
          <w:bCs w:val="0"/>
          <w:color w:val="auto"/>
          <w:szCs w:val="32"/>
          <w:lang w:eastAsia="zh-CN"/>
        </w:rPr>
        <w:t>额</w:t>
      </w:r>
      <w:r>
        <w:rPr>
          <w:rFonts w:hint="default" w:ascii="Times New Roman" w:hAnsi="Times New Roman" w:cs="Times New Roman"/>
          <w:b w:val="0"/>
          <w:bCs w:val="0"/>
          <w:color w:val="auto"/>
          <w:szCs w:val="32"/>
          <w:lang w:eastAsia="zh-CN"/>
        </w:rPr>
        <w:t>用于教育、卫生、保障性住房等重点领域。通过加强预算统筹、盘活资产资源、</w:t>
      </w:r>
      <w:r>
        <w:rPr>
          <w:rFonts w:hint="eastAsia" w:cs="Times New Roman"/>
          <w:b w:val="0"/>
          <w:bCs w:val="0"/>
          <w:color w:val="auto"/>
          <w:szCs w:val="32"/>
          <w:lang w:eastAsia="zh-CN"/>
        </w:rPr>
        <w:t>争取</w:t>
      </w:r>
      <w:r>
        <w:rPr>
          <w:rFonts w:hint="default" w:ascii="Times New Roman" w:hAnsi="Times New Roman" w:cs="Times New Roman"/>
          <w:b w:val="0"/>
          <w:bCs w:val="0"/>
          <w:color w:val="auto"/>
          <w:szCs w:val="32"/>
          <w:lang w:eastAsia="zh-CN"/>
        </w:rPr>
        <w:t>再融资债券</w:t>
      </w:r>
      <w:r>
        <w:rPr>
          <w:rFonts w:hint="eastAsia" w:cs="Times New Roman"/>
          <w:b w:val="0"/>
          <w:bCs w:val="0"/>
          <w:color w:val="auto"/>
          <w:szCs w:val="32"/>
          <w:lang w:eastAsia="zh-CN"/>
        </w:rPr>
        <w:t>等</w:t>
      </w:r>
      <w:r>
        <w:rPr>
          <w:rFonts w:hint="default" w:ascii="Times New Roman" w:hAnsi="Times New Roman" w:cs="Times New Roman"/>
          <w:b w:val="0"/>
          <w:bCs w:val="0"/>
          <w:color w:val="auto"/>
          <w:szCs w:val="32"/>
          <w:lang w:eastAsia="zh-CN"/>
        </w:rPr>
        <w:t>多渠道筹措资金，</w:t>
      </w:r>
      <w:r>
        <w:rPr>
          <w:rFonts w:hint="eastAsia" w:ascii="方正仿宋_GBK" w:hAnsi="方正仿宋_GBK" w:cs="方正仿宋_GBK"/>
          <w:b w:val="0"/>
          <w:bCs w:val="0"/>
          <w:color w:val="auto"/>
          <w:szCs w:val="32"/>
          <w:lang w:eastAsia="zh-CN"/>
        </w:rPr>
        <w:t>足额兑付到期政府债务本息</w:t>
      </w:r>
      <w:r>
        <w:rPr>
          <w:rFonts w:hint="default" w:ascii="Times New Roman" w:hAnsi="Times New Roman" w:cs="Times New Roman"/>
          <w:b w:val="0"/>
          <w:bCs w:val="0"/>
          <w:color w:val="auto"/>
          <w:szCs w:val="32"/>
          <w:lang w:eastAsia="zh-CN"/>
        </w:rPr>
        <w:t>32.</w:t>
      </w:r>
      <w:r>
        <w:rPr>
          <w:rFonts w:hint="eastAsia" w:cs="Times New Roman"/>
          <w:b w:val="0"/>
          <w:bCs w:val="0"/>
          <w:color w:val="auto"/>
          <w:szCs w:val="32"/>
          <w:lang w:val="en-US" w:eastAsia="zh-CN"/>
        </w:rPr>
        <w:t>66</w:t>
      </w:r>
      <w:r>
        <w:rPr>
          <w:rFonts w:hint="default" w:ascii="Times New Roman" w:hAnsi="Times New Roman" w:cs="Times New Roman"/>
          <w:b w:val="0"/>
          <w:bCs w:val="0"/>
          <w:color w:val="auto"/>
          <w:szCs w:val="32"/>
          <w:lang w:eastAsia="zh-CN"/>
        </w:rPr>
        <w:t>亿元</w:t>
      </w:r>
      <w:r>
        <w:rPr>
          <w:rFonts w:hint="eastAsia" w:ascii="方正仿宋_GBK" w:hAnsi="方正仿宋_GBK" w:cs="方正仿宋_GBK"/>
          <w:b w:val="0"/>
          <w:bCs w:val="0"/>
          <w:color w:val="auto"/>
          <w:szCs w:val="32"/>
          <w:lang w:eastAsia="zh-CN"/>
        </w:rPr>
        <w:t>，牢牢守住不发生系统性风险的底线。</w:t>
      </w:r>
      <w:r>
        <w:rPr>
          <w:rFonts w:hint="eastAsia" w:ascii="方正仿宋_GBK" w:hAnsi="方正仿宋_GBK" w:eastAsia="方正仿宋_GBK" w:cs="方正仿宋_GBK"/>
          <w:b/>
          <w:bCs/>
          <w:color w:val="auto"/>
          <w:kern w:val="2"/>
          <w:sz w:val="32"/>
          <w:szCs w:val="32"/>
          <w:lang w:val="en-US" w:eastAsia="zh-CN" w:bidi="ar-SA"/>
        </w:rPr>
        <w:t>基层“三保”底线兜牢兜实。</w:t>
      </w:r>
      <w:r>
        <w:rPr>
          <w:rFonts w:hint="eastAsia" w:ascii="方正仿宋_GBK" w:hAnsi="方正仿宋_GBK" w:eastAsia="方正仿宋_GBK" w:cs="方正仿宋_GBK"/>
          <w:b w:val="0"/>
          <w:bCs w:val="0"/>
          <w:color w:val="auto"/>
          <w:kern w:val="2"/>
          <w:sz w:val="32"/>
          <w:szCs w:val="32"/>
          <w:lang w:val="en-US" w:eastAsia="zh-CN" w:bidi="ar-SA"/>
        </w:rPr>
        <w:t>牢固树立“小钱小气、大钱大方”的理财原则，严格执行新修订的《党政机关厉行节约反对浪费条例》</w:t>
      </w:r>
      <w:r>
        <w:rPr>
          <w:rFonts w:hint="eastAsia" w:ascii="方正仿宋_GBK" w:hAnsi="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b w:val="0"/>
          <w:bCs w:val="0"/>
          <w:color w:val="auto"/>
          <w:kern w:val="2"/>
          <w:sz w:val="32"/>
          <w:szCs w:val="32"/>
          <w:lang w:val="en-US" w:eastAsia="zh-CN" w:bidi="ar-SA"/>
        </w:rPr>
        <w:t>大力压减</w:t>
      </w:r>
      <w:r>
        <w:rPr>
          <w:rFonts w:hint="eastAsia" w:ascii="方正仿宋_GBK" w:hAnsi="方正仿宋_GBK" w:cs="方正仿宋_GBK"/>
          <w:b w:val="0"/>
          <w:bCs w:val="0"/>
          <w:color w:val="auto"/>
          <w:kern w:val="2"/>
          <w:sz w:val="32"/>
          <w:szCs w:val="32"/>
          <w:lang w:val="en-US" w:eastAsia="zh-CN" w:bidi="ar-SA"/>
        </w:rPr>
        <w:t>低效</w:t>
      </w:r>
      <w:r>
        <w:rPr>
          <w:rFonts w:hint="default" w:ascii="Times New Roman" w:hAnsi="Times New Roman" w:eastAsia="方正仿宋_GBK" w:cs="Times New Roman"/>
          <w:b w:val="0"/>
          <w:bCs w:val="0"/>
          <w:color w:val="auto"/>
          <w:kern w:val="2"/>
          <w:sz w:val="32"/>
          <w:szCs w:val="32"/>
          <w:lang w:val="en-US" w:eastAsia="zh-CN" w:bidi="ar-SA"/>
        </w:rPr>
        <w:t>预算</w:t>
      </w:r>
      <w:r>
        <w:rPr>
          <w:rFonts w:hint="default" w:ascii="Times New Roman" w:hAnsi="Times New Roman" w:cs="Times New Roman"/>
          <w:b w:val="0"/>
          <w:bCs w:val="0"/>
          <w:color w:val="auto"/>
          <w:kern w:val="2"/>
          <w:sz w:val="32"/>
          <w:szCs w:val="32"/>
          <w:lang w:val="en-US" w:eastAsia="zh-CN" w:bidi="ar-SA"/>
        </w:rPr>
        <w:t>4.1</w:t>
      </w:r>
      <w:r>
        <w:rPr>
          <w:rFonts w:hint="default" w:ascii="Times New Roman" w:hAnsi="Times New Roman" w:eastAsia="方正仿宋_GBK" w:cs="Times New Roman"/>
          <w:b w:val="0"/>
          <w:bCs w:val="0"/>
          <w:color w:val="auto"/>
          <w:kern w:val="2"/>
          <w:sz w:val="32"/>
          <w:szCs w:val="32"/>
          <w:lang w:val="en-US" w:eastAsia="zh-CN" w:bidi="ar-SA"/>
        </w:rPr>
        <w:t>亿元。</w:t>
      </w:r>
      <w:r>
        <w:rPr>
          <w:rFonts w:hint="eastAsia" w:ascii="方正仿宋_GBK" w:hAnsi="方正仿宋_GBK" w:eastAsia="方正仿宋_GBK" w:cs="方正仿宋_GBK"/>
          <w:b w:val="0"/>
          <w:bCs w:val="0"/>
          <w:color w:val="auto"/>
          <w:kern w:val="2"/>
          <w:sz w:val="32"/>
          <w:szCs w:val="32"/>
          <w:lang w:val="en-US" w:eastAsia="zh-CN" w:bidi="ar-SA"/>
        </w:rPr>
        <w:t>严控“三公”经费管理，实现</w:t>
      </w:r>
      <w:r>
        <w:rPr>
          <w:rFonts w:hint="eastAsia" w:ascii="方正仿宋_GBK" w:hAnsi="方正仿宋_GBK" w:cs="方正仿宋_GBK"/>
          <w:b w:val="0"/>
          <w:bCs w:val="0"/>
          <w:color w:val="auto"/>
          <w:kern w:val="2"/>
          <w:sz w:val="32"/>
          <w:szCs w:val="32"/>
          <w:lang w:val="en-US" w:eastAsia="zh-CN" w:bidi="ar-SA"/>
        </w:rPr>
        <w:t>“零增长”</w:t>
      </w:r>
      <w:r>
        <w:rPr>
          <w:rFonts w:hint="eastAsia" w:ascii="方正仿宋_GBK" w:hAnsi="方正仿宋_GBK" w:eastAsia="方正仿宋_GBK" w:cs="方正仿宋_GBK"/>
          <w:b w:val="0"/>
          <w:bCs w:val="0"/>
          <w:color w:val="auto"/>
          <w:kern w:val="2"/>
          <w:sz w:val="32"/>
          <w:szCs w:val="32"/>
          <w:lang w:val="en-US" w:eastAsia="zh-CN" w:bidi="ar-SA"/>
        </w:rPr>
        <w:t>。强化预算审核与绩效约束，集中财力保障大事要事。始终将“保基本民生、保工资、保运转”置于财政支出的最</w:t>
      </w:r>
      <w:bookmarkStart w:id="0" w:name="_GoBack"/>
      <w:bookmarkEnd w:id="0"/>
      <w:r>
        <w:rPr>
          <w:rFonts w:hint="eastAsia" w:ascii="方正仿宋_GBK" w:hAnsi="方正仿宋_GBK" w:eastAsia="方正仿宋_GBK" w:cs="方正仿宋_GBK"/>
          <w:b w:val="0"/>
          <w:bCs w:val="0"/>
          <w:color w:val="auto"/>
          <w:kern w:val="2"/>
          <w:sz w:val="32"/>
          <w:szCs w:val="32"/>
          <w:lang w:val="en-US" w:eastAsia="zh-CN" w:bidi="ar-SA"/>
        </w:rPr>
        <w:t>优先位置</w:t>
      </w:r>
      <w:r>
        <w:rPr>
          <w:rFonts w:hint="eastAsia" w:ascii="方正仿宋_GBK" w:hAnsi="方正仿宋_GBK" w:cs="方正仿宋_GBK"/>
          <w:b w:val="0"/>
          <w:bCs w:val="0"/>
          <w:color w:val="auto"/>
          <w:kern w:val="2"/>
          <w:sz w:val="32"/>
          <w:szCs w:val="32"/>
          <w:lang w:val="en-US" w:eastAsia="zh-CN" w:bidi="ar-SA"/>
        </w:rPr>
        <w:t>，预算执行实行</w:t>
      </w:r>
      <w:r>
        <w:rPr>
          <w:rFonts w:hint="eastAsia" w:ascii="方正仿宋_GBK" w:hAnsi="方正仿宋_GBK" w:eastAsia="方正仿宋_GBK" w:cs="方正仿宋_GBK"/>
          <w:b w:val="0"/>
          <w:bCs w:val="0"/>
          <w:color w:val="auto"/>
          <w:kern w:val="2"/>
          <w:sz w:val="32"/>
          <w:szCs w:val="32"/>
          <w:lang w:val="en-US" w:eastAsia="zh-CN" w:bidi="ar-SA"/>
        </w:rPr>
        <w:t>全流程动态监控和精准调度，切实兜</w:t>
      </w:r>
      <w:r>
        <w:rPr>
          <w:rFonts w:hint="default" w:ascii="Times New Roman" w:hAnsi="Times New Roman" w:eastAsia="方正仿宋_GBK" w:cs="Times New Roman"/>
          <w:b w:val="0"/>
          <w:bCs w:val="0"/>
          <w:color w:val="auto"/>
          <w:kern w:val="2"/>
          <w:sz w:val="32"/>
          <w:szCs w:val="32"/>
          <w:lang w:val="en-US" w:eastAsia="zh-CN" w:bidi="ar-SA"/>
        </w:rPr>
        <w:t>牢18亿</w:t>
      </w:r>
      <w:r>
        <w:rPr>
          <w:rFonts w:hint="eastAsia" w:ascii="方正仿宋_GBK" w:hAnsi="方正仿宋_GBK" w:eastAsia="方正仿宋_GBK" w:cs="方正仿宋_GBK"/>
          <w:b w:val="0"/>
          <w:bCs w:val="0"/>
          <w:color w:val="auto"/>
          <w:kern w:val="2"/>
          <w:sz w:val="32"/>
          <w:szCs w:val="32"/>
          <w:lang w:val="en-US" w:eastAsia="zh-CN" w:bidi="ar-SA"/>
        </w:rPr>
        <w:t>元“三保”支出底线</w:t>
      </w:r>
      <w:r>
        <w:rPr>
          <w:rFonts w:hint="eastAsia" w:ascii="方正仿宋_GBK" w:hAnsi="方正仿宋_GBK" w:cs="方正仿宋_GBK"/>
          <w:b w:val="0"/>
          <w:bCs w:val="0"/>
          <w:color w:val="auto"/>
          <w:kern w:val="2"/>
          <w:sz w:val="32"/>
          <w:szCs w:val="32"/>
          <w:lang w:val="en-US" w:eastAsia="zh-CN" w:bidi="ar-SA"/>
        </w:rPr>
        <w:t>。</w:t>
      </w:r>
      <w:r>
        <w:rPr>
          <w:rFonts w:hint="eastAsia" w:ascii="方正仿宋_GBK" w:hAnsi="方正仿宋_GBK" w:cs="方正仿宋_GBK"/>
          <w:b/>
          <w:bCs/>
          <w:color w:val="auto"/>
          <w:szCs w:val="32"/>
          <w:lang w:eastAsia="zh-CN"/>
        </w:rPr>
        <w:t>财经纪律约束从严从紧。</w:t>
      </w:r>
      <w:r>
        <w:rPr>
          <w:rFonts w:hint="eastAsia" w:ascii="方正仿宋_GBK" w:hAnsi="方正仿宋_GBK" w:cs="方正仿宋_GBK"/>
          <w:b w:val="0"/>
          <w:bCs w:val="0"/>
          <w:color w:val="auto"/>
          <w:szCs w:val="32"/>
          <w:lang w:eastAsia="zh-CN"/>
        </w:rPr>
        <w:t>聚焦财会监督与财经纪律、政府采购政策、财务人员反诈等主题，分层分类举办专题培</w:t>
      </w:r>
      <w:r>
        <w:rPr>
          <w:rFonts w:hint="default" w:ascii="Times New Roman" w:hAnsi="Times New Roman" w:cs="Times New Roman"/>
          <w:b w:val="0"/>
          <w:bCs w:val="0"/>
          <w:color w:val="auto"/>
          <w:szCs w:val="32"/>
          <w:lang w:eastAsia="zh-CN"/>
        </w:rPr>
        <w:t>训5场。</w:t>
      </w:r>
      <w:r>
        <w:rPr>
          <w:rFonts w:hint="eastAsia" w:ascii="方正仿宋_GBK" w:hAnsi="方正仿宋_GBK" w:cs="方正仿宋_GBK"/>
          <w:b w:val="0"/>
          <w:bCs w:val="0"/>
          <w:color w:val="auto"/>
          <w:szCs w:val="32"/>
          <w:lang w:eastAsia="zh-CN"/>
        </w:rPr>
        <w:t>组织参加重庆市会计知识大赛并获表彰，有效提升财务人员专业素养。拓展监督广度与深度，启动财会监督五年全覆盖检查，首次将社区纳入检查范围，并常态化整治代理记账行业乱象。狠抓内控制度建设，开展预算单位内控报告全覆盖核查，切实提升财经纪律的威慑力和财政管理的规范性。</w:t>
      </w:r>
    </w:p>
    <w:p>
      <w:pPr>
        <w:keepNext w:val="0"/>
        <w:keepLines w:val="0"/>
        <w:pageBreakBefore w:val="0"/>
        <w:widowControl w:val="0"/>
        <w:kinsoku/>
        <w:wordWrap/>
        <w:overflowPunct/>
        <w:topLinePunct w:val="0"/>
        <w:autoSpaceDE/>
        <w:autoSpaceDN/>
        <w:bidi w:val="0"/>
        <w:adjustRightInd/>
        <w:snapToGrid/>
        <w:spacing w:after="0"/>
        <w:ind w:firstLine="643"/>
        <w:textAlignment w:val="auto"/>
        <w:outlineLvl w:val="9"/>
        <w:rPr>
          <w:rFonts w:hint="eastAsia" w:eastAsia="方正仿宋_GBK"/>
          <w:color w:val="auto"/>
          <w:szCs w:val="32"/>
          <w:lang w:eastAsia="zh-CN"/>
        </w:rPr>
      </w:pPr>
      <w:r>
        <w:rPr>
          <w:rFonts w:hint="eastAsia" w:ascii="方正仿宋_GBK" w:hAnsi="方正仿宋_GBK" w:eastAsia="方正仿宋_GBK" w:cs="方正仿宋_GBK"/>
          <w:b/>
          <w:bCs/>
          <w:color w:val="auto"/>
          <w:szCs w:val="32"/>
          <w:lang w:eastAsia="zh-CN"/>
        </w:rPr>
        <w:t>六</w:t>
      </w:r>
      <w:r>
        <w:rPr>
          <w:rFonts w:hint="eastAsia" w:ascii="方正仿宋_GBK" w:hAnsi="方正仿宋_GBK" w:eastAsia="方正仿宋_GBK" w:cs="方正仿宋_GBK"/>
          <w:b/>
          <w:bCs/>
          <w:color w:val="auto"/>
          <w:szCs w:val="32"/>
        </w:rPr>
        <w:t>是</w:t>
      </w:r>
      <w:r>
        <w:rPr>
          <w:rFonts w:hint="eastAsia" w:ascii="方正仿宋_GBK" w:hAnsi="方正仿宋_GBK" w:eastAsia="方正仿宋_GBK" w:cs="方正仿宋_GBK"/>
          <w:b/>
          <w:bCs/>
          <w:color w:val="auto"/>
          <w:szCs w:val="32"/>
          <w:lang w:eastAsia="zh-CN"/>
        </w:rPr>
        <w:t>精塑法治规范，推进依法理财践行财政自觉。</w:t>
      </w:r>
      <w:r>
        <w:rPr>
          <w:rFonts w:hint="eastAsia" w:eastAsia="方正仿宋_GBK"/>
          <w:b w:val="0"/>
          <w:bCs w:val="0"/>
          <w:color w:val="auto"/>
          <w:szCs w:val="32"/>
          <w:lang w:eastAsia="zh-CN"/>
        </w:rPr>
        <w:t>始终坚持以法治思维为引领、规范管理为基础，以主动的法治自觉，将依法行政贯穿财政工作全过程。</w:t>
      </w:r>
      <w:r>
        <w:rPr>
          <w:rFonts w:hint="eastAsia" w:eastAsia="方正仿宋_GBK"/>
          <w:b/>
          <w:bCs/>
          <w:color w:val="auto"/>
          <w:szCs w:val="32"/>
          <w:lang w:eastAsia="zh-CN"/>
        </w:rPr>
        <w:t>严格执行决议。</w:t>
      </w:r>
      <w:r>
        <w:rPr>
          <w:rFonts w:hint="eastAsia" w:eastAsia="方正仿宋_GBK"/>
          <w:b w:val="0"/>
          <w:bCs w:val="0"/>
          <w:color w:val="auto"/>
          <w:szCs w:val="32"/>
          <w:lang w:eastAsia="zh-CN"/>
        </w:rPr>
        <w:t>坚持依法行政、依法理财，</w:t>
      </w:r>
      <w:r>
        <w:rPr>
          <w:rFonts w:hint="eastAsia"/>
          <w:b w:val="0"/>
          <w:bCs w:val="0"/>
          <w:color w:val="auto"/>
          <w:szCs w:val="32"/>
          <w:lang w:eastAsia="zh-CN"/>
        </w:rPr>
        <w:t>严格落实</w:t>
      </w:r>
      <w:r>
        <w:rPr>
          <w:rFonts w:hint="eastAsia" w:eastAsia="方正仿宋_GBK"/>
          <w:b w:val="0"/>
          <w:bCs w:val="0"/>
          <w:color w:val="auto"/>
          <w:szCs w:val="32"/>
          <w:lang w:eastAsia="zh-CN"/>
        </w:rPr>
        <w:t>《预算法》《预算法实施条例》《重庆市预算审查监督条例》等相关规定，严格按照区第十四届人大五次会议决议批准的预算安排，以及区十四届人大常委</w:t>
      </w:r>
      <w:r>
        <w:rPr>
          <w:rFonts w:hint="default" w:ascii="Times New Roman" w:hAnsi="Times New Roman" w:eastAsia="方正仿宋_GBK" w:cs="Times New Roman"/>
          <w:b w:val="0"/>
          <w:bCs w:val="0"/>
          <w:color w:val="auto"/>
          <w:szCs w:val="32"/>
          <w:lang w:eastAsia="zh-CN"/>
        </w:rPr>
        <w:t>会第</w:t>
      </w:r>
      <w:r>
        <w:rPr>
          <w:rFonts w:hint="eastAsia" w:cs="Times New Roman"/>
          <w:b w:val="0"/>
          <w:bCs w:val="0"/>
          <w:color w:val="auto"/>
          <w:szCs w:val="32"/>
          <w:lang w:val="en-US" w:eastAsia="zh-CN"/>
        </w:rPr>
        <w:t>三十三</w:t>
      </w:r>
      <w:r>
        <w:rPr>
          <w:rFonts w:hint="default" w:ascii="Times New Roman" w:hAnsi="Times New Roman" w:eastAsia="方正仿宋_GBK" w:cs="Times New Roman"/>
          <w:b w:val="0"/>
          <w:bCs w:val="0"/>
          <w:color w:val="auto"/>
          <w:szCs w:val="32"/>
          <w:lang w:eastAsia="zh-CN"/>
        </w:rPr>
        <w:t>次会议批准的调整预</w:t>
      </w:r>
      <w:r>
        <w:rPr>
          <w:rFonts w:hint="eastAsia" w:eastAsia="方正仿宋_GBK"/>
          <w:b w:val="0"/>
          <w:bCs w:val="0"/>
          <w:color w:val="auto"/>
          <w:szCs w:val="32"/>
          <w:lang w:eastAsia="zh-CN"/>
        </w:rPr>
        <w:t>算，认真执行各项财政收支预算。</w:t>
      </w:r>
      <w:r>
        <w:rPr>
          <w:rFonts w:hint="eastAsia" w:eastAsia="方正仿宋_GBK"/>
          <w:b/>
          <w:bCs/>
          <w:color w:val="auto"/>
          <w:szCs w:val="32"/>
          <w:lang w:eastAsia="zh-CN"/>
        </w:rPr>
        <w:t>自觉接受监督。</w:t>
      </w:r>
      <w:r>
        <w:rPr>
          <w:rFonts w:hint="eastAsia" w:eastAsia="方正仿宋_GBK"/>
          <w:b w:val="0"/>
          <w:bCs w:val="0"/>
          <w:color w:val="auto"/>
          <w:szCs w:val="32"/>
          <w:lang w:eastAsia="zh-CN"/>
        </w:rPr>
        <w:t>依法向区人大及其常委会报告政府预算编制、执行、调整、决算情况，专题汇报全区国有资产（资源）管理情况、政府债务管控情况等，</w:t>
      </w:r>
      <w:r>
        <w:rPr>
          <w:rFonts w:hint="eastAsia"/>
          <w:b w:val="0"/>
          <w:bCs w:val="0"/>
          <w:color w:val="auto"/>
          <w:szCs w:val="32"/>
          <w:lang w:eastAsia="zh-CN"/>
        </w:rPr>
        <w:t>严格</w:t>
      </w:r>
      <w:r>
        <w:rPr>
          <w:rFonts w:hint="eastAsia" w:eastAsia="方正仿宋_GBK"/>
          <w:b w:val="0"/>
          <w:bCs w:val="0"/>
          <w:color w:val="auto"/>
          <w:szCs w:val="32"/>
          <w:lang w:eastAsia="zh-CN"/>
        </w:rPr>
        <w:t>按照审议意见推进工作，提升财政资金和政策效能。</w:t>
      </w:r>
      <w:r>
        <w:rPr>
          <w:rFonts w:hint="eastAsia" w:eastAsia="方正仿宋_GBK"/>
          <w:b/>
          <w:bCs/>
          <w:color w:val="auto"/>
          <w:szCs w:val="32"/>
          <w:lang w:eastAsia="zh-CN"/>
        </w:rPr>
        <w:t>办理建议提案。</w:t>
      </w:r>
      <w:r>
        <w:rPr>
          <w:rFonts w:hint="eastAsia" w:eastAsia="方正仿宋_GBK"/>
          <w:b w:val="0"/>
          <w:bCs w:val="0"/>
          <w:color w:val="auto"/>
          <w:szCs w:val="32"/>
          <w:lang w:eastAsia="zh-CN"/>
        </w:rPr>
        <w:t>坚持把办理代表建议、政协提案作为做好财政工作的重要抓手。全年办理代表建议和政协提案</w:t>
      </w:r>
      <w:r>
        <w:rPr>
          <w:rFonts w:hint="eastAsia" w:eastAsia="方正仿宋_GBK"/>
          <w:b w:val="0"/>
          <w:bCs w:val="0"/>
          <w:color w:val="auto"/>
          <w:szCs w:val="32"/>
          <w:lang w:val="en-US" w:eastAsia="zh-CN"/>
        </w:rPr>
        <w:t>26件</w:t>
      </w:r>
      <w:r>
        <w:rPr>
          <w:rFonts w:hint="eastAsia" w:eastAsia="方正仿宋_GBK"/>
          <w:b w:val="0"/>
          <w:bCs w:val="0"/>
          <w:color w:val="auto"/>
          <w:szCs w:val="32"/>
          <w:lang w:eastAsia="zh-CN"/>
        </w:rPr>
        <w:t>，其中主办</w:t>
      </w:r>
      <w:r>
        <w:rPr>
          <w:rFonts w:hint="eastAsia" w:eastAsia="方正仿宋_GBK"/>
          <w:b w:val="0"/>
          <w:bCs w:val="0"/>
          <w:color w:val="auto"/>
          <w:szCs w:val="32"/>
          <w:lang w:val="en-US" w:eastAsia="zh-CN"/>
        </w:rPr>
        <w:t>2件，</w:t>
      </w:r>
      <w:r>
        <w:rPr>
          <w:rFonts w:hint="eastAsia" w:eastAsia="方正仿宋_GBK"/>
          <w:b w:val="0"/>
          <w:bCs w:val="0"/>
          <w:color w:val="auto"/>
          <w:szCs w:val="32"/>
          <w:lang w:eastAsia="zh-CN"/>
        </w:rPr>
        <w:t>办结率和时效率均为100%。</w:t>
      </w:r>
      <w:r>
        <w:rPr>
          <w:rFonts w:hint="eastAsia"/>
          <w:b w:val="0"/>
          <w:bCs w:val="0"/>
          <w:color w:val="auto"/>
          <w:szCs w:val="32"/>
          <w:lang w:eastAsia="zh-CN"/>
        </w:rPr>
        <w:t>将</w:t>
      </w:r>
      <w:r>
        <w:rPr>
          <w:rFonts w:hint="eastAsia" w:eastAsia="方正仿宋_GBK"/>
          <w:b w:val="0"/>
          <w:bCs w:val="0"/>
          <w:color w:val="auto"/>
          <w:szCs w:val="32"/>
          <w:lang w:eastAsia="zh-CN"/>
        </w:rPr>
        <w:t>代表委员们关于“三攻坚一盘活”改革推动高质量发展、</w:t>
      </w:r>
      <w:r>
        <w:rPr>
          <w:rFonts w:hint="eastAsia" w:eastAsia="方正仿宋_GBK"/>
          <w:b w:val="0"/>
          <w:bCs w:val="0"/>
          <w:color w:val="auto"/>
          <w:szCs w:val="32"/>
          <w:lang w:val="en-US" w:eastAsia="zh-CN"/>
        </w:rPr>
        <w:t>AI赋能新质生产力</w:t>
      </w:r>
      <w:r>
        <w:rPr>
          <w:rFonts w:hint="eastAsia" w:eastAsia="方正仿宋_GBK"/>
          <w:b w:val="0"/>
          <w:bCs w:val="0"/>
          <w:color w:val="auto"/>
          <w:szCs w:val="32"/>
          <w:lang w:eastAsia="zh-CN"/>
        </w:rPr>
        <w:t>、完善校园安全监控</w:t>
      </w:r>
      <w:r>
        <w:rPr>
          <w:rFonts w:hint="eastAsia" w:eastAsia="方正仿宋_GBK"/>
          <w:b w:val="0"/>
          <w:bCs w:val="0"/>
          <w:color w:val="auto"/>
          <w:szCs w:val="32"/>
          <w:lang w:val="en-US" w:eastAsia="zh-CN"/>
        </w:rPr>
        <w:t>等方面的意见建议，转化为提升国企改革质效、以科技创新引领产业创新、校园安全监控体系建设与升级的具体措施，推动区域经济发展提质增效。</w:t>
      </w:r>
      <w:r>
        <w:rPr>
          <w:rFonts w:hint="eastAsia" w:eastAsia="方正仿宋_GBK"/>
          <w:b/>
          <w:bCs/>
          <w:color w:val="auto"/>
          <w:szCs w:val="32"/>
          <w:lang w:eastAsia="zh-CN"/>
        </w:rPr>
        <w:t>深化信息公开。</w:t>
      </w:r>
      <w:r>
        <w:rPr>
          <w:rFonts w:hint="eastAsia" w:eastAsia="方正仿宋_GBK"/>
          <w:b w:val="0"/>
          <w:bCs w:val="0"/>
          <w:color w:val="auto"/>
          <w:szCs w:val="32"/>
          <w:lang w:eastAsia="zh-CN"/>
        </w:rPr>
        <w:t>坚持“以公开为常态、不公开为例外”的原则，严格落实《中华人民共和国政府信息公开条例》，不断拓展财政信息公开的广度</w:t>
      </w:r>
      <w:r>
        <w:rPr>
          <w:rFonts w:hint="eastAsia"/>
          <w:b w:val="0"/>
          <w:bCs w:val="0"/>
          <w:color w:val="auto"/>
          <w:szCs w:val="32"/>
          <w:lang w:eastAsia="zh-CN"/>
        </w:rPr>
        <w:t>和</w:t>
      </w:r>
      <w:r>
        <w:rPr>
          <w:rFonts w:hint="eastAsia" w:eastAsia="方正仿宋_GBK"/>
          <w:b w:val="0"/>
          <w:bCs w:val="0"/>
          <w:color w:val="auto"/>
          <w:szCs w:val="32"/>
          <w:lang w:eastAsia="zh-CN"/>
        </w:rPr>
        <w:t>深度，着力构建规范、透明、高效的“阳光财政”。依托</w:t>
      </w:r>
      <w:r>
        <w:rPr>
          <w:rFonts w:hint="eastAsia"/>
          <w:b w:val="0"/>
          <w:bCs w:val="0"/>
          <w:color w:val="auto"/>
          <w:szCs w:val="32"/>
          <w:lang w:eastAsia="zh-CN"/>
        </w:rPr>
        <w:t>财政信息公开</w:t>
      </w:r>
      <w:r>
        <w:rPr>
          <w:rFonts w:hint="eastAsia" w:eastAsia="方正仿宋_GBK"/>
          <w:b w:val="0"/>
          <w:bCs w:val="0"/>
          <w:color w:val="auto"/>
          <w:szCs w:val="32"/>
          <w:lang w:eastAsia="zh-CN"/>
        </w:rPr>
        <w:t>专栏，集中规范发布财政政策文件、财政预决算报告、地方政府债务等核心信息</w:t>
      </w:r>
      <w:r>
        <w:rPr>
          <w:rFonts w:hint="eastAsia"/>
          <w:b w:val="0"/>
          <w:bCs w:val="0"/>
          <w:color w:val="auto"/>
          <w:szCs w:val="32"/>
          <w:lang w:val="en-US" w:eastAsia="zh-CN"/>
        </w:rPr>
        <w:t>194条</w:t>
      </w:r>
      <w:r>
        <w:rPr>
          <w:rFonts w:hint="eastAsia" w:eastAsia="方正仿宋_GBK"/>
          <w:b w:val="0"/>
          <w:bCs w:val="0"/>
          <w:color w:val="auto"/>
          <w:szCs w:val="32"/>
          <w:lang w:eastAsia="zh-CN"/>
        </w:rPr>
        <w:t>，做到系统集成、方便查询。</w:t>
      </w:r>
    </w:p>
    <w:p>
      <w:pPr>
        <w:pStyle w:val="8"/>
        <w:spacing w:after="0"/>
        <w:ind w:left="0" w:firstLine="640" w:firstLineChars="200"/>
        <w:rPr>
          <w:rFonts w:hint="eastAsia" w:ascii="方正仿宋_GBK" w:hAnsi="方正仿宋_GBK" w:eastAsia="方正仿宋_GBK" w:cs="方正仿宋_GBK"/>
          <w:color w:val="auto"/>
          <w:sz w:val="32"/>
          <w:szCs w:val="32"/>
          <w:shd w:val="clear" w:fill="auto"/>
          <w:lang w:eastAsia="zh-CN"/>
        </w:rPr>
      </w:pPr>
      <w:r>
        <w:rPr>
          <w:rFonts w:hint="eastAsia" w:ascii="方正仿宋_GBK" w:hAnsi="方正仿宋_GBK" w:eastAsia="方正仿宋_GBK" w:cs="方正仿宋_GBK"/>
          <w:color w:val="auto"/>
          <w:szCs w:val="32"/>
        </w:rPr>
        <w:t>各位代表！</w:t>
      </w:r>
      <w:r>
        <w:rPr>
          <w:rFonts w:hint="default" w:ascii="Times New Roman" w:hAnsi="Times New Roman" w:eastAsia="方正仿宋_GBK" w:cs="Times New Roman"/>
          <w:color w:val="auto"/>
          <w:szCs w:val="32"/>
          <w:lang w:val="en-US" w:eastAsia="zh-CN"/>
        </w:rPr>
        <w:t>2025年是</w:t>
      </w:r>
      <w:r>
        <w:rPr>
          <w:rFonts w:hint="eastAsia" w:ascii="方正仿宋_GBK" w:hAnsi="方正仿宋_GBK" w:eastAsia="方正仿宋_GBK" w:cs="方正仿宋_GBK"/>
          <w:color w:val="auto"/>
          <w:szCs w:val="32"/>
          <w:lang w:val="en-US" w:eastAsia="zh-CN"/>
        </w:rPr>
        <w:t>“十四五”规划收官之年。回顾这五年，面对严峻复杂的财经形势、艰巨繁重的改革发展任务，全区财政迎难而上，向新而行，以非凡之举应对非常之势，为全区经济社会持续健康发展提供有力支撑。</w:t>
      </w:r>
      <w:r>
        <w:rPr>
          <w:rFonts w:hint="eastAsia" w:ascii="方正仿宋_GBK" w:hAnsi="方正仿宋_GBK" w:eastAsia="方正仿宋_GBK" w:cs="方正仿宋_GBK"/>
          <w:b/>
          <w:bCs/>
          <w:color w:val="auto"/>
          <w:szCs w:val="32"/>
          <w:lang w:val="en-US" w:eastAsia="zh-CN"/>
        </w:rPr>
        <w:t>五年来，</w:t>
      </w:r>
      <w:r>
        <w:rPr>
          <w:rFonts w:hint="eastAsia" w:ascii="方正仿宋_GBK" w:hAnsi="方正仿宋_GBK" w:eastAsia="方正仿宋_GBK" w:cs="方正仿宋_GBK"/>
          <w:b w:val="0"/>
          <w:bCs w:val="0"/>
          <w:color w:val="auto"/>
          <w:szCs w:val="32"/>
          <w:lang w:val="en-US" w:eastAsia="zh-CN"/>
        </w:rPr>
        <w:t>财政实力有进有升，实现“两个突破”，</w:t>
      </w:r>
      <w:r>
        <w:rPr>
          <w:rFonts w:hint="eastAsia" w:ascii="方正仿宋_GBK" w:hAnsi="方正仿宋_GBK" w:eastAsia="方正仿宋_GBK" w:cs="方正仿宋_GBK"/>
          <w:color w:val="auto"/>
          <w:szCs w:val="32"/>
          <w:lang w:val="en-US" w:eastAsia="zh-CN"/>
        </w:rPr>
        <w:t>年度综合财力突破</w:t>
      </w:r>
      <w:r>
        <w:rPr>
          <w:rFonts w:hint="default" w:ascii="Times New Roman" w:hAnsi="Times New Roman" w:eastAsia="方正仿宋_GBK" w:cs="Times New Roman"/>
          <w:color w:val="auto"/>
          <w:szCs w:val="32"/>
          <w:lang w:val="en-US" w:eastAsia="zh-CN"/>
        </w:rPr>
        <w:t>100亿元，财政总收入累计突破</w:t>
      </w:r>
      <w:r>
        <w:rPr>
          <w:rFonts w:hint="eastAsia" w:eastAsia="方正仿宋_GBK" w:cs="Times New Roman"/>
          <w:color w:val="auto"/>
          <w:szCs w:val="32"/>
          <w:lang w:val="en-US" w:eastAsia="zh-CN"/>
        </w:rPr>
        <w:t>600</w:t>
      </w:r>
      <w:r>
        <w:rPr>
          <w:rFonts w:hint="default" w:ascii="Times New Roman" w:hAnsi="Times New Roman" w:eastAsia="方正仿宋_GBK" w:cs="Times New Roman"/>
          <w:color w:val="auto"/>
          <w:szCs w:val="32"/>
          <w:lang w:val="en-US" w:eastAsia="zh-CN"/>
        </w:rPr>
        <w:t>亿元</w:t>
      </w:r>
      <w:r>
        <w:rPr>
          <w:rFonts w:hint="eastAsia" w:eastAsia="方正仿宋_GBK" w:cs="Times New Roman"/>
          <w:color w:val="auto"/>
          <w:szCs w:val="32"/>
          <w:lang w:val="en-US" w:eastAsia="zh-CN"/>
        </w:rPr>
        <w:t>。</w:t>
      </w:r>
      <w:r>
        <w:rPr>
          <w:rFonts w:hint="eastAsia" w:ascii="方正仿宋_GBK" w:hAnsi="方正仿宋_GBK" w:eastAsia="方正仿宋_GBK" w:cs="方正仿宋_GBK"/>
          <w:b/>
          <w:bCs/>
          <w:color w:val="auto"/>
          <w:szCs w:val="32"/>
          <w:lang w:val="en-US" w:eastAsia="zh-CN"/>
        </w:rPr>
        <w:t>五年来，</w:t>
      </w:r>
      <w:r>
        <w:rPr>
          <w:rFonts w:hint="eastAsia" w:ascii="方正仿宋_GBK" w:hAnsi="方正仿宋_GBK" w:eastAsia="方正仿宋_GBK" w:cs="方正仿宋_GBK"/>
          <w:b w:val="0"/>
          <w:bCs w:val="0"/>
          <w:color w:val="auto"/>
          <w:szCs w:val="32"/>
          <w:lang w:val="en-US" w:eastAsia="zh-CN"/>
        </w:rPr>
        <w:t>财政支出有力有效，实现“两个保障”，</w:t>
      </w:r>
      <w:r>
        <w:rPr>
          <w:rFonts w:hint="eastAsia" w:ascii="方正仿宋_GBK" w:hAnsi="方正仿宋_GBK" w:eastAsia="方正仿宋_GBK" w:cs="方正仿宋_GBK"/>
          <w:color w:val="auto"/>
          <w:szCs w:val="32"/>
          <w:lang w:val="en-US" w:eastAsia="zh-CN"/>
        </w:rPr>
        <w:t>切实保障每年约</w:t>
      </w:r>
      <w:r>
        <w:rPr>
          <w:rFonts w:hint="default" w:ascii="Times New Roman" w:hAnsi="Times New Roman" w:eastAsia="方正仿宋_GBK" w:cs="Times New Roman"/>
          <w:color w:val="auto"/>
          <w:szCs w:val="32"/>
          <w:lang w:val="en-US" w:eastAsia="zh-CN"/>
        </w:rPr>
        <w:t>18</w:t>
      </w:r>
      <w:r>
        <w:rPr>
          <w:rFonts w:hint="eastAsia" w:ascii="方正仿宋_GBK" w:hAnsi="方正仿宋_GBK" w:eastAsia="方正仿宋_GBK" w:cs="方正仿宋_GBK"/>
          <w:color w:val="auto"/>
          <w:szCs w:val="32"/>
          <w:lang w:val="en-US" w:eastAsia="zh-CN"/>
        </w:rPr>
        <w:t>亿元的“三保”支出，将一般公共预</w:t>
      </w:r>
      <w:r>
        <w:rPr>
          <w:rFonts w:hint="default" w:ascii="Times New Roman" w:hAnsi="Times New Roman" w:eastAsia="方正仿宋_GBK" w:cs="Times New Roman"/>
          <w:color w:val="auto"/>
          <w:szCs w:val="32"/>
          <w:lang w:val="en-US" w:eastAsia="zh-CN"/>
        </w:rPr>
        <w:t>算支出</w:t>
      </w:r>
      <w:r>
        <w:rPr>
          <w:rFonts w:hint="eastAsia" w:eastAsia="方正仿宋_GBK" w:cs="Times New Roman"/>
          <w:color w:val="auto"/>
          <w:szCs w:val="32"/>
          <w:lang w:val="en-US" w:eastAsia="zh-CN"/>
        </w:rPr>
        <w:t>用于保障民生领域的比例提高到80%以上。</w:t>
      </w:r>
      <w:r>
        <w:rPr>
          <w:rFonts w:hint="eastAsia" w:ascii="Times New Roman" w:hAnsi="Times New Roman" w:eastAsia="方正仿宋_GBK" w:cs="Times New Roman"/>
          <w:b/>
          <w:bCs/>
          <w:color w:val="auto"/>
          <w:szCs w:val="32"/>
          <w:lang w:val="en-US" w:eastAsia="zh-CN"/>
        </w:rPr>
        <w:t>五年来，</w:t>
      </w:r>
      <w:r>
        <w:rPr>
          <w:rFonts w:hint="eastAsia" w:ascii="Times New Roman" w:hAnsi="Times New Roman" w:eastAsia="方正仿宋_GBK" w:cs="Times New Roman"/>
          <w:b w:val="0"/>
          <w:bCs w:val="0"/>
          <w:color w:val="auto"/>
          <w:szCs w:val="32"/>
          <w:lang w:val="en-US" w:eastAsia="zh-CN"/>
        </w:rPr>
        <w:t>债务管控有守有为，实现“两个有效”，全区政府债务余额有效控制在债务限额内，政府债券发行的平均年利率有效降低，从3.6%下降到2%。</w:t>
      </w:r>
      <w:r>
        <w:rPr>
          <w:rFonts w:hint="eastAsia" w:ascii="方正仿宋_GBK" w:hAnsi="方正仿宋_GBK" w:eastAsia="方正仿宋_GBK" w:cs="方正仿宋_GBK"/>
          <w:b/>
          <w:bCs/>
          <w:color w:val="auto"/>
          <w:szCs w:val="32"/>
          <w:lang w:val="en-US" w:eastAsia="zh-CN"/>
        </w:rPr>
        <w:t>五年来，</w:t>
      </w:r>
      <w:r>
        <w:rPr>
          <w:rFonts w:hint="eastAsia" w:ascii="方正仿宋_GBK" w:hAnsi="方正仿宋_GBK" w:eastAsia="方正仿宋_GBK" w:cs="方正仿宋_GBK"/>
          <w:b w:val="0"/>
          <w:bCs w:val="0"/>
          <w:color w:val="auto"/>
          <w:szCs w:val="32"/>
          <w:lang w:val="en-US" w:eastAsia="zh-CN"/>
        </w:rPr>
        <w:t>管理改革有破有立，实现“两个率先”，</w:t>
      </w:r>
      <w:r>
        <w:rPr>
          <w:rFonts w:hint="eastAsia" w:ascii="方正仿宋_GBK" w:hAnsi="方正仿宋_GBK" w:eastAsia="方正仿宋_GBK" w:cs="方正仿宋_GBK"/>
          <w:color w:val="auto"/>
          <w:szCs w:val="32"/>
          <w:lang w:val="en-US" w:eastAsia="zh-CN"/>
        </w:rPr>
        <w:t>率先在全市开展零基预算改革，率先实现</w:t>
      </w:r>
      <w:r>
        <w:rPr>
          <w:rFonts w:hint="eastAsia" w:ascii="方正仿宋_GBK" w:hAnsi="方正仿宋_GBK" w:eastAsia="方正仿宋_GBK" w:cs="方正仿宋_GBK"/>
          <w:color w:val="auto"/>
          <w:szCs w:val="32"/>
        </w:rPr>
        <w:t>差旅报销</w:t>
      </w:r>
      <w:r>
        <w:rPr>
          <w:rFonts w:hint="eastAsia" w:ascii="方正仿宋_GBK" w:hAnsi="方正仿宋_GBK" w:eastAsia="方正仿宋_GBK" w:cs="方正仿宋_GBK"/>
          <w:color w:val="auto"/>
          <w:szCs w:val="32"/>
          <w:lang w:eastAsia="zh-CN"/>
        </w:rPr>
        <w:t>电子</w:t>
      </w:r>
      <w:r>
        <w:rPr>
          <w:rFonts w:hint="eastAsia" w:ascii="方正仿宋_GBK" w:hAnsi="方正仿宋_GBK" w:eastAsia="方正仿宋_GBK" w:cs="方正仿宋_GBK"/>
          <w:color w:val="auto"/>
          <w:szCs w:val="32"/>
        </w:rPr>
        <w:t>改革</w:t>
      </w:r>
      <w:r>
        <w:rPr>
          <w:rFonts w:hint="eastAsia" w:ascii="方正仿宋_GBK" w:hAnsi="方正仿宋_GBK" w:eastAsia="方正仿宋_GBK" w:cs="方正仿宋_GBK"/>
          <w:i w:val="0"/>
          <w:iCs w:val="0"/>
          <w:caps w:val="0"/>
          <w:color w:val="auto"/>
          <w:spacing w:val="0"/>
          <w:sz w:val="32"/>
          <w:szCs w:val="32"/>
          <w:shd w:val="clear" w:fill="auto"/>
        </w:rPr>
        <w:t>全覆盖</w:t>
      </w:r>
      <w:r>
        <w:rPr>
          <w:rFonts w:hint="eastAsia" w:ascii="方正仿宋_GBK" w:hAnsi="方正仿宋_GBK" w:eastAsia="方正仿宋_GBK" w:cs="方正仿宋_GBK"/>
          <w:color w:val="auto"/>
          <w:szCs w:val="32"/>
          <w:lang w:val="en-US" w:eastAsia="zh-CN"/>
        </w:rPr>
        <w:t>，财政综合绩效评价列</w:t>
      </w:r>
      <w:r>
        <w:rPr>
          <w:rFonts w:hint="default" w:ascii="Times New Roman" w:hAnsi="Times New Roman" w:eastAsia="方正仿宋_GBK" w:cs="Times New Roman"/>
          <w:color w:val="auto"/>
          <w:szCs w:val="32"/>
          <w:lang w:val="en-US" w:eastAsia="zh-CN"/>
        </w:rPr>
        <w:t>全市前3，获得市级奖励2,000万元。</w:t>
      </w:r>
      <w:r>
        <w:rPr>
          <w:rFonts w:hint="eastAsia" w:ascii="方正仿宋_GBK" w:hAnsi="方正仿宋_GBK" w:eastAsia="方正仿宋_GBK" w:cs="方正仿宋_GBK"/>
          <w:color w:val="auto"/>
          <w:sz w:val="32"/>
          <w:szCs w:val="32"/>
          <w:shd w:val="clear" w:fill="auto"/>
        </w:rPr>
        <w:t>鉴往知来，在取得成绩的同时，我们也应清醒地认识到：主动应对财政“紧平衡”新常态准备不足，财政收入可持续增长的基础尚不稳固，刚性支出持续扩大的</w:t>
      </w:r>
      <w:r>
        <w:rPr>
          <w:rFonts w:hint="eastAsia" w:ascii="方正仿宋_GBK" w:hAnsi="方正仿宋_GBK" w:eastAsia="方正仿宋_GBK" w:cs="方正仿宋_GBK"/>
          <w:color w:val="auto"/>
          <w:sz w:val="32"/>
          <w:szCs w:val="32"/>
          <w:shd w:val="clear" w:fill="auto"/>
          <w:lang w:eastAsia="zh-CN"/>
        </w:rPr>
        <w:t>压力</w:t>
      </w:r>
      <w:r>
        <w:rPr>
          <w:rFonts w:hint="eastAsia" w:ascii="方正仿宋_GBK" w:hAnsi="方正仿宋_GBK" w:eastAsia="方正仿宋_GBK" w:cs="方正仿宋_GBK"/>
          <w:color w:val="auto"/>
          <w:sz w:val="32"/>
          <w:szCs w:val="32"/>
          <w:shd w:val="clear" w:fill="auto"/>
        </w:rPr>
        <w:t>日益凸显；个别单位仍未牢固树立习惯过紧日子意识，财政资金使用绩效有待提升；一些单位预算管理、内控制度执行仍不够规范，财经纪律还需持续强化。以上问题，我们将高度重视，</w:t>
      </w:r>
      <w:r>
        <w:rPr>
          <w:rFonts w:hint="eastAsia" w:ascii="方正仿宋_GBK" w:hAnsi="方正仿宋_GBK" w:eastAsia="方正仿宋_GBK" w:cs="方正仿宋_GBK"/>
          <w:color w:val="auto"/>
          <w:sz w:val="32"/>
          <w:szCs w:val="32"/>
          <w:shd w:val="clear" w:fill="auto"/>
          <w:lang w:eastAsia="zh-CN"/>
        </w:rPr>
        <w:t>采取</w:t>
      </w:r>
      <w:r>
        <w:rPr>
          <w:rFonts w:hint="eastAsia" w:ascii="方正仿宋_GBK" w:hAnsi="方正仿宋_GBK" w:eastAsia="方正仿宋_GBK" w:cs="方正仿宋_GBK"/>
          <w:color w:val="auto"/>
          <w:sz w:val="32"/>
          <w:szCs w:val="32"/>
          <w:shd w:val="clear" w:fill="auto"/>
        </w:rPr>
        <w:t>创新思路、健全制度、深化改革、规范管理等措施逐步加以解决</w:t>
      </w:r>
      <w:r>
        <w:rPr>
          <w:rFonts w:hint="eastAsia" w:ascii="方正仿宋_GBK" w:hAnsi="方正仿宋_GBK" w:eastAsia="方正仿宋_GBK" w:cs="方正仿宋_GBK"/>
          <w:color w:val="auto"/>
          <w:sz w:val="32"/>
          <w:szCs w:val="32"/>
          <w:shd w:val="clear" w:fill="auto"/>
          <w:lang w:eastAsia="zh-CN"/>
        </w:rPr>
        <w:t>。</w:t>
      </w:r>
    </w:p>
    <w:p>
      <w:pPr>
        <w:spacing w:after="0"/>
        <w:ind w:firstLine="640"/>
        <w:rPr>
          <w:rFonts w:eastAsia="方正黑体_GBK" w:cs="方正黑体_GBK"/>
          <w:color w:val="auto"/>
          <w:szCs w:val="32"/>
        </w:rPr>
      </w:pPr>
      <w:r>
        <w:rPr>
          <w:rFonts w:hint="eastAsia" w:eastAsia="方正黑体_GBK" w:cs="方正黑体_GBK"/>
          <w:color w:val="auto"/>
          <w:szCs w:val="32"/>
        </w:rPr>
        <w:t>三、</w:t>
      </w:r>
      <w:r>
        <w:rPr>
          <w:rFonts w:eastAsia="方正黑体_GBK" w:cs="Times New Roman"/>
          <w:color w:val="auto"/>
          <w:szCs w:val="32"/>
        </w:rPr>
        <w:t>202</w:t>
      </w:r>
      <w:r>
        <w:rPr>
          <w:rFonts w:hint="eastAsia" w:eastAsia="方正黑体_GBK" w:cs="Times New Roman"/>
          <w:color w:val="auto"/>
          <w:szCs w:val="32"/>
          <w:lang w:val="en-US" w:eastAsia="zh-CN"/>
        </w:rPr>
        <w:t>6</w:t>
      </w:r>
      <w:r>
        <w:rPr>
          <w:rFonts w:hint="eastAsia" w:eastAsia="方正黑体_GBK" w:cs="方正黑体_GBK"/>
          <w:color w:val="auto"/>
          <w:szCs w:val="32"/>
        </w:rPr>
        <w:t>年财政预算草案</w:t>
      </w:r>
    </w:p>
    <w:p>
      <w:pPr>
        <w:spacing w:after="0"/>
        <w:ind w:firstLine="640"/>
        <w:rPr>
          <w:rFonts w:eastAsia="方正楷体_GBK" w:cs="方正楷体_GBK"/>
          <w:color w:val="auto"/>
          <w:szCs w:val="32"/>
        </w:rPr>
      </w:pPr>
      <w:r>
        <w:rPr>
          <w:rFonts w:hint="eastAsia" w:eastAsia="方正楷体_GBK" w:cs="方正楷体_GBK"/>
          <w:color w:val="auto"/>
          <w:szCs w:val="32"/>
        </w:rPr>
        <w:t>（一）指导思想</w:t>
      </w:r>
    </w:p>
    <w:p>
      <w:pPr>
        <w:keepNext w:val="0"/>
        <w:keepLines w:val="0"/>
        <w:pageBreakBefore w:val="0"/>
        <w:widowControl w:val="0"/>
        <w:kinsoku/>
        <w:wordWrap/>
        <w:overflowPunct/>
        <w:topLinePunct w:val="0"/>
        <w:autoSpaceDE/>
        <w:autoSpaceDN/>
        <w:bidi w:val="0"/>
        <w:adjustRightInd/>
        <w:snapToGrid/>
        <w:spacing w:after="0"/>
        <w:ind w:firstLine="640"/>
        <w:textAlignment w:val="auto"/>
        <w:outlineLvl w:val="9"/>
        <w:rPr>
          <w:rFonts w:hint="eastAsia" w:ascii="方正仿宋_GBK" w:hAnsi="方正仿宋_GBK" w:cs="方正仿宋_GBK"/>
          <w:color w:val="auto"/>
          <w:szCs w:val="32"/>
          <w:lang w:eastAsia="zh-CN"/>
        </w:rPr>
      </w:pPr>
      <w:r>
        <w:rPr>
          <w:rFonts w:hint="default" w:ascii="Times New Roman" w:hAnsi="Times New Roman" w:cs="Times New Roman"/>
          <w:color w:val="auto"/>
          <w:szCs w:val="32"/>
          <w:lang w:eastAsia="zh-CN"/>
        </w:rPr>
        <w:t>坚持以</w:t>
      </w:r>
      <w:r>
        <w:rPr>
          <w:rFonts w:hint="eastAsia" w:cs="Times New Roman"/>
          <w:color w:val="auto"/>
          <w:szCs w:val="32"/>
          <w:lang w:val="en-US" w:eastAsia="zh-CN"/>
        </w:rPr>
        <w:t>习近平</w:t>
      </w:r>
      <w:r>
        <w:rPr>
          <w:rFonts w:hint="default" w:ascii="Times New Roman" w:hAnsi="Times New Roman" w:cs="Times New Roman"/>
          <w:color w:val="auto"/>
          <w:szCs w:val="32"/>
          <w:lang w:eastAsia="zh-CN"/>
        </w:rPr>
        <w:t>新时代中国特色社会主义思想为指导，全面贯彻</w:t>
      </w:r>
      <w:r>
        <w:rPr>
          <w:rFonts w:hint="eastAsia" w:cs="Times New Roman"/>
          <w:color w:val="auto"/>
          <w:szCs w:val="32"/>
          <w:lang w:val="en-US" w:eastAsia="zh-CN"/>
        </w:rPr>
        <w:t>落实</w:t>
      </w:r>
      <w:r>
        <w:rPr>
          <w:rFonts w:hint="default" w:ascii="Times New Roman" w:hAnsi="Times New Roman" w:cs="Times New Roman"/>
          <w:color w:val="auto"/>
          <w:szCs w:val="32"/>
          <w:lang w:eastAsia="zh-CN"/>
        </w:rPr>
        <w:t>党的二十大</w:t>
      </w:r>
      <w:r>
        <w:rPr>
          <w:rFonts w:hint="eastAsia" w:cs="Times New Roman"/>
          <w:color w:val="auto"/>
          <w:szCs w:val="32"/>
          <w:lang w:val="en-US" w:eastAsia="zh-CN"/>
        </w:rPr>
        <w:t>和</w:t>
      </w:r>
      <w:r>
        <w:rPr>
          <w:rFonts w:hint="default" w:ascii="Times New Roman" w:hAnsi="Times New Roman" w:cs="Times New Roman"/>
          <w:color w:val="auto"/>
          <w:szCs w:val="32"/>
          <w:lang w:eastAsia="zh-CN"/>
        </w:rPr>
        <w:t>二十届</w:t>
      </w:r>
      <w:r>
        <w:rPr>
          <w:rFonts w:hint="eastAsia" w:cs="Times New Roman"/>
          <w:color w:val="auto"/>
          <w:szCs w:val="32"/>
          <w:lang w:eastAsia="zh-CN"/>
        </w:rPr>
        <w:t>历次</w:t>
      </w:r>
      <w:r>
        <w:rPr>
          <w:rFonts w:hint="eastAsia" w:ascii="方正仿宋_GBK" w:hAnsi="方正仿宋_GBK" w:cs="方正仿宋_GBK"/>
          <w:color w:val="auto"/>
          <w:szCs w:val="32"/>
          <w:lang w:eastAsia="zh-CN"/>
        </w:rPr>
        <w:t>全会精神，紧扣中央、市委及区委经济工作会议精神，立足“十五五”规划开局新起点，深度融入“尚义大渡口、宜居宜业城”建设全局，继续实施更加积极的财政政策，加强财政科学管理，以强化统筹与深化零基预算改革为核心动力，精准配置财政资源，全力保障全区重大战略实施，构建安全、高效、可持续的现代财政管理体系，为在中国式现代化重庆实践中展现大渡口新作为提供坚实财力保障。</w:t>
      </w:r>
    </w:p>
    <w:p>
      <w:pPr>
        <w:keepNext w:val="0"/>
        <w:keepLines w:val="0"/>
        <w:pageBreakBefore w:val="0"/>
        <w:widowControl w:val="0"/>
        <w:kinsoku/>
        <w:wordWrap/>
        <w:overflowPunct/>
        <w:topLinePunct w:val="0"/>
        <w:autoSpaceDE/>
        <w:autoSpaceDN/>
        <w:bidi w:val="0"/>
        <w:adjustRightInd/>
        <w:snapToGrid/>
        <w:spacing w:after="0"/>
        <w:ind w:firstLine="640"/>
        <w:textAlignment w:val="auto"/>
        <w:outlineLvl w:val="9"/>
        <w:rPr>
          <w:rFonts w:eastAsia="方正楷体_GBK" w:cs="方正楷体_GBK"/>
          <w:color w:val="auto"/>
          <w:szCs w:val="32"/>
        </w:rPr>
      </w:pPr>
      <w:r>
        <w:rPr>
          <w:rFonts w:hint="eastAsia" w:eastAsia="方正楷体_GBK" w:cs="方正楷体_GBK"/>
          <w:color w:val="auto"/>
          <w:szCs w:val="32"/>
        </w:rPr>
        <w:t>（二）编制原则</w:t>
      </w:r>
    </w:p>
    <w:p>
      <w:pPr>
        <w:pStyle w:val="2"/>
        <w:keepNext w:val="0"/>
        <w:keepLines w:val="0"/>
        <w:pageBreakBefore w:val="0"/>
        <w:widowControl w:val="0"/>
        <w:kinsoku/>
        <w:wordWrap/>
        <w:overflowPunct/>
        <w:topLinePunct w:val="0"/>
        <w:autoSpaceDE/>
        <w:autoSpaceDN/>
        <w:bidi w:val="0"/>
        <w:adjustRightInd/>
        <w:snapToGrid/>
        <w:spacing w:after="0"/>
        <w:ind w:firstLine="640"/>
        <w:textAlignment w:val="auto"/>
        <w:outlineLvl w:val="9"/>
        <w:rPr>
          <w:rFonts w:hint="eastAsia"/>
          <w:b w:val="0"/>
          <w:bCs w:val="0"/>
          <w:color w:val="auto"/>
          <w:sz w:val="32"/>
          <w:szCs w:val="32"/>
          <w:lang w:eastAsia="zh-CN"/>
        </w:rPr>
      </w:pPr>
      <w:r>
        <w:rPr>
          <w:rFonts w:ascii="Times New Roman" w:hAnsi="Times New Roman" w:eastAsia="方正仿宋_GBK"/>
          <w:color w:val="auto"/>
          <w:sz w:val="32"/>
          <w:szCs w:val="32"/>
        </w:rPr>
        <w:t>按照上述指导思想，20</w:t>
      </w:r>
      <w:r>
        <w:rPr>
          <w:rFonts w:hint="eastAsia" w:ascii="Times New Roman" w:hAnsi="Times New Roman" w:eastAsia="方正仿宋_GBK"/>
          <w:color w:val="auto"/>
          <w:sz w:val="32"/>
          <w:szCs w:val="32"/>
          <w:lang w:val="en-US" w:eastAsia="zh-CN"/>
        </w:rPr>
        <w:t>26</w:t>
      </w:r>
      <w:r>
        <w:rPr>
          <w:rFonts w:ascii="Times New Roman" w:hAnsi="Times New Roman" w:eastAsia="方正仿宋_GBK"/>
          <w:color w:val="auto"/>
          <w:sz w:val="32"/>
          <w:szCs w:val="32"/>
        </w:rPr>
        <w:t>年财政预算编制坚持以下原则：</w:t>
      </w:r>
      <w:r>
        <w:rPr>
          <w:rFonts w:hint="eastAsia" w:ascii="Times New Roman" w:hAnsi="Times New Roman" w:eastAsia="方正仿宋_GBK"/>
          <w:b/>
          <w:bCs/>
          <w:color w:val="auto"/>
          <w:sz w:val="32"/>
          <w:szCs w:val="32"/>
          <w:lang w:eastAsia="zh-CN"/>
        </w:rPr>
        <w:t>一是战略聚焦，保障大事要事。</w:t>
      </w:r>
      <w:r>
        <w:rPr>
          <w:rFonts w:hint="eastAsia" w:ascii="Times New Roman" w:hAnsi="Times New Roman" w:eastAsia="方正仿宋_GBK"/>
          <w:b w:val="0"/>
          <w:bCs w:val="0"/>
          <w:color w:val="auto"/>
          <w:sz w:val="32"/>
          <w:szCs w:val="32"/>
          <w:lang w:eastAsia="zh-CN"/>
        </w:rPr>
        <w:t>预算安排要彻底摆脱“基数依赖”，以零基理念对所有支出进行重构与排序。财力优先向区委确定的重大战略、牵引性项目倾斜，集中保障产业升级、城市更新等关键领域。严格遵循“三保”支出、债务本息兑付等刚性支出优先的保障序列，确保财政稳健运行。</w:t>
      </w:r>
      <w:r>
        <w:rPr>
          <w:rFonts w:hint="eastAsia" w:ascii="Times New Roman" w:hAnsi="Times New Roman" w:eastAsia="方正仿宋_GBK"/>
          <w:b/>
          <w:bCs/>
          <w:color w:val="auto"/>
          <w:sz w:val="32"/>
          <w:szCs w:val="32"/>
          <w:lang w:eastAsia="zh-CN"/>
        </w:rPr>
        <w:t>二是厉行节约，严守紧日子纪律。</w:t>
      </w:r>
      <w:r>
        <w:rPr>
          <w:rFonts w:hint="eastAsia" w:ascii="Times New Roman" w:hAnsi="Times New Roman" w:eastAsia="方正仿宋_GBK"/>
          <w:b w:val="0"/>
          <w:bCs w:val="0"/>
          <w:color w:val="auto"/>
          <w:sz w:val="32"/>
          <w:szCs w:val="32"/>
          <w:lang w:eastAsia="zh-CN"/>
        </w:rPr>
        <w:t>将党政机关过紧日子作为长期纪律贯穿预算全过程，确保“三公”等经费只减不增。强化资产配置约束，大力压减非刚性、非重点支出，将节约财力精准投向发展紧要处和民生急需上。</w:t>
      </w:r>
      <w:r>
        <w:rPr>
          <w:rFonts w:hint="eastAsia" w:ascii="Times New Roman" w:hAnsi="Times New Roman" w:eastAsia="方正仿宋_GBK"/>
          <w:b/>
          <w:bCs/>
          <w:color w:val="auto"/>
          <w:sz w:val="32"/>
          <w:szCs w:val="32"/>
          <w:lang w:eastAsia="zh-CN"/>
        </w:rPr>
        <w:t>三是集约统筹，提升配置效能。</w:t>
      </w:r>
      <w:r>
        <w:rPr>
          <w:rFonts w:hint="eastAsia" w:ascii="Times New Roman" w:hAnsi="Times New Roman" w:eastAsia="方正仿宋_GBK"/>
          <w:b w:val="0"/>
          <w:bCs w:val="0"/>
          <w:color w:val="auto"/>
          <w:sz w:val="32"/>
          <w:szCs w:val="32"/>
          <w:lang w:eastAsia="zh-CN"/>
        </w:rPr>
        <w:t>强化全口径预算统筹，加强“三本预算”有效衔接。统筹盘活存量资金与资产，推动项目资金整合，打破部门壁垒，实施“零售变批发”的集约化管理，形成政策与资金合力。</w:t>
      </w:r>
      <w:r>
        <w:rPr>
          <w:rFonts w:hint="eastAsia" w:ascii="Times New Roman" w:hAnsi="Times New Roman" w:eastAsia="方正仿宋_GBK"/>
          <w:b/>
          <w:bCs/>
          <w:color w:val="auto"/>
          <w:sz w:val="32"/>
          <w:szCs w:val="32"/>
          <w:lang w:eastAsia="zh-CN"/>
        </w:rPr>
        <w:t>四是绩效闭环，强化成本效益。</w:t>
      </w:r>
      <w:r>
        <w:rPr>
          <w:rFonts w:hint="eastAsia" w:ascii="Times New Roman" w:hAnsi="Times New Roman" w:eastAsia="方正仿宋_GBK"/>
          <w:b w:val="0"/>
          <w:bCs w:val="0"/>
          <w:color w:val="auto"/>
          <w:sz w:val="32"/>
          <w:szCs w:val="32"/>
          <w:lang w:eastAsia="zh-CN"/>
        </w:rPr>
        <w:t>将成本效益分析深度嵌入预算管理全链条。强化事前绩效评估的刚性约束，健全绩效结果与预算安排挂钩机制。深化预算管理一体化系统应用，推动管理重心从“重分配”向“重绩效”根本转变。</w:t>
      </w:r>
    </w:p>
    <w:p>
      <w:pPr>
        <w:spacing w:beforeLines="0" w:after="0" w:line="594" w:lineRule="exact"/>
        <w:ind w:firstLine="640"/>
        <w:rPr>
          <w:rFonts w:eastAsia="方正楷体_GBK" w:cs="Times New Roman"/>
          <w:color w:val="auto"/>
          <w:kern w:val="0"/>
          <w:szCs w:val="32"/>
        </w:rPr>
      </w:pPr>
      <w:r>
        <w:rPr>
          <w:rFonts w:hint="eastAsia" w:eastAsia="方正楷体_GBK" w:cs="方正楷体_GBK"/>
          <w:color w:val="auto"/>
          <w:szCs w:val="32"/>
        </w:rPr>
        <w:t>（三）收支预算草案</w:t>
      </w:r>
    </w:p>
    <w:p>
      <w:pPr>
        <w:spacing w:beforeLines="0" w:after="0" w:line="594" w:lineRule="exact"/>
        <w:ind w:firstLine="643"/>
        <w:rPr>
          <w:rFonts w:cs="Times New Roman"/>
          <w:b/>
          <w:bCs/>
          <w:color w:val="auto"/>
          <w:szCs w:val="32"/>
        </w:rPr>
      </w:pPr>
      <w:r>
        <w:rPr>
          <w:rFonts w:cs="Times New Roman"/>
          <w:b/>
          <w:bCs/>
          <w:color w:val="auto"/>
          <w:szCs w:val="32"/>
        </w:rPr>
        <w:t>1.一般公共预算</w:t>
      </w:r>
      <w:r>
        <w:rPr>
          <w:rFonts w:hint="eastAsia" w:cs="Times New Roman"/>
          <w:b/>
          <w:bCs/>
          <w:color w:val="auto"/>
          <w:szCs w:val="32"/>
        </w:rPr>
        <w:t>总体安排情况</w:t>
      </w:r>
    </w:p>
    <w:p>
      <w:pPr>
        <w:spacing w:beforeLines="0" w:after="0" w:line="594" w:lineRule="exact"/>
        <w:ind w:firstLine="643"/>
        <w:rPr>
          <w:rFonts w:cs="Times New Roman"/>
          <w:color w:val="auto"/>
          <w:szCs w:val="32"/>
        </w:rPr>
      </w:pPr>
      <w:r>
        <w:rPr>
          <w:rFonts w:hint="eastAsia" w:cs="Times New Roman"/>
          <w:b/>
          <w:bCs/>
          <w:color w:val="auto"/>
          <w:szCs w:val="32"/>
        </w:rPr>
        <w:t>（</w:t>
      </w:r>
      <w:r>
        <w:rPr>
          <w:rFonts w:cs="Times New Roman"/>
          <w:b/>
          <w:bCs/>
          <w:color w:val="auto"/>
          <w:szCs w:val="32"/>
        </w:rPr>
        <w:t>1</w:t>
      </w:r>
      <w:r>
        <w:rPr>
          <w:rFonts w:hint="eastAsia" w:cs="Times New Roman"/>
          <w:b/>
          <w:bCs/>
          <w:color w:val="auto"/>
          <w:szCs w:val="32"/>
        </w:rPr>
        <w:t>）收入预算。</w:t>
      </w:r>
      <w:r>
        <w:rPr>
          <w:rFonts w:hint="default" w:ascii="Times New Roman" w:hAnsi="Times New Roman" w:cs="Times New Roman"/>
          <w:b w:val="0"/>
          <w:bCs w:val="0"/>
          <w:color w:val="auto"/>
          <w:sz w:val="32"/>
          <w:szCs w:val="32"/>
          <w:lang w:bidi="ar"/>
        </w:rPr>
        <w:t>收入总计485,291万元，具体组成：本级收入235,045万元，同比增长7%。上级补助收入81,363万元；调入资金100,745万元；动用预算稳定调节基金31,239万元；上年结转36,899万元。</w:t>
      </w:r>
    </w:p>
    <w:p>
      <w:pPr>
        <w:spacing w:beforeLines="0" w:after="0" w:line="594" w:lineRule="exact"/>
        <w:ind w:firstLine="643"/>
        <w:rPr>
          <w:rFonts w:cs="Times New Roman"/>
          <w:color w:val="auto"/>
          <w:szCs w:val="32"/>
        </w:rPr>
      </w:pPr>
      <w:r>
        <w:rPr>
          <w:rFonts w:hint="eastAsia" w:cs="Times New Roman"/>
          <w:b/>
          <w:bCs/>
          <w:color w:val="auto"/>
          <w:szCs w:val="32"/>
        </w:rPr>
        <w:t>（</w:t>
      </w:r>
      <w:r>
        <w:rPr>
          <w:rFonts w:cs="Times New Roman"/>
          <w:b/>
          <w:bCs/>
          <w:color w:val="auto"/>
          <w:szCs w:val="32"/>
        </w:rPr>
        <w:t>2</w:t>
      </w:r>
      <w:r>
        <w:rPr>
          <w:rFonts w:hint="eastAsia" w:cs="Times New Roman"/>
          <w:b/>
          <w:bCs/>
          <w:color w:val="auto"/>
          <w:szCs w:val="32"/>
        </w:rPr>
        <w:t>）支出预算。</w:t>
      </w:r>
      <w:r>
        <w:rPr>
          <w:rFonts w:hint="default" w:ascii="Times New Roman" w:hAnsi="Times New Roman" w:cs="Times New Roman"/>
          <w:b w:val="0"/>
          <w:bCs w:val="0"/>
          <w:color w:val="auto"/>
          <w:sz w:val="32"/>
          <w:szCs w:val="32"/>
          <w:lang w:bidi="ar"/>
        </w:rPr>
        <w:t>支出总计485,291万元，具体组成：本级支出安排460,354万元；上解上级支出23,937万元</w:t>
      </w:r>
      <w:r>
        <w:rPr>
          <w:rFonts w:hint="eastAsia" w:cs="Times New Roman"/>
          <w:b w:val="0"/>
          <w:bCs w:val="0"/>
          <w:color w:val="auto"/>
          <w:sz w:val="32"/>
          <w:szCs w:val="32"/>
          <w:lang w:val="en-US" w:eastAsia="zh-CN" w:bidi="ar"/>
        </w:rPr>
        <w:t>，</w:t>
      </w:r>
      <w:r>
        <w:rPr>
          <w:rFonts w:hint="default" w:ascii="Times New Roman" w:hAnsi="Times New Roman" w:cs="Times New Roman"/>
          <w:b w:val="0"/>
          <w:bCs w:val="0"/>
          <w:color w:val="auto"/>
          <w:sz w:val="32"/>
          <w:szCs w:val="32"/>
          <w:lang w:bidi="ar"/>
        </w:rPr>
        <w:t>债务还本支出1,000万元。</w:t>
      </w:r>
    </w:p>
    <w:p>
      <w:pPr>
        <w:spacing w:before="0" w:beforeLines="0" w:after="0" w:line="594" w:lineRule="exact"/>
        <w:ind w:firstLine="643"/>
        <w:rPr>
          <w:rFonts w:cs="Times New Roman"/>
          <w:b/>
          <w:bCs/>
          <w:color w:val="auto"/>
          <w:szCs w:val="32"/>
        </w:rPr>
      </w:pPr>
      <w:r>
        <w:rPr>
          <w:rFonts w:cs="Times New Roman"/>
          <w:b/>
          <w:bCs/>
          <w:color w:val="auto"/>
          <w:szCs w:val="32"/>
        </w:rPr>
        <w:t>2.政府性基金预算</w:t>
      </w:r>
      <w:r>
        <w:rPr>
          <w:rFonts w:hint="eastAsia" w:cs="Times New Roman"/>
          <w:b/>
          <w:bCs/>
          <w:color w:val="auto"/>
          <w:szCs w:val="32"/>
        </w:rPr>
        <w:t>总体安排情况</w:t>
      </w:r>
    </w:p>
    <w:p>
      <w:pPr>
        <w:spacing w:beforeLines="0" w:after="0" w:line="594" w:lineRule="exact"/>
        <w:ind w:firstLine="643"/>
        <w:rPr>
          <w:rFonts w:cs="Times New Roman"/>
          <w:color w:val="auto"/>
          <w:szCs w:val="32"/>
        </w:rPr>
      </w:pPr>
      <w:r>
        <w:rPr>
          <w:rFonts w:hint="eastAsia" w:cs="Times New Roman"/>
          <w:b/>
          <w:bCs/>
          <w:color w:val="auto"/>
          <w:szCs w:val="32"/>
        </w:rPr>
        <w:t>（</w:t>
      </w:r>
      <w:r>
        <w:rPr>
          <w:rFonts w:cs="Times New Roman"/>
          <w:b/>
          <w:bCs/>
          <w:color w:val="auto"/>
          <w:szCs w:val="32"/>
        </w:rPr>
        <w:t>1</w:t>
      </w:r>
      <w:r>
        <w:rPr>
          <w:rFonts w:hint="eastAsia" w:cs="Times New Roman"/>
          <w:b/>
          <w:bCs/>
          <w:color w:val="auto"/>
          <w:szCs w:val="32"/>
        </w:rPr>
        <w:t>）收入预算。</w:t>
      </w:r>
      <w:r>
        <w:rPr>
          <w:rFonts w:hint="default" w:ascii="Times New Roman" w:hAnsi="Times New Roman" w:eastAsia="方正仿宋_GBK" w:cs="Times New Roman"/>
          <w:b w:val="0"/>
          <w:bCs w:val="0"/>
          <w:color w:val="auto"/>
          <w:sz w:val="32"/>
          <w:szCs w:val="32"/>
          <w:lang w:bidi="ar"/>
        </w:rPr>
        <w:t>收入总计685,965万元，具体组成：本级收入600,000万元，上级补助收入8,930万元，上年结转77,035万元。</w:t>
      </w:r>
    </w:p>
    <w:p>
      <w:pPr>
        <w:spacing w:beforeLines="0" w:after="0" w:line="594" w:lineRule="exact"/>
        <w:ind w:firstLine="643"/>
        <w:rPr>
          <w:rFonts w:hint="default" w:ascii="Times New Roman" w:hAnsi="Times New Roman" w:eastAsia="方正仿宋_GBK" w:cs="Times New Roman"/>
          <w:b w:val="0"/>
          <w:bCs w:val="0"/>
          <w:color w:val="auto"/>
          <w:sz w:val="32"/>
          <w:szCs w:val="32"/>
          <w:lang w:bidi="ar"/>
        </w:rPr>
      </w:pPr>
      <w:r>
        <w:rPr>
          <w:rFonts w:hint="eastAsia" w:cs="Times New Roman"/>
          <w:b/>
          <w:bCs/>
          <w:color w:val="auto"/>
          <w:szCs w:val="32"/>
        </w:rPr>
        <w:t>（</w:t>
      </w:r>
      <w:r>
        <w:rPr>
          <w:rFonts w:cs="Times New Roman"/>
          <w:b/>
          <w:bCs/>
          <w:color w:val="auto"/>
          <w:szCs w:val="32"/>
        </w:rPr>
        <w:t>2</w:t>
      </w:r>
      <w:r>
        <w:rPr>
          <w:rFonts w:hint="eastAsia" w:cs="Times New Roman"/>
          <w:b/>
          <w:bCs/>
          <w:color w:val="auto"/>
          <w:szCs w:val="32"/>
        </w:rPr>
        <w:t>）支出预算。</w:t>
      </w:r>
      <w:r>
        <w:rPr>
          <w:rFonts w:hint="default" w:ascii="Times New Roman" w:hAnsi="Times New Roman" w:eastAsia="方正仿宋_GBK" w:cs="Times New Roman"/>
          <w:b w:val="0"/>
          <w:bCs w:val="0"/>
          <w:color w:val="auto"/>
          <w:sz w:val="32"/>
          <w:szCs w:val="32"/>
          <w:lang w:bidi="ar"/>
        </w:rPr>
        <w:t>支出总计</w:t>
      </w:r>
      <w:r>
        <w:rPr>
          <w:rFonts w:hint="default" w:ascii="Times New Roman" w:hAnsi="Times New Roman" w:eastAsia="方正仿宋_GBK" w:cs="Times New Roman"/>
          <w:b w:val="0"/>
          <w:bCs w:val="0"/>
          <w:i w:val="0"/>
          <w:iCs w:val="0"/>
          <w:color w:val="auto"/>
          <w:kern w:val="0"/>
          <w:sz w:val="32"/>
          <w:szCs w:val="32"/>
          <w:u w:val="none"/>
          <w:lang w:val="en-US" w:eastAsia="zh-CN" w:bidi="ar"/>
        </w:rPr>
        <w:t>685,965</w:t>
      </w:r>
      <w:r>
        <w:rPr>
          <w:rFonts w:hint="default" w:ascii="Times New Roman" w:hAnsi="Times New Roman" w:eastAsia="方正仿宋_GBK" w:cs="Times New Roman"/>
          <w:b w:val="0"/>
          <w:bCs w:val="0"/>
          <w:color w:val="auto"/>
          <w:sz w:val="32"/>
          <w:szCs w:val="32"/>
          <w:lang w:bidi="ar"/>
        </w:rPr>
        <w:t>万元，具体组成：本级支出安排</w:t>
      </w:r>
      <w:r>
        <w:rPr>
          <w:rFonts w:hint="default" w:ascii="Times New Roman" w:hAnsi="Times New Roman" w:eastAsia="方正仿宋_GBK" w:cs="Times New Roman"/>
          <w:b w:val="0"/>
          <w:bCs w:val="0"/>
          <w:color w:val="auto"/>
          <w:sz w:val="32"/>
          <w:szCs w:val="32"/>
          <w:lang w:val="en-US" w:eastAsia="zh-CN" w:bidi="ar"/>
        </w:rPr>
        <w:t>594,220</w:t>
      </w:r>
      <w:r>
        <w:rPr>
          <w:rFonts w:hint="default" w:ascii="Times New Roman" w:hAnsi="Times New Roman" w:eastAsia="方正仿宋_GBK" w:cs="Times New Roman"/>
          <w:b w:val="0"/>
          <w:bCs w:val="0"/>
          <w:color w:val="auto"/>
          <w:sz w:val="32"/>
          <w:szCs w:val="32"/>
          <w:lang w:bidi="ar"/>
        </w:rPr>
        <w:t>万元</w:t>
      </w:r>
      <w:r>
        <w:rPr>
          <w:rFonts w:hint="default" w:ascii="Times New Roman" w:hAnsi="Times New Roman" w:eastAsia="方正仿宋_GBK" w:cs="Times New Roman"/>
          <w:b w:val="0"/>
          <w:bCs w:val="0"/>
          <w:color w:val="auto"/>
          <w:sz w:val="32"/>
          <w:szCs w:val="32"/>
          <w:lang w:val="en-US" w:eastAsia="zh-CN" w:bidi="ar"/>
        </w:rPr>
        <w:t>，</w:t>
      </w:r>
      <w:r>
        <w:rPr>
          <w:rFonts w:hint="default" w:ascii="Times New Roman" w:hAnsi="Times New Roman" w:eastAsia="方正仿宋_GBK" w:cs="Times New Roman"/>
          <w:b w:val="0"/>
          <w:bCs w:val="0"/>
          <w:color w:val="auto"/>
          <w:sz w:val="32"/>
          <w:szCs w:val="32"/>
          <w:lang w:bidi="ar"/>
        </w:rPr>
        <w:t>调出资金</w:t>
      </w:r>
      <w:r>
        <w:rPr>
          <w:rFonts w:hint="default" w:ascii="Times New Roman" w:hAnsi="Times New Roman" w:eastAsia="方正仿宋_GBK" w:cs="Times New Roman"/>
          <w:b w:val="0"/>
          <w:bCs w:val="0"/>
          <w:color w:val="auto"/>
          <w:sz w:val="32"/>
          <w:szCs w:val="32"/>
          <w:lang w:val="en-US" w:eastAsia="zh-CN" w:bidi="ar"/>
        </w:rPr>
        <w:t>91,745</w:t>
      </w:r>
      <w:r>
        <w:rPr>
          <w:rFonts w:hint="default" w:ascii="Times New Roman" w:hAnsi="Times New Roman" w:eastAsia="方正仿宋_GBK" w:cs="Times New Roman"/>
          <w:b w:val="0"/>
          <w:bCs w:val="0"/>
          <w:color w:val="auto"/>
          <w:sz w:val="32"/>
          <w:szCs w:val="32"/>
          <w:lang w:bidi="ar"/>
        </w:rPr>
        <w:t>万元。</w:t>
      </w:r>
    </w:p>
    <w:p>
      <w:pPr>
        <w:spacing w:before="0" w:beforeLines="0" w:after="0" w:line="594" w:lineRule="exact"/>
        <w:ind w:firstLine="643"/>
        <w:rPr>
          <w:rFonts w:cs="Times New Roman"/>
          <w:b/>
          <w:bCs/>
          <w:color w:val="auto"/>
          <w:szCs w:val="32"/>
        </w:rPr>
      </w:pPr>
      <w:r>
        <w:rPr>
          <w:rFonts w:cs="Times New Roman"/>
          <w:b/>
          <w:bCs/>
          <w:color w:val="auto"/>
          <w:szCs w:val="32"/>
        </w:rPr>
        <w:t>3.国有资本经营预算</w:t>
      </w:r>
      <w:r>
        <w:rPr>
          <w:rFonts w:hint="eastAsia" w:cs="Times New Roman"/>
          <w:b/>
          <w:bCs/>
          <w:color w:val="auto"/>
          <w:szCs w:val="32"/>
        </w:rPr>
        <w:t>安排情况</w:t>
      </w:r>
    </w:p>
    <w:p>
      <w:pPr>
        <w:spacing w:beforeLines="0" w:after="0" w:line="594" w:lineRule="exact"/>
        <w:ind w:firstLine="643"/>
        <w:rPr>
          <w:rFonts w:cs="Times New Roman"/>
          <w:color w:val="auto"/>
          <w:szCs w:val="32"/>
        </w:rPr>
      </w:pPr>
      <w:r>
        <w:rPr>
          <w:rFonts w:hint="eastAsia" w:cs="Times New Roman"/>
          <w:b/>
          <w:bCs/>
          <w:color w:val="auto"/>
          <w:szCs w:val="32"/>
        </w:rPr>
        <w:t>（</w:t>
      </w:r>
      <w:r>
        <w:rPr>
          <w:rFonts w:cs="Times New Roman"/>
          <w:b/>
          <w:bCs/>
          <w:color w:val="auto"/>
          <w:szCs w:val="32"/>
        </w:rPr>
        <w:t>1</w:t>
      </w:r>
      <w:r>
        <w:rPr>
          <w:rFonts w:hint="eastAsia" w:cs="Times New Roman"/>
          <w:b/>
          <w:bCs/>
          <w:color w:val="auto"/>
          <w:szCs w:val="32"/>
        </w:rPr>
        <w:t>）</w:t>
      </w:r>
      <w:r>
        <w:rPr>
          <w:rFonts w:cs="Times New Roman"/>
          <w:b/>
          <w:bCs/>
          <w:color w:val="auto"/>
          <w:szCs w:val="32"/>
        </w:rPr>
        <w:t>收入</w:t>
      </w:r>
      <w:r>
        <w:rPr>
          <w:rFonts w:hint="eastAsia" w:cs="Times New Roman"/>
          <w:b/>
          <w:bCs/>
          <w:color w:val="auto"/>
          <w:szCs w:val="32"/>
        </w:rPr>
        <w:t>预算</w:t>
      </w:r>
      <w:r>
        <w:rPr>
          <w:rFonts w:cs="Times New Roman"/>
          <w:b/>
          <w:bCs/>
          <w:color w:val="auto"/>
          <w:szCs w:val="32"/>
        </w:rPr>
        <w:t>。</w:t>
      </w:r>
      <w:r>
        <w:rPr>
          <w:rFonts w:cs="Times New Roman"/>
          <w:color w:val="auto"/>
          <w:szCs w:val="32"/>
        </w:rPr>
        <w:t>收入</w:t>
      </w:r>
      <w:r>
        <w:rPr>
          <w:rFonts w:hint="default" w:ascii="Times New Roman" w:hAnsi="Times New Roman" w:cs="Times New Roman"/>
          <w:b w:val="0"/>
          <w:bCs w:val="0"/>
          <w:color w:val="auto"/>
          <w:sz w:val="32"/>
          <w:szCs w:val="32"/>
        </w:rPr>
        <w:t>总计</w:t>
      </w:r>
      <w:r>
        <w:rPr>
          <w:rFonts w:hint="eastAsia" w:eastAsia="宋体" w:cs="Times New Roman"/>
          <w:b w:val="0"/>
          <w:bCs w:val="0"/>
          <w:i w:val="0"/>
          <w:iCs w:val="0"/>
          <w:color w:val="auto"/>
          <w:kern w:val="0"/>
          <w:sz w:val="32"/>
          <w:szCs w:val="32"/>
          <w:u w:val="none"/>
          <w:lang w:val="en-US" w:eastAsia="zh-CN" w:bidi="ar"/>
        </w:rPr>
        <w:t>30,460</w:t>
      </w:r>
      <w:r>
        <w:rPr>
          <w:rFonts w:hint="default" w:ascii="Times New Roman" w:hAnsi="Times New Roman" w:cs="Times New Roman"/>
          <w:b w:val="0"/>
          <w:bCs w:val="0"/>
          <w:color w:val="auto"/>
          <w:sz w:val="32"/>
          <w:szCs w:val="32"/>
        </w:rPr>
        <w:t>万元，具体组成：本级收入</w:t>
      </w:r>
      <w:r>
        <w:rPr>
          <w:rFonts w:hint="default" w:ascii="Times New Roman" w:hAnsi="Times New Roman" w:eastAsia="宋体" w:cs="Times New Roman"/>
          <w:b w:val="0"/>
          <w:bCs w:val="0"/>
          <w:i w:val="0"/>
          <w:iCs w:val="0"/>
          <w:color w:val="auto"/>
          <w:kern w:val="0"/>
          <w:sz w:val="32"/>
          <w:szCs w:val="32"/>
          <w:u w:val="none"/>
          <w:lang w:val="en-US" w:eastAsia="zh-CN" w:bidi="ar"/>
        </w:rPr>
        <w:t>30,000</w:t>
      </w:r>
      <w:r>
        <w:rPr>
          <w:rFonts w:hint="default" w:ascii="Times New Roman" w:hAnsi="Times New Roman" w:cs="Times New Roman"/>
          <w:b w:val="0"/>
          <w:bCs w:val="0"/>
          <w:color w:val="auto"/>
          <w:sz w:val="32"/>
          <w:szCs w:val="32"/>
        </w:rPr>
        <w:t>万元；上级补助收入</w:t>
      </w:r>
      <w:r>
        <w:rPr>
          <w:rFonts w:hint="default" w:ascii="Times New Roman" w:hAnsi="Times New Roman" w:eastAsia="宋体" w:cs="Times New Roman"/>
          <w:b w:val="0"/>
          <w:bCs w:val="0"/>
          <w:i w:val="0"/>
          <w:iCs w:val="0"/>
          <w:color w:val="auto"/>
          <w:kern w:val="0"/>
          <w:sz w:val="32"/>
          <w:szCs w:val="32"/>
          <w:u w:val="none"/>
          <w:lang w:val="en-US" w:eastAsia="zh-CN" w:bidi="ar"/>
        </w:rPr>
        <w:t>230</w:t>
      </w:r>
      <w:r>
        <w:rPr>
          <w:rFonts w:hint="default" w:ascii="Times New Roman" w:hAnsi="Times New Roman" w:cs="Times New Roman"/>
          <w:b w:val="0"/>
          <w:bCs w:val="0"/>
          <w:color w:val="auto"/>
          <w:sz w:val="32"/>
          <w:szCs w:val="32"/>
        </w:rPr>
        <w:t>万元；上年结转</w:t>
      </w:r>
      <w:r>
        <w:rPr>
          <w:rFonts w:hint="default" w:ascii="Times New Roman" w:hAnsi="Times New Roman" w:cs="Times New Roman"/>
          <w:b w:val="0"/>
          <w:bCs w:val="0"/>
          <w:color w:val="auto"/>
          <w:sz w:val="32"/>
          <w:szCs w:val="32"/>
          <w:lang w:val="en-US" w:eastAsia="zh-CN"/>
        </w:rPr>
        <w:t>230</w:t>
      </w:r>
      <w:r>
        <w:rPr>
          <w:rFonts w:hint="default" w:ascii="Times New Roman" w:hAnsi="Times New Roman" w:cs="Times New Roman"/>
          <w:b w:val="0"/>
          <w:bCs w:val="0"/>
          <w:color w:val="auto"/>
          <w:sz w:val="32"/>
          <w:szCs w:val="32"/>
        </w:rPr>
        <w:t>万元。</w:t>
      </w:r>
    </w:p>
    <w:p>
      <w:pPr>
        <w:spacing w:beforeLines="0" w:after="0" w:line="594" w:lineRule="exact"/>
        <w:ind w:firstLine="643"/>
        <w:rPr>
          <w:rFonts w:cs="Times New Roman"/>
          <w:color w:val="auto"/>
          <w:szCs w:val="32"/>
        </w:rPr>
      </w:pPr>
      <w:r>
        <w:rPr>
          <w:rFonts w:hint="eastAsia" w:cs="Times New Roman"/>
          <w:b/>
          <w:bCs/>
          <w:color w:val="auto"/>
          <w:szCs w:val="32"/>
        </w:rPr>
        <w:t>（</w:t>
      </w:r>
      <w:r>
        <w:rPr>
          <w:rFonts w:cs="Times New Roman"/>
          <w:b/>
          <w:bCs/>
          <w:color w:val="auto"/>
          <w:szCs w:val="32"/>
        </w:rPr>
        <w:t>2</w:t>
      </w:r>
      <w:r>
        <w:rPr>
          <w:rFonts w:hint="eastAsia" w:cs="Times New Roman"/>
          <w:b/>
          <w:bCs/>
          <w:color w:val="auto"/>
          <w:szCs w:val="32"/>
        </w:rPr>
        <w:t>）</w:t>
      </w:r>
      <w:r>
        <w:rPr>
          <w:rFonts w:cs="Times New Roman"/>
          <w:b/>
          <w:bCs/>
          <w:color w:val="auto"/>
          <w:szCs w:val="32"/>
        </w:rPr>
        <w:t>支出</w:t>
      </w:r>
      <w:r>
        <w:rPr>
          <w:rFonts w:hint="eastAsia" w:cs="Times New Roman"/>
          <w:b/>
          <w:bCs/>
          <w:color w:val="auto"/>
          <w:szCs w:val="32"/>
        </w:rPr>
        <w:t>预算</w:t>
      </w:r>
      <w:r>
        <w:rPr>
          <w:rFonts w:cs="Times New Roman"/>
          <w:b/>
          <w:bCs/>
          <w:color w:val="auto"/>
          <w:szCs w:val="32"/>
        </w:rPr>
        <w:t>。</w:t>
      </w:r>
      <w:r>
        <w:rPr>
          <w:rFonts w:cs="Times New Roman"/>
          <w:color w:val="auto"/>
          <w:szCs w:val="32"/>
        </w:rPr>
        <w:t>支出</w:t>
      </w:r>
      <w:r>
        <w:rPr>
          <w:rFonts w:hint="default" w:ascii="Times New Roman" w:hAnsi="Times New Roman" w:cs="Times New Roman"/>
          <w:b w:val="0"/>
          <w:bCs w:val="0"/>
          <w:color w:val="auto"/>
          <w:sz w:val="32"/>
          <w:szCs w:val="32"/>
        </w:rPr>
        <w:t>总计</w:t>
      </w:r>
      <w:r>
        <w:rPr>
          <w:rFonts w:hint="eastAsia" w:eastAsia="宋体" w:cs="Times New Roman"/>
          <w:b w:val="0"/>
          <w:bCs w:val="0"/>
          <w:i w:val="0"/>
          <w:iCs w:val="0"/>
          <w:color w:val="auto"/>
          <w:kern w:val="0"/>
          <w:sz w:val="32"/>
          <w:szCs w:val="32"/>
          <w:u w:val="none"/>
          <w:lang w:val="en-US" w:eastAsia="zh-CN" w:bidi="ar"/>
        </w:rPr>
        <w:t>30,460</w:t>
      </w:r>
      <w:r>
        <w:rPr>
          <w:rFonts w:hint="default" w:ascii="Times New Roman" w:hAnsi="Times New Roman" w:cs="Times New Roman"/>
          <w:b w:val="0"/>
          <w:bCs w:val="0"/>
          <w:color w:val="auto"/>
          <w:sz w:val="32"/>
          <w:szCs w:val="32"/>
        </w:rPr>
        <w:t>万元，具体组成：本级支出</w:t>
      </w:r>
      <w:r>
        <w:rPr>
          <w:rFonts w:hint="default" w:ascii="Times New Roman" w:hAnsi="Times New Roman" w:eastAsia="方正仿宋_GBK" w:cs="Times New Roman"/>
          <w:b w:val="0"/>
          <w:bCs w:val="0"/>
          <w:i w:val="0"/>
          <w:iCs w:val="0"/>
          <w:color w:val="auto"/>
          <w:kern w:val="0"/>
          <w:sz w:val="32"/>
          <w:szCs w:val="32"/>
          <w:u w:val="none"/>
          <w:lang w:val="en-US" w:eastAsia="zh-CN" w:bidi="ar"/>
        </w:rPr>
        <w:t>21,460</w:t>
      </w:r>
      <w:r>
        <w:rPr>
          <w:rFonts w:hint="default" w:ascii="Times New Roman" w:hAnsi="Times New Roman" w:cs="Times New Roman"/>
          <w:b w:val="0"/>
          <w:bCs w:val="0"/>
          <w:color w:val="auto"/>
          <w:sz w:val="32"/>
          <w:szCs w:val="32"/>
        </w:rPr>
        <w:t>万元，调出资金</w:t>
      </w:r>
      <w:r>
        <w:rPr>
          <w:rFonts w:hint="default" w:ascii="Times New Roman" w:hAnsi="Times New Roman" w:eastAsia="宋体" w:cs="Times New Roman"/>
          <w:b w:val="0"/>
          <w:bCs w:val="0"/>
          <w:i w:val="0"/>
          <w:iCs w:val="0"/>
          <w:color w:val="auto"/>
          <w:kern w:val="0"/>
          <w:sz w:val="32"/>
          <w:szCs w:val="32"/>
          <w:u w:val="none"/>
          <w:lang w:val="en-US" w:eastAsia="zh-CN" w:bidi="ar"/>
        </w:rPr>
        <w:t xml:space="preserve">9,000 </w:t>
      </w:r>
      <w:r>
        <w:rPr>
          <w:rFonts w:hint="default" w:ascii="Times New Roman" w:hAnsi="Times New Roman" w:cs="Times New Roman"/>
          <w:b w:val="0"/>
          <w:bCs w:val="0"/>
          <w:color w:val="auto"/>
          <w:sz w:val="32"/>
          <w:szCs w:val="32"/>
        </w:rPr>
        <w:t>万元。</w:t>
      </w:r>
    </w:p>
    <w:p>
      <w:pPr>
        <w:spacing w:before="0" w:beforeLines="0" w:after="0" w:line="594" w:lineRule="exact"/>
        <w:ind w:firstLine="640"/>
        <w:rPr>
          <w:rFonts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四、</w:t>
      </w:r>
      <w:r>
        <w:rPr>
          <w:rFonts w:eastAsia="方正黑体_GBK" w:cs="Times New Roman"/>
          <w:color w:val="auto"/>
          <w:szCs w:val="32"/>
        </w:rPr>
        <w:t>202</w:t>
      </w:r>
      <w:r>
        <w:rPr>
          <w:rFonts w:hint="eastAsia" w:eastAsia="方正黑体_GBK" w:cs="Times New Roman"/>
          <w:color w:val="auto"/>
          <w:szCs w:val="32"/>
          <w:lang w:val="en-US" w:eastAsia="zh-CN"/>
        </w:rPr>
        <w:t>6</w:t>
      </w:r>
      <w:r>
        <w:rPr>
          <w:rFonts w:hint="eastAsia" w:ascii="方正黑体_GBK" w:hAnsi="方正黑体_GBK" w:eastAsia="方正黑体_GBK" w:cs="方正黑体_GBK"/>
          <w:color w:val="auto"/>
          <w:szCs w:val="32"/>
        </w:rPr>
        <w:t>年财政工作重点</w:t>
      </w:r>
    </w:p>
    <w:p>
      <w:pPr>
        <w:spacing w:after="0"/>
        <w:ind w:firstLine="640"/>
        <w:rPr>
          <w:rFonts w:hint="eastAsia" w:eastAsia="方正仿宋_GBK"/>
          <w:color w:val="auto"/>
          <w:lang w:val="en-US" w:eastAsia="zh-CN"/>
        </w:rPr>
      </w:pPr>
      <w:r>
        <w:rPr>
          <w:rFonts w:cs="Times New Roman"/>
          <w:color w:val="auto"/>
          <w:szCs w:val="32"/>
        </w:rPr>
        <w:t>202</w:t>
      </w:r>
      <w:r>
        <w:rPr>
          <w:rFonts w:hint="eastAsia" w:cs="Times New Roman"/>
          <w:color w:val="auto"/>
          <w:szCs w:val="32"/>
          <w:lang w:val="en-US" w:eastAsia="zh-CN"/>
        </w:rPr>
        <w:t>6</w:t>
      </w:r>
      <w:r>
        <w:rPr>
          <w:rFonts w:hint="eastAsia" w:cs="方正仿宋_GBK"/>
          <w:color w:val="auto"/>
          <w:szCs w:val="32"/>
        </w:rPr>
        <w:t>年是</w:t>
      </w:r>
      <w:r>
        <w:rPr>
          <w:rFonts w:hint="eastAsia" w:cs="方正仿宋_GBK"/>
          <w:color w:val="auto"/>
          <w:szCs w:val="32"/>
          <w:lang w:eastAsia="zh-CN"/>
        </w:rPr>
        <w:t>“十五五”开局之年，是</w:t>
      </w:r>
      <w:r>
        <w:rPr>
          <w:rFonts w:hint="eastAsia" w:cs="方正仿宋_GBK"/>
          <w:color w:val="auto"/>
          <w:szCs w:val="32"/>
          <w:lang w:val="en-US" w:eastAsia="zh-CN"/>
        </w:rPr>
        <w:t>实施系列“三年行动计划”的攻坚之年</w:t>
      </w:r>
      <w:r>
        <w:rPr>
          <w:rFonts w:cs="Times New Roman"/>
          <w:color w:val="auto"/>
          <w:szCs w:val="32"/>
        </w:rPr>
        <w:t>。</w:t>
      </w:r>
      <w:r>
        <w:rPr>
          <w:rFonts w:hint="eastAsia" w:cs="Times New Roman"/>
          <w:color w:val="auto"/>
          <w:szCs w:val="32"/>
          <w:lang w:eastAsia="zh-CN"/>
        </w:rPr>
        <w:t>全区财政工作将深入贯彻落实“实施更加积极的财政政策”决策部署，精准把握“稳”与“进”、“立”与“破”、“用”与“筹”的辩证关系，统筹好财政平稳运行与服务发展大局，为实现“十五五”良好开局提供财政保障。</w:t>
      </w:r>
    </w:p>
    <w:p>
      <w:pPr>
        <w:keepNext w:val="0"/>
        <w:keepLines w:val="0"/>
        <w:pageBreakBefore w:val="0"/>
        <w:widowControl w:val="0"/>
        <w:numPr>
          <w:ilvl w:val="0"/>
          <w:numId w:val="1"/>
        </w:numPr>
        <w:kinsoku/>
        <w:wordWrap/>
        <w:overflowPunct/>
        <w:topLinePunct w:val="0"/>
        <w:autoSpaceDE/>
        <w:autoSpaceDN/>
        <w:bidi w:val="0"/>
        <w:adjustRightInd/>
        <w:snapToGrid/>
        <w:spacing w:after="0"/>
        <w:ind w:firstLine="640"/>
        <w:textAlignment w:val="auto"/>
        <w:rPr>
          <w:rFonts w:hint="eastAsia" w:ascii="方正楷体_GBK" w:hAnsi="方正楷体_GBK" w:eastAsia="方正楷体_GBK" w:cs="方正楷体_GBK"/>
          <w:color w:val="auto"/>
          <w:szCs w:val="32"/>
          <w:lang w:eastAsia="zh-CN"/>
        </w:rPr>
      </w:pPr>
      <w:r>
        <w:rPr>
          <w:rFonts w:hint="eastAsia" w:ascii="方正楷体_GBK" w:hAnsi="方正楷体_GBK" w:eastAsia="方正楷体_GBK" w:cs="方正楷体_GBK"/>
          <w:color w:val="auto"/>
          <w:szCs w:val="32"/>
          <w:lang w:eastAsia="zh-CN"/>
        </w:rPr>
        <w:t>在精征管、活资产、强争取上协同发力，筑牢高质量发展财力基石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统筹存量稳固与增量拓展，通过精耕税源、深拓资源、争取资金，全方位筑牢高质量发展财力基石。</w:t>
      </w:r>
      <w:r>
        <w:rPr>
          <w:rFonts w:hint="eastAsia" w:ascii="方正仿宋_GBK" w:hAnsi="方正仿宋_GBK" w:eastAsia="方正仿宋_GBK" w:cs="方正仿宋_GBK"/>
          <w:b/>
          <w:bCs/>
          <w:color w:val="auto"/>
          <w:sz w:val="32"/>
          <w:szCs w:val="32"/>
          <w:lang w:eastAsia="zh-CN"/>
        </w:rPr>
        <w:t>一是精耕税源，稳固基本盘。</w:t>
      </w:r>
      <w:r>
        <w:rPr>
          <w:rFonts w:hint="eastAsia" w:ascii="方正仿宋_GBK" w:hAnsi="方正仿宋_GBK" w:eastAsia="方正仿宋_GBK" w:cs="方正仿宋_GBK"/>
          <w:color w:val="auto"/>
          <w:sz w:val="32"/>
          <w:szCs w:val="32"/>
          <w:lang w:eastAsia="zh-CN"/>
        </w:rPr>
        <w:t>把依法组织收入作为夯实区域财力的根本，落实国家各项惠企政策，确保政策红利直达快享、应享尽享，为企业发展蓄能，涵养未来税源。深化数据共享、部门联动协同机制，持续创新纳税服务，运用大数据等技术提升税收分析预测和征管服务的智能化水平，实现税收增长与经济发展良性互动。</w:t>
      </w:r>
      <w:r>
        <w:rPr>
          <w:rFonts w:hint="eastAsia" w:ascii="方正仿宋_GBK" w:hAnsi="方正仿宋_GBK" w:eastAsia="方正仿宋_GBK" w:cs="方正仿宋_GBK"/>
          <w:b/>
          <w:bCs/>
          <w:color w:val="auto"/>
          <w:sz w:val="32"/>
          <w:szCs w:val="32"/>
          <w:lang w:eastAsia="zh-CN"/>
        </w:rPr>
        <w:t>二是深拓资</w:t>
      </w:r>
      <w:r>
        <w:rPr>
          <w:rFonts w:hint="eastAsia" w:ascii="方正仿宋_GBK" w:hAnsi="方正仿宋_GBK" w:eastAsia="方正仿宋_GBK" w:cs="方正仿宋_GBK"/>
          <w:b/>
          <w:bCs/>
          <w:color w:val="auto"/>
          <w:sz w:val="32"/>
          <w:szCs w:val="32"/>
          <w:lang w:val="en-US" w:eastAsia="zh-CN"/>
        </w:rPr>
        <w:t>产</w:t>
      </w:r>
      <w:r>
        <w:rPr>
          <w:rFonts w:hint="eastAsia" w:ascii="方正仿宋_GBK" w:hAnsi="方正仿宋_GBK" w:eastAsia="方正仿宋_GBK" w:cs="方正仿宋_GBK"/>
          <w:b/>
          <w:bCs/>
          <w:color w:val="auto"/>
          <w:sz w:val="32"/>
          <w:szCs w:val="32"/>
          <w:lang w:eastAsia="zh-CN"/>
        </w:rPr>
        <w:t>，培植新增量。</w:t>
      </w:r>
      <w:r>
        <w:rPr>
          <w:rFonts w:hint="eastAsia" w:ascii="方正仿宋_GBK" w:hAnsi="方正仿宋_GBK" w:eastAsia="方正仿宋_GBK" w:cs="方正仿宋_GBK"/>
          <w:b w:val="0"/>
          <w:bCs w:val="0"/>
          <w:color w:val="auto"/>
          <w:sz w:val="32"/>
          <w:szCs w:val="32"/>
          <w:highlight w:val="none"/>
          <w:lang w:eastAsia="zh-CN"/>
        </w:rPr>
        <w:t>以合法</w:t>
      </w:r>
      <w:r>
        <w:rPr>
          <w:rFonts w:hint="eastAsia" w:ascii="方正仿宋_GBK" w:hAnsi="方正仿宋_GBK" w:eastAsia="方正仿宋_GBK" w:cs="方正仿宋_GBK"/>
          <w:b w:val="0"/>
          <w:bCs w:val="0"/>
          <w:color w:val="auto"/>
          <w:sz w:val="32"/>
          <w:szCs w:val="32"/>
          <w:highlight w:val="none"/>
          <w:lang w:val="en-US" w:eastAsia="zh-CN"/>
        </w:rPr>
        <w:t>依</w:t>
      </w:r>
      <w:r>
        <w:rPr>
          <w:rFonts w:hint="eastAsia" w:ascii="方正仿宋_GBK" w:hAnsi="方正仿宋_GBK" w:eastAsia="方正仿宋_GBK" w:cs="方正仿宋_GBK"/>
          <w:b w:val="0"/>
          <w:bCs w:val="0"/>
          <w:color w:val="auto"/>
          <w:sz w:val="32"/>
          <w:szCs w:val="32"/>
          <w:highlight w:val="none"/>
          <w:lang w:eastAsia="zh-CN"/>
        </w:rPr>
        <w:t>规为前提，系统梳理国有资产存量，充分挖掘国有资产的收益潜力，拓宽收入渠道，</w:t>
      </w:r>
      <w:r>
        <w:rPr>
          <w:rFonts w:hint="eastAsia" w:ascii="方正仿宋_GBK" w:hAnsi="方正仿宋_GBK" w:eastAsia="方正仿宋_GBK" w:cs="方正仿宋_GBK"/>
          <w:b w:val="0"/>
          <w:bCs w:val="0"/>
          <w:color w:val="auto"/>
          <w:sz w:val="32"/>
          <w:szCs w:val="32"/>
          <w:highlight w:val="none"/>
          <w:lang w:val="en-US" w:eastAsia="zh-CN"/>
        </w:rPr>
        <w:t>优化</w:t>
      </w:r>
      <w:r>
        <w:rPr>
          <w:rFonts w:hint="eastAsia" w:ascii="方正仿宋_GBK" w:hAnsi="方正仿宋_GBK" w:eastAsia="方正仿宋_GBK" w:cs="方正仿宋_GBK"/>
          <w:b w:val="0"/>
          <w:bCs w:val="0"/>
          <w:color w:val="auto"/>
          <w:sz w:val="32"/>
          <w:szCs w:val="32"/>
          <w:highlight w:val="none"/>
          <w:lang w:eastAsia="zh-CN"/>
        </w:rPr>
        <w:t>日常动态跟踪机制，确保非税收入及时足额入库。</w:t>
      </w:r>
      <w:r>
        <w:rPr>
          <w:rFonts w:hint="eastAsia" w:ascii="方正仿宋_GBK" w:hAnsi="方正仿宋_GBK" w:eastAsia="方正仿宋_GBK" w:cs="方正仿宋_GBK"/>
          <w:color w:val="auto"/>
          <w:sz w:val="32"/>
          <w:szCs w:val="32"/>
          <w:lang w:eastAsia="zh-CN"/>
        </w:rPr>
        <w:t>聚焦“稳预期、促出让、快回笼”，全力保障五一互助、民新民乐、建桥园区</w:t>
      </w:r>
      <w:r>
        <w:rPr>
          <w:rFonts w:hint="default" w:ascii="Times New Roman" w:hAnsi="Times New Roman" w:eastAsia="方正仿宋_GBK" w:cs="Times New Roman"/>
          <w:color w:val="auto"/>
          <w:sz w:val="32"/>
          <w:szCs w:val="32"/>
          <w:lang w:eastAsia="zh-CN"/>
        </w:rPr>
        <w:t>及C区拓展</w:t>
      </w:r>
      <w:r>
        <w:rPr>
          <w:rFonts w:hint="eastAsia" w:ascii="方正仿宋_GBK" w:hAnsi="方正仿宋_GBK" w:eastAsia="方正仿宋_GBK" w:cs="方正仿宋_GBK"/>
          <w:color w:val="auto"/>
          <w:sz w:val="32"/>
          <w:szCs w:val="32"/>
          <w:lang w:eastAsia="zh-CN"/>
        </w:rPr>
        <w:t>区土地供应。精准把握市场节奏，有序推出优质商住及工业用地，加大土地价款的全过程征缴，确保土地价值及时转化为可用财力。</w:t>
      </w:r>
      <w:r>
        <w:rPr>
          <w:rFonts w:hint="eastAsia" w:ascii="方正仿宋_GBK" w:hAnsi="方正仿宋_GBK" w:eastAsia="方正仿宋_GBK" w:cs="方正仿宋_GBK"/>
          <w:b/>
          <w:bCs/>
          <w:color w:val="auto"/>
          <w:sz w:val="32"/>
          <w:szCs w:val="32"/>
          <w:lang w:eastAsia="zh-CN"/>
        </w:rPr>
        <w:t>三是力争资金，充实财力库。</w:t>
      </w:r>
      <w:r>
        <w:rPr>
          <w:rFonts w:hint="eastAsia" w:ascii="方正仿宋_GBK" w:hAnsi="方正仿宋_GBK" w:eastAsia="方正仿宋_GBK" w:cs="方正仿宋_GBK"/>
          <w:color w:val="auto"/>
          <w:sz w:val="32"/>
          <w:szCs w:val="32"/>
          <w:lang w:eastAsia="zh-CN"/>
        </w:rPr>
        <w:t>把向上争资作为拓展财力来源、支撑高质量发展的关键举措。编印《向上争资指</w:t>
      </w:r>
      <w:r>
        <w:rPr>
          <w:rFonts w:hint="default" w:ascii="Times New Roman" w:hAnsi="Times New Roman" w:eastAsia="方正仿宋_GBK" w:cs="Times New Roman"/>
          <w:color w:val="auto"/>
          <w:sz w:val="32"/>
          <w:szCs w:val="32"/>
          <w:lang w:eastAsia="zh-CN"/>
        </w:rPr>
        <w:t>南（</w:t>
      </w:r>
      <w:r>
        <w:rPr>
          <w:rFonts w:hint="default" w:ascii="Times New Roman" w:hAnsi="Times New Roman" w:eastAsia="方正仿宋_GBK" w:cs="Times New Roman"/>
          <w:color w:val="auto"/>
          <w:sz w:val="32"/>
          <w:szCs w:val="32"/>
          <w:lang w:val="en-US" w:eastAsia="zh-CN"/>
        </w:rPr>
        <w:t>2026年版</w:t>
      </w:r>
      <w:r>
        <w:rPr>
          <w:rFonts w:hint="default" w:ascii="Times New Roman" w:hAnsi="Times New Roman" w:eastAsia="方正仿宋_GBK" w:cs="Times New Roman"/>
          <w:color w:val="auto"/>
          <w:sz w:val="32"/>
          <w:szCs w:val="32"/>
          <w:lang w:eastAsia="zh-CN"/>
        </w:rPr>
        <w:t>）》，精准对标</w:t>
      </w:r>
      <w:r>
        <w:rPr>
          <w:rFonts w:hint="eastAsia" w:ascii="Times New Roman" w:hAnsi="Times New Roman" w:eastAsia="方正仿宋_GBK" w:cs="Times New Roman"/>
          <w:color w:val="auto"/>
          <w:sz w:val="32"/>
          <w:szCs w:val="32"/>
          <w:lang w:val="en-US" w:eastAsia="zh-CN"/>
        </w:rPr>
        <w:t>74</w:t>
      </w:r>
      <w:r>
        <w:rPr>
          <w:rFonts w:hint="default" w:ascii="Times New Roman" w:hAnsi="Times New Roman" w:eastAsia="方正仿宋_GBK" w:cs="Times New Roman"/>
          <w:color w:val="auto"/>
          <w:sz w:val="32"/>
          <w:szCs w:val="32"/>
          <w:lang w:val="en-US" w:eastAsia="zh-CN"/>
        </w:rPr>
        <w:t>项上级专项资金，专项安排</w:t>
      </w:r>
      <w:r>
        <w:rPr>
          <w:rFonts w:hint="eastAsia" w:ascii="Times New Roman" w:hAnsi="Times New Roman" w:eastAsia="方正仿宋_GBK" w:cs="Times New Roman"/>
          <w:color w:val="auto"/>
          <w:sz w:val="32"/>
          <w:szCs w:val="32"/>
          <w:lang w:val="en-US" w:eastAsia="zh-CN"/>
        </w:rPr>
        <w:t>重大</w:t>
      </w:r>
      <w:r>
        <w:rPr>
          <w:rFonts w:hint="default" w:ascii="Times New Roman" w:hAnsi="Times New Roman" w:eastAsia="方正仿宋_GBK" w:cs="Times New Roman"/>
          <w:color w:val="auto"/>
          <w:sz w:val="32"/>
          <w:szCs w:val="32"/>
          <w:lang w:val="en-US" w:eastAsia="zh-CN"/>
        </w:rPr>
        <w:t>项目前期工作</w:t>
      </w:r>
      <w:r>
        <w:rPr>
          <w:rFonts w:hint="eastAsia" w:ascii="方正仿宋_GBK" w:hAnsi="方正仿宋_GBK" w:eastAsia="方正仿宋_GBK" w:cs="方正仿宋_GBK"/>
          <w:color w:val="auto"/>
          <w:sz w:val="32"/>
          <w:szCs w:val="32"/>
          <w:lang w:val="en-US" w:eastAsia="zh-CN"/>
        </w:rPr>
        <w:t>经费，全力支持做实项目储备，提高申报质量。优化考核办法，将争资成果与资源分配紧密挂钩，激发争资动力。强化跨部门协同，加强向上汇报对接，确保全年争取资金规模实现新突破。</w:t>
      </w:r>
    </w:p>
    <w:p>
      <w:pPr>
        <w:pStyle w:val="8"/>
        <w:numPr>
          <w:ilvl w:val="0"/>
          <w:numId w:val="1"/>
        </w:numPr>
        <w:spacing w:after="0"/>
        <w:ind w:left="0" w:leftChars="0" w:firstLine="640" w:firstLineChars="200"/>
        <w:rPr>
          <w:rFonts w:hint="eastAsia" w:ascii="方正楷体_GBK" w:hAnsi="方正楷体_GBK" w:eastAsia="方正楷体_GBK" w:cs="方正楷体_GBK"/>
          <w:color w:val="auto"/>
          <w:szCs w:val="32"/>
          <w:lang w:eastAsia="zh-CN"/>
        </w:rPr>
      </w:pPr>
      <w:r>
        <w:rPr>
          <w:rFonts w:hint="eastAsia" w:ascii="方正楷体_GBK" w:hAnsi="方正楷体_GBK" w:eastAsia="方正楷体_GBK" w:cs="方正楷体_GBK"/>
          <w:color w:val="auto"/>
          <w:szCs w:val="32"/>
          <w:lang w:eastAsia="zh-CN"/>
        </w:rPr>
        <w:t>在严支出、优分配、提效益上系统发力，提高财政资源配置效率</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outlineLvl w:val="9"/>
        <w:rPr>
          <w:rFonts w:hint="eastAsia" w:ascii="方正仿宋_GBK" w:hAnsi="方正仿宋_GBK" w:eastAsia="方正仿宋_GBK" w:cs="方正仿宋_GBK"/>
          <w:color w:val="auto"/>
          <w:szCs w:val="32"/>
          <w:lang w:eastAsia="zh-CN"/>
        </w:rPr>
      </w:pPr>
      <w:r>
        <w:rPr>
          <w:rFonts w:hint="eastAsia" w:ascii="方正仿宋_GBK" w:hAnsi="方正仿宋_GBK" w:cs="方正仿宋_GBK"/>
          <w:b w:val="0"/>
          <w:bCs w:val="0"/>
          <w:color w:val="auto"/>
          <w:sz w:val="32"/>
          <w:szCs w:val="32"/>
          <w:lang w:eastAsia="zh-CN"/>
        </w:rPr>
        <w:t>统筹支出控制与效益提升，通过从严支出、优化分配，迭代评审，全方位提高财政资源配置效率。</w:t>
      </w:r>
      <w:r>
        <w:rPr>
          <w:rFonts w:hint="eastAsia" w:ascii="方正仿宋_GBK" w:hAnsi="方正仿宋_GBK" w:cs="方正仿宋_GBK"/>
          <w:b/>
          <w:bCs/>
          <w:color w:val="auto"/>
          <w:sz w:val="32"/>
          <w:szCs w:val="32"/>
          <w:lang w:eastAsia="zh-CN"/>
        </w:rPr>
        <w:t>一是从严落实过紧日子要求。</w:t>
      </w:r>
      <w:r>
        <w:rPr>
          <w:rFonts w:hint="eastAsia" w:ascii="方正仿宋_GBK" w:hAnsi="方正仿宋_GBK" w:cs="方正仿宋_GBK"/>
          <w:color w:val="auto"/>
          <w:sz w:val="32"/>
          <w:szCs w:val="32"/>
          <w:lang w:eastAsia="zh-CN"/>
        </w:rPr>
        <w:t>严格落实最新文件精神，把过紧日子的要求深度嵌入预算编制、执行、监督的全过程。对标建立评估约束机制，从严审核把关，大力压减非刚性、非重点支出。严控“三公”经费、会议培训、论坛庆典等支出，强化资产统筹盘活与共享共用，坚决杜绝铺张浪费。强化绩效管理和财会监督，推动各部门将过紧日子内化为行动自觉。</w:t>
      </w:r>
      <w:r>
        <w:rPr>
          <w:rFonts w:hint="eastAsia" w:ascii="方正仿宋_GBK" w:hAnsi="方正仿宋_GBK" w:cs="方正仿宋_GBK"/>
          <w:b/>
          <w:bCs/>
          <w:color w:val="auto"/>
          <w:sz w:val="32"/>
          <w:szCs w:val="32"/>
          <w:lang w:eastAsia="zh-CN"/>
        </w:rPr>
        <w:t>二是统筹保障全区重点领域。</w:t>
      </w:r>
      <w:r>
        <w:rPr>
          <w:rFonts w:hint="eastAsia" w:ascii="方正仿宋_GBK" w:hAnsi="方正仿宋_GBK" w:cs="方正仿宋_GBK"/>
          <w:b w:val="0"/>
          <w:bCs w:val="0"/>
          <w:color w:val="auto"/>
          <w:sz w:val="32"/>
          <w:szCs w:val="32"/>
          <w:lang w:eastAsia="zh-CN"/>
        </w:rPr>
        <w:t>优先保障民生改善，预算安排重点向教育、社保、医保、养老、就业等基本民生领域倾斜，全面落实各项民生支出政策。精准保障产业发展，集中财力支持“</w:t>
      </w:r>
      <w:r>
        <w:rPr>
          <w:rFonts w:hint="default" w:ascii="Times New Roman" w:hAnsi="Times New Roman" w:cs="Times New Roman"/>
          <w:b w:val="0"/>
          <w:bCs w:val="0"/>
          <w:color w:val="auto"/>
          <w:sz w:val="32"/>
          <w:szCs w:val="32"/>
          <w:lang w:val="en-US" w:eastAsia="zh-CN"/>
        </w:rPr>
        <w:t>3216</w:t>
      </w:r>
      <w:r>
        <w:rPr>
          <w:rFonts w:hint="eastAsia" w:ascii="方正仿宋_GBK" w:hAnsi="方正仿宋_GBK" w:cs="方正仿宋_GBK"/>
          <w:b w:val="0"/>
          <w:bCs w:val="0"/>
          <w:color w:val="auto"/>
          <w:sz w:val="32"/>
          <w:szCs w:val="32"/>
          <w:lang w:eastAsia="zh-CN"/>
        </w:rPr>
        <w:t>”现代产业体系建设，发挥财政资金引导作用，</w:t>
      </w:r>
      <w:r>
        <w:rPr>
          <w:rFonts w:hint="eastAsia" w:ascii="方正仿宋_GBK" w:hAnsi="方正仿宋_GBK" w:cs="方正仿宋_GBK"/>
          <w:b w:val="0"/>
          <w:bCs w:val="0"/>
          <w:color w:val="auto"/>
          <w:sz w:val="32"/>
          <w:szCs w:val="32"/>
          <w:lang w:val="en-US" w:eastAsia="zh-CN"/>
        </w:rPr>
        <w:t>服务</w:t>
      </w:r>
      <w:r>
        <w:rPr>
          <w:rFonts w:hint="eastAsia" w:ascii="方正仿宋_GBK" w:hAnsi="方正仿宋_GBK" w:cs="方正仿宋_GBK"/>
          <w:b w:val="0"/>
          <w:bCs w:val="0"/>
          <w:color w:val="auto"/>
          <w:sz w:val="32"/>
          <w:szCs w:val="32"/>
          <w:lang w:eastAsia="zh-CN"/>
        </w:rPr>
        <w:t>重大项目落地投产。全力保障重点项目，强化对城中村安置房建设、数字化农产品加工、养老院、建</w:t>
      </w:r>
      <w:r>
        <w:rPr>
          <w:rFonts w:hint="default" w:ascii="Times New Roman" w:hAnsi="Times New Roman" w:cs="Times New Roman"/>
          <w:b w:val="0"/>
          <w:bCs w:val="0"/>
          <w:color w:val="auto"/>
          <w:sz w:val="32"/>
          <w:szCs w:val="32"/>
          <w:lang w:eastAsia="zh-CN"/>
        </w:rPr>
        <w:t>桥C区</w:t>
      </w:r>
      <w:r>
        <w:rPr>
          <w:rFonts w:hint="eastAsia" w:ascii="方正仿宋_GBK" w:hAnsi="方正仿宋_GBK" w:cs="方正仿宋_GBK"/>
          <w:b w:val="0"/>
          <w:bCs w:val="0"/>
          <w:color w:val="auto"/>
          <w:sz w:val="32"/>
          <w:szCs w:val="32"/>
          <w:lang w:eastAsia="zh-CN"/>
        </w:rPr>
        <w:t>拓展区、老旧小区改造等公共基础设施项目的资金调度与监管，确保项目早建成、群众早受益。</w:t>
      </w:r>
      <w:r>
        <w:rPr>
          <w:rFonts w:hint="eastAsia" w:ascii="方正仿宋_GBK" w:hAnsi="方正仿宋_GBK" w:cs="方正仿宋_GBK"/>
          <w:b/>
          <w:bCs/>
          <w:color w:val="auto"/>
          <w:sz w:val="32"/>
          <w:szCs w:val="32"/>
          <w:lang w:eastAsia="zh-CN"/>
        </w:rPr>
        <w:t>三是迭代优化财政项目评审。</w:t>
      </w:r>
      <w:r>
        <w:rPr>
          <w:rFonts w:hint="eastAsia" w:ascii="方正仿宋_GBK" w:hAnsi="方正仿宋_GBK" w:cs="方正仿宋_GBK"/>
          <w:color w:val="auto"/>
          <w:sz w:val="32"/>
          <w:szCs w:val="32"/>
          <w:lang w:eastAsia="zh-CN"/>
        </w:rPr>
        <w:t>推动财政项目评审从“被动核减”向“主动管控”转型，财政评审向项目设计和预算编制阶段延伸，坚决核减超标准、不合理预算。优化评审流程机制，开通财政评审绿色通道，实行重大项目“即送即审”，提高评审效率。完善三级财政评审质量监控</w:t>
      </w:r>
      <w:r>
        <w:rPr>
          <w:rFonts w:hint="eastAsia" w:ascii="方正仿宋_GBK" w:hAnsi="方正仿宋_GBK" w:cs="方正仿宋_GBK"/>
          <w:color w:val="auto"/>
          <w:sz w:val="32"/>
          <w:szCs w:val="32"/>
          <w:lang w:val="en-US" w:eastAsia="zh-CN"/>
        </w:rPr>
        <w:t>机制</w:t>
      </w:r>
      <w:r>
        <w:rPr>
          <w:rFonts w:hint="eastAsia" w:ascii="方正仿宋_GBK" w:hAnsi="方正仿宋_GBK" w:cs="方正仿宋_GBK"/>
          <w:color w:val="auto"/>
          <w:sz w:val="32"/>
          <w:szCs w:val="32"/>
          <w:lang w:eastAsia="zh-CN"/>
        </w:rPr>
        <w:t>，确保评审结果精准规范，评审结果作为预算安排、资金拨付的依据，有效形成“评审—反馈—应用”闭环管理机制。</w:t>
      </w:r>
    </w:p>
    <w:p>
      <w:pPr>
        <w:pStyle w:val="9"/>
        <w:spacing w:after="0"/>
        <w:ind w:left="0" w:firstLine="64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在零基化、效能化、数字化上突破创新，构建现代财政治理体系</w:t>
      </w:r>
    </w:p>
    <w:p>
      <w:pPr>
        <w:pStyle w:val="8"/>
        <w:spacing w:after="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Cs w:val="32"/>
          <w:lang w:eastAsia="zh-CN"/>
        </w:rPr>
        <w:t>统筹制度重塑与技术赋能，通过深化零基预算改革、优化国库效能、加快智慧财政建设，全方位构建现代财政治理体系。</w:t>
      </w:r>
      <w:r>
        <w:rPr>
          <w:rFonts w:hint="eastAsia" w:ascii="方正仿宋_GBK" w:hAnsi="方正仿宋_GBK" w:eastAsia="方正仿宋_GBK" w:cs="方正仿宋_GBK"/>
          <w:b/>
          <w:bCs/>
          <w:color w:val="auto"/>
          <w:szCs w:val="32"/>
          <w:lang w:eastAsia="zh-CN"/>
        </w:rPr>
        <w:t>一是深化零基预算改革。</w:t>
      </w:r>
      <w:r>
        <w:rPr>
          <w:rFonts w:hint="eastAsia" w:ascii="方正仿宋_GBK" w:hAnsi="方正仿宋_GBK" w:eastAsia="方正仿宋_GBK" w:cs="方正仿宋_GBK"/>
          <w:b w:val="0"/>
          <w:bCs w:val="0"/>
          <w:color w:val="auto"/>
          <w:szCs w:val="32"/>
          <w:lang w:eastAsia="zh-CN"/>
        </w:rPr>
        <w:t>在全面实施零基预算的基础上，推动改革向“</w:t>
      </w:r>
      <w:r>
        <w:rPr>
          <w:rFonts w:hint="default" w:ascii="Times New Roman" w:hAnsi="Times New Roman" w:eastAsia="方正仿宋_GBK" w:cs="Times New Roman"/>
          <w:b w:val="0"/>
          <w:bCs w:val="0"/>
          <w:color w:val="auto"/>
          <w:szCs w:val="32"/>
          <w:lang w:val="en-US" w:eastAsia="zh-CN"/>
        </w:rPr>
        <w:t>2.0</w:t>
      </w:r>
      <w:r>
        <w:rPr>
          <w:rFonts w:hint="eastAsia" w:ascii="方正仿宋_GBK" w:hAnsi="方正仿宋_GBK" w:eastAsia="方正仿宋_GBK" w:cs="方正仿宋_GBK"/>
          <w:b w:val="0"/>
          <w:bCs w:val="0"/>
          <w:color w:val="auto"/>
          <w:szCs w:val="32"/>
          <w:lang w:eastAsia="zh-CN"/>
        </w:rPr>
        <w:t>”版本迭代升级。探索建立科学的财政支出标准体系，针对不同类型项目和公共服务，分步制定分类分档的支出成本参考标准，为预算审核提供精准标尺。同步将标准化理念延伸至镇街财政管理，构建激励相容的基层预算管理模式，全面提升财政资源配置的规范性、科学性和可持续性。</w:t>
      </w:r>
      <w:r>
        <w:rPr>
          <w:rFonts w:hint="eastAsia" w:ascii="方正仿宋_GBK" w:hAnsi="方正仿宋_GBK" w:eastAsia="方正仿宋_GBK" w:cs="方正仿宋_GBK"/>
          <w:b/>
          <w:bCs/>
          <w:color w:val="auto"/>
          <w:szCs w:val="32"/>
          <w:lang w:eastAsia="zh-CN"/>
        </w:rPr>
        <w:t>二</w:t>
      </w:r>
      <w:r>
        <w:rPr>
          <w:rFonts w:hint="eastAsia" w:ascii="方正仿宋_GBK" w:hAnsi="方正仿宋_GBK" w:eastAsia="方正仿宋_GBK" w:cs="方正仿宋_GBK"/>
          <w:b/>
          <w:bCs/>
          <w:color w:val="auto"/>
          <w:sz w:val="32"/>
          <w:szCs w:val="32"/>
          <w:lang w:val="en-US" w:eastAsia="zh-CN"/>
        </w:rPr>
        <w:t>是优化国库管理效能。</w:t>
      </w:r>
      <w:r>
        <w:rPr>
          <w:rFonts w:hint="eastAsia" w:ascii="方正仿宋_GBK" w:hAnsi="方正仿宋_GBK" w:eastAsia="方正仿宋_GBK" w:cs="方正仿宋_GBK"/>
          <w:color w:val="auto"/>
          <w:sz w:val="32"/>
          <w:szCs w:val="32"/>
          <w:highlight w:val="none"/>
          <w:lang w:val="en-US" w:eastAsia="zh-CN"/>
        </w:rPr>
        <w:t>紧密围绕“保支付、控沉淀、防风险”的核心目标，持续深化国库管理工作机制。通过实施全流程闭环管控，精准测算收支平衡，动态优化资金调度，确保库款规模处于合理区间。同步强化动态监控预警，杜绝财政资金违规流出，持续推广电子支付应用，提升支付效率。严格遵循“先支付、后清算”原则，确保财政资金及时清算，切实防范资金沉淀与安全风险。</w:t>
      </w:r>
      <w:r>
        <w:rPr>
          <w:rFonts w:hint="eastAsia" w:ascii="方正仿宋_GBK" w:hAnsi="方正仿宋_GBK" w:eastAsia="方正仿宋_GBK" w:cs="方正仿宋_GBK"/>
          <w:b/>
          <w:bCs/>
          <w:color w:val="auto"/>
          <w:sz w:val="32"/>
          <w:szCs w:val="32"/>
          <w:highlight w:val="none"/>
          <w:lang w:val="en-US" w:eastAsia="zh-CN"/>
        </w:rPr>
        <w:t>三</w:t>
      </w:r>
      <w:r>
        <w:rPr>
          <w:rFonts w:hint="eastAsia" w:ascii="方正仿宋_GBK" w:hAnsi="方正仿宋_GBK" w:eastAsia="方正仿宋_GBK" w:cs="方正仿宋_GBK"/>
          <w:b/>
          <w:bCs/>
          <w:color w:val="auto"/>
          <w:sz w:val="32"/>
          <w:szCs w:val="32"/>
          <w:lang w:val="en-US" w:eastAsia="zh-CN"/>
        </w:rPr>
        <w:t>是加快智慧财政建设。</w:t>
      </w:r>
      <w:r>
        <w:rPr>
          <w:rFonts w:hint="eastAsia" w:ascii="方正仿宋_GBK" w:hAnsi="方正仿宋_GBK" w:eastAsia="方正仿宋_GBK" w:cs="方正仿宋_GBK"/>
          <w:color w:val="auto"/>
          <w:sz w:val="32"/>
          <w:szCs w:val="32"/>
          <w:lang w:val="en-US" w:eastAsia="zh-CN"/>
        </w:rPr>
        <w:t>探索利用大数据技术加强财政运行监测，提升决策的科学性和精准性。开展采购文</w:t>
      </w:r>
      <w:r>
        <w:rPr>
          <w:rFonts w:hint="default" w:ascii="Times New Roman" w:hAnsi="Times New Roman" w:eastAsia="方正仿宋_GBK" w:cs="Times New Roman"/>
          <w:color w:val="auto"/>
          <w:sz w:val="32"/>
          <w:szCs w:val="32"/>
          <w:lang w:val="en-US" w:eastAsia="zh-CN"/>
        </w:rPr>
        <w:t>件AI智能辅</w:t>
      </w:r>
      <w:r>
        <w:rPr>
          <w:rFonts w:hint="eastAsia" w:ascii="方正仿宋_GBK" w:hAnsi="方正仿宋_GBK" w:eastAsia="方正仿宋_GBK" w:cs="方正仿宋_GBK"/>
          <w:color w:val="auto"/>
          <w:sz w:val="32"/>
          <w:szCs w:val="32"/>
          <w:lang w:val="en-US" w:eastAsia="zh-CN"/>
        </w:rPr>
        <w:t>助审查，依据政府采购相关政策及常见违法违规行为清单，构建自动化、全要素审查规则体系，实现风险智能识别和文件辅助优化，不断提升采购文件规范性。</w:t>
      </w:r>
    </w:p>
    <w:p>
      <w:pPr>
        <w:spacing w:after="0"/>
        <w:ind w:firstLine="640"/>
        <w:rPr>
          <w:rFonts w:hint="eastAsia" w:eastAsia="方正楷体_GBK" w:cs="Times New Roman"/>
          <w:color w:val="auto"/>
          <w:szCs w:val="32"/>
          <w:lang w:eastAsia="zh-CN"/>
        </w:rPr>
      </w:pPr>
      <w:r>
        <w:rPr>
          <w:rFonts w:hint="eastAsia" w:ascii="方正楷体_GBK" w:hAnsi="方正楷体_GBK" w:eastAsia="方正楷体_GBK" w:cs="方正楷体_GBK"/>
          <w:color w:val="auto"/>
          <w:szCs w:val="32"/>
        </w:rPr>
        <w:t>（四）</w:t>
      </w:r>
      <w:r>
        <w:rPr>
          <w:rFonts w:hint="eastAsia" w:ascii="方正楷体_GBK" w:hAnsi="方正楷体_GBK" w:eastAsia="方正楷体_GBK" w:cs="方正楷体_GBK"/>
          <w:color w:val="auto"/>
          <w:szCs w:val="32"/>
          <w:lang w:eastAsia="zh-CN"/>
        </w:rPr>
        <w:t>在控债务、保“三保”、严纪律上固本强基，织密财政运行安全网络</w:t>
      </w:r>
    </w:p>
    <w:p>
      <w:pPr>
        <w:pStyle w:val="8"/>
        <w:spacing w:after="0"/>
        <w:rPr>
          <w:rFonts w:ascii="方正仿宋_GBK" w:hAnsi="方正仿宋_GBK" w:eastAsia="方正仿宋_GBK" w:cs="方正仿宋_GBK"/>
          <w:color w:val="auto"/>
          <w:szCs w:val="32"/>
        </w:rPr>
      </w:pPr>
      <w:r>
        <w:rPr>
          <w:rFonts w:hint="eastAsia" w:ascii="方正仿宋_GBK" w:hAnsi="方正仿宋_GBK" w:eastAsia="方正仿宋_GBK" w:cs="方正仿宋_GBK"/>
          <w:b w:val="0"/>
          <w:bCs w:val="0"/>
          <w:color w:val="auto"/>
          <w:szCs w:val="32"/>
          <w:lang w:eastAsia="zh-CN"/>
        </w:rPr>
        <w:t>统筹风险防控与底线保障，通过严控债务、兜牢“三保”、严肃纪律，全方位织密财政运行安全网络。</w:t>
      </w:r>
      <w:r>
        <w:rPr>
          <w:rFonts w:hint="eastAsia" w:ascii="方正仿宋_GBK" w:hAnsi="方正仿宋_GBK" w:eastAsia="方正仿宋_GBK" w:cs="方正仿宋_GBK"/>
          <w:b/>
          <w:bCs/>
          <w:color w:val="auto"/>
          <w:szCs w:val="32"/>
          <w:lang w:eastAsia="zh-CN"/>
        </w:rPr>
        <w:t>一是严控政府债务风险。</w:t>
      </w:r>
      <w:r>
        <w:rPr>
          <w:rFonts w:hint="eastAsia" w:ascii="方正仿宋_GBK" w:hAnsi="方正仿宋_GBK" w:eastAsia="方正仿宋_GBK" w:cs="方正仿宋_GBK"/>
          <w:b w:val="0"/>
          <w:bCs w:val="0"/>
          <w:color w:val="auto"/>
          <w:szCs w:val="32"/>
          <w:lang w:eastAsia="zh-CN"/>
        </w:rPr>
        <w:t>坚持定期开展风险排查与动态预警，严格落实一揽子化债方案，多措并举化解存量债务。注重专项债券项目质量与效益，重点支持经济社会效益好、成熟度高的重大项目，强化“借、用、管、还”全生命周期管理，确保项目收益与偿债来源相匹配。积极争取再融资债券额度，优化期限结构，有效缓释到期偿债压力，确保政府债务风险长期总体可控。</w:t>
      </w:r>
      <w:r>
        <w:rPr>
          <w:rFonts w:hint="eastAsia" w:ascii="方正仿宋_GBK" w:hAnsi="方正仿宋_GBK" w:eastAsia="方正仿宋_GBK" w:cs="方正仿宋_GBK"/>
          <w:b/>
          <w:bCs/>
          <w:color w:val="auto"/>
          <w:szCs w:val="32"/>
          <w:lang w:eastAsia="zh-CN"/>
        </w:rPr>
        <w:t>二是兜牢基层“三保”底线。</w:t>
      </w:r>
      <w:r>
        <w:rPr>
          <w:rFonts w:hint="eastAsia" w:ascii="方正仿宋_GBK" w:hAnsi="方正仿宋_GBK" w:eastAsia="方正仿宋_GBK" w:cs="方正仿宋_GBK"/>
          <w:b w:val="0"/>
          <w:bCs w:val="0"/>
          <w:color w:val="auto"/>
          <w:szCs w:val="32"/>
          <w:lang w:eastAsia="zh-CN"/>
        </w:rPr>
        <w:t>坚持将“保基本民生、保工资、保运转”作为财政支出的最优先顺序。运用零基预算理念，</w:t>
      </w:r>
      <w:r>
        <w:rPr>
          <w:rFonts w:hint="eastAsia" w:ascii="方正仿宋_GBK" w:hAnsi="方正仿宋_GBK" w:eastAsia="方正仿宋_GBK" w:cs="方正仿宋_GBK"/>
          <w:b w:val="0"/>
          <w:bCs w:val="0"/>
          <w:color w:val="auto"/>
          <w:szCs w:val="32"/>
          <w:lang w:val="en-US" w:eastAsia="zh-CN"/>
        </w:rPr>
        <w:t>优先</w:t>
      </w:r>
      <w:r>
        <w:rPr>
          <w:rFonts w:hint="eastAsia" w:ascii="方正仿宋_GBK" w:hAnsi="方正仿宋_GBK" w:eastAsia="方正仿宋_GBK" w:cs="方正仿宋_GBK"/>
          <w:b w:val="0"/>
          <w:bCs w:val="0"/>
          <w:color w:val="auto"/>
          <w:szCs w:val="32"/>
          <w:lang w:eastAsia="zh-CN"/>
        </w:rPr>
        <w:t>足额安排“三保”预算，强化资金分配、拨付、使用全过程实时跟踪管理。坚持预算安排、预算执行、库款保障“三个优先”，加强“三保”定期监测和动态监控，</w:t>
      </w:r>
      <w:r>
        <w:rPr>
          <w:rFonts w:hint="eastAsia" w:ascii="方正仿宋_GBK" w:hAnsi="方正仿宋_GBK" w:eastAsia="方正仿宋_GBK" w:cs="方正仿宋_GBK"/>
          <w:b w:val="0"/>
          <w:bCs w:val="0"/>
          <w:color w:val="auto"/>
          <w:szCs w:val="32"/>
          <w:lang w:val="en-US" w:eastAsia="zh-CN"/>
        </w:rPr>
        <w:t>强化</w:t>
      </w:r>
      <w:r>
        <w:rPr>
          <w:rFonts w:hint="eastAsia" w:ascii="方正仿宋_GBK" w:hAnsi="方正仿宋_GBK" w:eastAsia="方正仿宋_GBK" w:cs="方正仿宋_GBK"/>
          <w:b w:val="0"/>
          <w:bCs w:val="0"/>
          <w:color w:val="auto"/>
          <w:szCs w:val="32"/>
          <w:lang w:eastAsia="zh-CN"/>
        </w:rPr>
        <w:t>库款调度和保障水平监测，以精准有效的措施兜牢“三保”底线。</w:t>
      </w:r>
      <w:r>
        <w:rPr>
          <w:rFonts w:hint="eastAsia" w:ascii="方正仿宋_GBK" w:hAnsi="方正仿宋_GBK" w:eastAsia="方正仿宋_GBK" w:cs="方正仿宋_GBK"/>
          <w:b/>
          <w:bCs/>
          <w:color w:val="auto"/>
          <w:szCs w:val="32"/>
          <w:lang w:eastAsia="zh-CN"/>
        </w:rPr>
        <w:t>三是严肃财经纪律红线。</w:t>
      </w:r>
      <w:r>
        <w:rPr>
          <w:rFonts w:hint="eastAsia" w:ascii="方正仿宋_GBK" w:hAnsi="方正仿宋_GBK" w:eastAsia="方正仿宋_GBK" w:cs="方正仿宋_GBK"/>
          <w:b w:val="0"/>
          <w:bCs w:val="0"/>
          <w:color w:val="auto"/>
          <w:szCs w:val="32"/>
          <w:lang w:eastAsia="zh-CN"/>
        </w:rPr>
        <w:t>坚持问题导向，深化自查自纠，强化源头治理与长效机制建设。严格实施财会监督检查五年全覆盖，创新运用信息化等监督手段，切实提升监督效能。持续完善“</w:t>
      </w:r>
      <w:r>
        <w:rPr>
          <w:rFonts w:hint="default" w:ascii="Times New Roman" w:hAnsi="Times New Roman" w:eastAsia="方正仿宋_GBK" w:cs="Times New Roman"/>
          <w:b w:val="0"/>
          <w:bCs w:val="0"/>
          <w:color w:val="auto"/>
          <w:szCs w:val="32"/>
          <w:lang w:eastAsia="zh-CN"/>
        </w:rPr>
        <w:t>1+N</w:t>
      </w:r>
      <w:r>
        <w:rPr>
          <w:rFonts w:hint="eastAsia" w:ascii="方正仿宋_GBK" w:hAnsi="方正仿宋_GBK" w:eastAsia="方正仿宋_GBK" w:cs="方正仿宋_GBK"/>
          <w:b w:val="0"/>
          <w:bCs w:val="0"/>
          <w:color w:val="auto"/>
          <w:szCs w:val="32"/>
          <w:lang w:eastAsia="zh-CN"/>
        </w:rPr>
        <w:t>”财会监督协作配合机制，稳步扩大监督协作网络，着力构建联动高效、系统完备的监督体系。通过强化监督结果运用与信息公开，督促各单位严格遵守财经法律法规，切实规范财政财务管理。</w:t>
      </w:r>
    </w:p>
    <w:p>
      <w:pPr>
        <w:spacing w:after="0"/>
        <w:ind w:firstLine="640"/>
        <w:rPr>
          <w:rFonts w:cs="Times New Roman"/>
          <w:color w:val="auto"/>
          <w:szCs w:val="32"/>
        </w:rPr>
      </w:pPr>
      <w:r>
        <w:rPr>
          <w:rFonts w:cs="Times New Roman"/>
          <w:color w:val="auto"/>
          <w:szCs w:val="32"/>
        </w:rPr>
        <w:t>各位代表</w:t>
      </w:r>
      <w:r>
        <w:rPr>
          <w:rFonts w:hint="eastAsia" w:cs="Times New Roman"/>
          <w:color w:val="auto"/>
          <w:szCs w:val="32"/>
        </w:rPr>
        <w:t>！</w:t>
      </w:r>
      <w:r>
        <w:rPr>
          <w:rFonts w:hint="eastAsia" w:cs="Times New Roman"/>
          <w:color w:val="auto"/>
          <w:szCs w:val="32"/>
          <w:lang w:eastAsia="zh-CN"/>
        </w:rPr>
        <w:t>蓝图擘画，锦绣在前；挥毫落笔，功业在肩</w:t>
      </w:r>
      <w:r>
        <w:rPr>
          <w:rFonts w:hint="eastAsia" w:cs="Times New Roman"/>
          <w:color w:val="auto"/>
          <w:szCs w:val="32"/>
        </w:rPr>
        <w:t>。</w:t>
      </w:r>
      <w:r>
        <w:rPr>
          <w:rFonts w:hint="eastAsia" w:cs="Times New Roman"/>
          <w:color w:val="auto"/>
          <w:szCs w:val="32"/>
          <w:lang w:eastAsia="zh-CN"/>
        </w:rPr>
        <w:t>站在新的历史起点，全区财政</w:t>
      </w:r>
      <w:r>
        <w:rPr>
          <w:rFonts w:hint="eastAsia" w:cs="Times New Roman"/>
          <w:color w:val="auto"/>
          <w:szCs w:val="32"/>
        </w:rPr>
        <w:t>将坚持以习近平新时代中国特色社会主义思想为指导，在区委的坚强领导下，自觉接受区人大</w:t>
      </w:r>
      <w:r>
        <w:rPr>
          <w:rFonts w:hint="eastAsia" w:cs="Times New Roman"/>
          <w:color w:val="auto"/>
          <w:szCs w:val="32"/>
          <w:lang w:eastAsia="zh-CN"/>
        </w:rPr>
        <w:t>的</w:t>
      </w:r>
      <w:r>
        <w:rPr>
          <w:rFonts w:hint="eastAsia" w:cs="Times New Roman"/>
          <w:color w:val="auto"/>
          <w:szCs w:val="32"/>
        </w:rPr>
        <w:t>指导监督，虚心听取</w:t>
      </w:r>
      <w:r>
        <w:rPr>
          <w:rFonts w:hint="eastAsia" w:cs="Times New Roman"/>
          <w:color w:val="auto"/>
          <w:szCs w:val="32"/>
          <w:lang w:eastAsia="zh-CN"/>
        </w:rPr>
        <w:t>区</w:t>
      </w:r>
      <w:r>
        <w:rPr>
          <w:rFonts w:hint="eastAsia" w:cs="Times New Roman"/>
          <w:color w:val="auto"/>
          <w:szCs w:val="32"/>
        </w:rPr>
        <w:t>政协</w:t>
      </w:r>
      <w:r>
        <w:rPr>
          <w:rFonts w:hint="eastAsia" w:cs="Times New Roman"/>
          <w:color w:val="auto"/>
          <w:szCs w:val="32"/>
          <w:lang w:eastAsia="zh-CN"/>
        </w:rPr>
        <w:t>的</w:t>
      </w:r>
      <w:r>
        <w:rPr>
          <w:rFonts w:hint="eastAsia" w:cs="Times New Roman"/>
          <w:color w:val="auto"/>
          <w:szCs w:val="32"/>
        </w:rPr>
        <w:t>意见建议</w:t>
      </w:r>
      <w:r>
        <w:rPr>
          <w:rFonts w:hint="eastAsia" w:cs="Times New Roman"/>
          <w:color w:val="auto"/>
          <w:szCs w:val="32"/>
          <w:lang w:eastAsia="zh-CN"/>
        </w:rPr>
        <w:t>，坚持用战略视野谋划财力保障，用市场逻辑配置财政资源，用改革引擎重塑理财机制，用底线思维恪守财经纪律，奋力开创财政改革发展新局面，</w:t>
      </w:r>
      <w:r>
        <w:rPr>
          <w:rFonts w:hint="eastAsia"/>
          <w:color w:val="auto"/>
          <w:szCs w:val="32"/>
        </w:rPr>
        <w:t>为我区</w:t>
      </w:r>
      <w:r>
        <w:rPr>
          <w:rFonts w:hint="eastAsia"/>
          <w:color w:val="auto"/>
          <w:szCs w:val="32"/>
          <w:lang w:eastAsia="zh-CN"/>
        </w:rPr>
        <w:t>书写</w:t>
      </w:r>
      <w:r>
        <w:rPr>
          <w:rFonts w:hint="eastAsia"/>
          <w:color w:val="auto"/>
          <w:szCs w:val="32"/>
        </w:rPr>
        <w:t>“兴业兴城、强区富民”</w:t>
      </w:r>
      <w:r>
        <w:rPr>
          <w:rFonts w:hint="eastAsia"/>
          <w:color w:val="auto"/>
          <w:szCs w:val="32"/>
          <w:lang w:eastAsia="zh-CN"/>
        </w:rPr>
        <w:t>的</w:t>
      </w:r>
      <w:r>
        <w:rPr>
          <w:rFonts w:hint="eastAsia"/>
          <w:color w:val="auto"/>
          <w:szCs w:val="32"/>
          <w:lang w:val="en-US" w:eastAsia="zh-CN"/>
        </w:rPr>
        <w:t>崭新篇章</w:t>
      </w:r>
      <w:r>
        <w:rPr>
          <w:rFonts w:hint="eastAsia"/>
          <w:color w:val="auto"/>
          <w:szCs w:val="32"/>
        </w:rPr>
        <w:t>贡献财政力量。</w:t>
      </w:r>
    </w:p>
    <w:p>
      <w:pPr>
        <w:spacing w:after="0"/>
        <w:ind w:firstLine="640"/>
        <w:rPr>
          <w:color w:val="auto"/>
          <w:szCs w:val="32"/>
        </w:rPr>
      </w:pPr>
      <w:r>
        <w:rPr>
          <w:color w:val="auto"/>
          <w:szCs w:val="32"/>
        </w:rPr>
        <w:br w:type="page"/>
      </w:r>
    </w:p>
    <w:p>
      <w:pPr>
        <w:spacing w:after="0"/>
        <w:ind w:firstLine="0" w:firstLineChars="0"/>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名词解释</w:t>
      </w:r>
    </w:p>
    <w:p>
      <w:pPr>
        <w:spacing w:after="0"/>
        <w:ind w:firstLine="640"/>
        <w:rPr>
          <w:color w:val="auto"/>
        </w:rPr>
      </w:pPr>
      <w:r>
        <w:rPr>
          <w:rFonts w:hint="eastAsia" w:ascii="方正黑体_GBK" w:hAnsi="方正黑体_GBK" w:eastAsia="方正黑体_GBK" w:cs="方正黑体_GBK"/>
          <w:color w:val="auto"/>
        </w:rPr>
        <w:t>财政预算：</w:t>
      </w:r>
      <w:r>
        <w:rPr>
          <w:color w:val="auto"/>
        </w:rPr>
        <w:t>财政预算是政府活动计划的一个反映，它体现了政府及其财政活动的范围、政府在特定时期所要实现的政策目标和政策手段。预算是对未来一定时期内收支安排的预测、计划。它作为一种管理工具，在日常生活乃至国家行政管理中被广泛采用。就财政而言，财政预算就是由政府编制、经立法机关审批、反映政府一个财政年度内的收支状况的计划。</w:t>
      </w:r>
    </w:p>
    <w:p>
      <w:pPr>
        <w:spacing w:after="0"/>
        <w:ind w:firstLine="640"/>
        <w:rPr>
          <w:color w:val="auto"/>
        </w:rPr>
      </w:pPr>
      <w:r>
        <w:rPr>
          <w:rFonts w:ascii="方正黑体_GBK" w:hAnsi="方正黑体_GBK" w:eastAsia="方正黑体_GBK" w:cs="方正黑体_GBK"/>
          <w:color w:val="auto"/>
        </w:rPr>
        <w:t>预算数：</w:t>
      </w:r>
      <w:r>
        <w:rPr>
          <w:rFonts w:cs="Times New Roman"/>
          <w:color w:val="auto"/>
        </w:rPr>
        <w:t>202</w:t>
      </w:r>
      <w:r>
        <w:rPr>
          <w:rFonts w:hint="eastAsia" w:cs="Times New Roman"/>
          <w:color w:val="auto"/>
          <w:lang w:val="en-US" w:eastAsia="zh-CN"/>
        </w:rPr>
        <w:t>5</w:t>
      </w:r>
      <w:r>
        <w:rPr>
          <w:color w:val="auto"/>
        </w:rPr>
        <w:t>年预算草案经区十四届人大</w:t>
      </w:r>
      <w:r>
        <w:rPr>
          <w:rFonts w:hint="eastAsia"/>
          <w:color w:val="auto"/>
          <w:lang w:eastAsia="zh-CN"/>
        </w:rPr>
        <w:t>五</w:t>
      </w:r>
      <w:r>
        <w:rPr>
          <w:color w:val="auto"/>
        </w:rPr>
        <w:t>次会议审查批准后，</w:t>
      </w:r>
      <w:r>
        <w:rPr>
          <w:rFonts w:hint="eastAsia"/>
          <w:color w:val="auto"/>
          <w:lang w:eastAsia="zh-CN"/>
        </w:rPr>
        <w:t>争取的政府</w:t>
      </w:r>
      <w:r>
        <w:rPr>
          <w:rFonts w:hint="eastAsia" w:cs="Times New Roman"/>
          <w:color w:val="auto"/>
          <w:szCs w:val="32"/>
        </w:rPr>
        <w:t>债券</w:t>
      </w:r>
      <w:r>
        <w:rPr>
          <w:rFonts w:hint="eastAsia" w:cs="Times New Roman"/>
          <w:color w:val="auto"/>
          <w:szCs w:val="32"/>
          <w:lang w:eastAsia="zh-CN"/>
        </w:rPr>
        <w:t>陆续到位</w:t>
      </w:r>
      <w:r>
        <w:rPr>
          <w:rFonts w:hint="eastAsia" w:cs="Times New Roman"/>
          <w:color w:val="auto"/>
          <w:szCs w:val="32"/>
        </w:rPr>
        <w:t>，我区债务规模发</w:t>
      </w:r>
      <w:r>
        <w:rPr>
          <w:rFonts w:hint="eastAsia" w:cs="Times New Roman"/>
          <w:color w:val="auto"/>
          <w:szCs w:val="32"/>
          <w:lang w:eastAsia="zh-CN"/>
        </w:rPr>
        <w:t>生</w:t>
      </w:r>
      <w:r>
        <w:rPr>
          <w:rFonts w:hint="eastAsia" w:cs="Times New Roman"/>
          <w:color w:val="auto"/>
          <w:szCs w:val="32"/>
        </w:rPr>
        <w:t>变化，按照《预算法》相关规定</w:t>
      </w:r>
      <w:r>
        <w:rPr>
          <w:color w:val="auto"/>
        </w:rPr>
        <w:t>编制预算调整方案，报区十四届人大常委会第</w:t>
      </w:r>
      <w:r>
        <w:rPr>
          <w:rFonts w:hint="eastAsia" w:cs="Times New Roman"/>
          <w:b w:val="0"/>
          <w:bCs w:val="0"/>
          <w:color w:val="auto"/>
          <w:szCs w:val="32"/>
          <w:lang w:val="en-US" w:eastAsia="zh-CN"/>
        </w:rPr>
        <w:t>三十三</w:t>
      </w:r>
      <w:r>
        <w:rPr>
          <w:color w:val="auto"/>
        </w:rPr>
        <w:t>次会议审查批准</w:t>
      </w:r>
      <w:r>
        <w:rPr>
          <w:rFonts w:hint="eastAsia"/>
          <w:color w:val="auto"/>
          <w:lang w:eastAsia="zh-CN"/>
        </w:rPr>
        <w:t>，</w:t>
      </w:r>
      <w:r>
        <w:rPr>
          <w:color w:val="auto"/>
        </w:rPr>
        <w:t>报告中的</w:t>
      </w:r>
      <w:r>
        <w:rPr>
          <w:rFonts w:cs="Times New Roman"/>
          <w:color w:val="auto"/>
        </w:rPr>
        <w:t>202</w:t>
      </w:r>
      <w:r>
        <w:rPr>
          <w:rFonts w:hint="eastAsia" w:cs="Times New Roman"/>
          <w:color w:val="auto"/>
          <w:lang w:val="en-US" w:eastAsia="zh-CN"/>
        </w:rPr>
        <w:t>5</w:t>
      </w:r>
      <w:r>
        <w:rPr>
          <w:color w:val="auto"/>
        </w:rPr>
        <w:t>年预算数为调整预算数。</w:t>
      </w:r>
    </w:p>
    <w:p>
      <w:pPr>
        <w:spacing w:after="0"/>
        <w:ind w:firstLine="640"/>
        <w:rPr>
          <w:color w:val="auto"/>
        </w:rPr>
      </w:pPr>
      <w:r>
        <w:rPr>
          <w:rFonts w:ascii="方正黑体_GBK" w:hAnsi="方正黑体_GBK" w:eastAsia="方正黑体_GBK" w:cs="方正黑体_GBK"/>
          <w:color w:val="auto"/>
        </w:rPr>
        <w:t>一般公共预算：</w:t>
      </w:r>
      <w:r>
        <w:rPr>
          <w:color w:val="auto"/>
        </w:rPr>
        <w:t>指政府凭借国家政治权力，以社会管理者身份筹集以税收为主体的财政收入，用于保障和改善民生、维持国家行政职能正常运转、保障国家安全等方面的收支预算。</w:t>
      </w:r>
    </w:p>
    <w:p>
      <w:pPr>
        <w:spacing w:after="0"/>
        <w:ind w:firstLine="640"/>
        <w:rPr>
          <w:color w:val="auto"/>
        </w:rPr>
      </w:pPr>
      <w:r>
        <w:rPr>
          <w:rFonts w:ascii="方正黑体_GBK" w:hAnsi="方正黑体_GBK" w:eastAsia="方正黑体_GBK" w:cs="方正黑体_GBK"/>
          <w:color w:val="auto"/>
        </w:rPr>
        <w:t>政府性基金预算：</w:t>
      </w:r>
      <w:r>
        <w:rPr>
          <w:color w:val="auto"/>
        </w:rPr>
        <w:t>指国家通过向社会征收以及出让土地、发行彩票等方式取得收入，并专项用于支持特定基础设施建设和社会事业发展的财政收支预算，是政府预算体系的重要组成部分。</w:t>
      </w:r>
    </w:p>
    <w:p>
      <w:pPr>
        <w:spacing w:after="0"/>
        <w:ind w:firstLine="640"/>
        <w:rPr>
          <w:color w:val="auto"/>
        </w:rPr>
      </w:pPr>
      <w:r>
        <w:rPr>
          <w:rFonts w:ascii="方正黑体_GBK" w:hAnsi="方正黑体_GBK" w:eastAsia="方正黑体_GBK" w:cs="方正黑体_GBK"/>
          <w:color w:val="auto"/>
        </w:rPr>
        <w:t>国有资本经营预算：</w:t>
      </w:r>
      <w:r>
        <w:rPr>
          <w:color w:val="auto"/>
        </w:rPr>
        <w:t>指国家以所有者身份对国有资本实行存量调整和增量分配而发生的各项收支预算，是政府预算体系的重要组成部分。</w:t>
      </w:r>
    </w:p>
    <w:p>
      <w:pPr>
        <w:spacing w:after="0"/>
        <w:ind w:firstLine="640"/>
        <w:rPr>
          <w:color w:val="auto"/>
        </w:rPr>
      </w:pPr>
      <w:r>
        <w:rPr>
          <w:rFonts w:ascii="方正黑体_GBK" w:hAnsi="方正黑体_GBK" w:eastAsia="方正黑体_GBK" w:cs="方正黑体_GBK"/>
          <w:color w:val="auto"/>
        </w:rPr>
        <w:t>预算稳定调节基金：</w:t>
      </w:r>
      <w:r>
        <w:rPr>
          <w:color w:val="auto"/>
        </w:rPr>
        <w:t>指财政通过超收收入和支出预算结余安排的具有储备性质的基金，视预算平衡情况，在安排下年度预算时调入并安排使用，或用于弥补短收年份预算执行的收支缺口，基金的安排使用接受同级人大及其常委会的监督。</w:t>
      </w:r>
    </w:p>
    <w:p>
      <w:pPr>
        <w:spacing w:after="0"/>
        <w:ind w:firstLine="640"/>
        <w:rPr>
          <w:color w:val="auto"/>
        </w:rPr>
      </w:pPr>
      <w:r>
        <w:rPr>
          <w:rFonts w:ascii="方正黑体_GBK" w:hAnsi="方正黑体_GBK" w:eastAsia="方正黑体_GBK" w:cs="方正黑体_GBK"/>
          <w:color w:val="auto"/>
        </w:rPr>
        <w:t>零基预算</w:t>
      </w:r>
      <w:r>
        <w:rPr>
          <w:rFonts w:hint="eastAsia" w:ascii="方正黑体_GBK" w:hAnsi="方正黑体_GBK" w:eastAsia="方正黑体_GBK" w:cs="方正黑体_GBK"/>
          <w:color w:val="auto"/>
        </w:rPr>
        <w:t>：</w:t>
      </w:r>
      <w:r>
        <w:rPr>
          <w:rFonts w:hint="eastAsia"/>
          <w:color w:val="auto"/>
        </w:rPr>
        <w:t>不考虑过去的预算项目和收支水平，以零为基点编制的预算，具体指不受以往预算安排情况的影响，一切从实际需要出发，逐项审议预算年度内各项费用的内容及其开支标准，结合财力状况，在综合平衡的基础上编制预算的一种科学的现代预算编制方法。</w:t>
      </w:r>
    </w:p>
    <w:p>
      <w:pPr>
        <w:spacing w:after="0"/>
        <w:ind w:firstLine="640"/>
        <w:rPr>
          <w:color w:val="auto"/>
        </w:rPr>
      </w:pPr>
      <w:r>
        <w:rPr>
          <w:rFonts w:ascii="方正黑体_GBK" w:hAnsi="方正黑体_GBK" w:eastAsia="方正黑体_GBK" w:cs="方正黑体_GBK"/>
          <w:color w:val="auto"/>
        </w:rPr>
        <w:t>预算公开评审：</w:t>
      </w:r>
      <w:r>
        <w:rPr>
          <w:color w:val="auto"/>
        </w:rPr>
        <w:t>指在年初预算编制过程中，采取成立评审组联合评审方式，对预算单位申报的项目支出预算进行评审论证，提出评审意见和建议的预算管理活动。评审组由区人大常委会专门机构、区审计局等监督部门、区财政局等专业部门有关人员组成，同时，邀请部分区人大代表、区政协委员、相关专家等人员参与。预算公开评审范围包括所有区级财力安排的项目支出。</w:t>
      </w:r>
    </w:p>
    <w:p>
      <w:pPr>
        <w:spacing w:after="0"/>
        <w:ind w:firstLine="640"/>
        <w:rPr>
          <w:rFonts w:hint="eastAsia" w:eastAsia="方正仿宋_GBK"/>
          <w:color w:val="auto"/>
          <w:lang w:val="en-US" w:eastAsia="zh-CN"/>
        </w:rPr>
      </w:pPr>
      <w:r>
        <w:rPr>
          <w:rFonts w:hint="eastAsia" w:ascii="方正仿宋_GBK" w:cs="Times New Roman"/>
          <w:color w:val="auto"/>
        </w:rPr>
        <w:t>“</w:t>
      </w:r>
      <w:r>
        <w:rPr>
          <w:rFonts w:eastAsia="方正黑体_GBK" w:cs="Times New Roman"/>
          <w:color w:val="auto"/>
        </w:rPr>
        <w:t>1+N</w:t>
      </w:r>
      <w:r>
        <w:rPr>
          <w:rFonts w:hint="eastAsia" w:ascii="方正仿宋_GBK" w:cs="Times New Roman"/>
          <w:color w:val="auto"/>
        </w:rPr>
        <w:t>”</w:t>
      </w:r>
      <w:r>
        <w:rPr>
          <w:rFonts w:eastAsia="方正黑体_GBK" w:cs="Times New Roman"/>
          <w:color w:val="auto"/>
        </w:rPr>
        <w:t>财会监督协作配合机制：</w:t>
      </w:r>
      <w:r>
        <w:rPr>
          <w:color w:val="auto"/>
        </w:rPr>
        <w:t>为深入贯彻落实中共中央办公厅国务院办公厅《关于进一步加强财会监督工作的意见》</w:t>
      </w:r>
      <w:r>
        <w:rPr>
          <w:rFonts w:hint="eastAsia"/>
          <w:color w:val="auto"/>
          <w:lang w:eastAsia="zh-CN"/>
        </w:rPr>
        <w:t>，</w:t>
      </w:r>
      <w:r>
        <w:rPr>
          <w:color w:val="auto"/>
        </w:rPr>
        <w:t>切实履行财会监督主责，推动各单位扎实落实好各项任务，维护中央政令畅通、规范财经秩序，区财政局与区纪委监委联合</w:t>
      </w:r>
      <w:r>
        <w:rPr>
          <w:rFonts w:hint="eastAsia"/>
          <w:color w:val="auto"/>
          <w:lang w:eastAsia="zh-CN"/>
        </w:rPr>
        <w:t>制定</w:t>
      </w:r>
      <w:r>
        <w:rPr>
          <w:color w:val="auto"/>
        </w:rPr>
        <w:t>《重庆市大渡口区</w:t>
      </w:r>
      <w:r>
        <w:rPr>
          <w:rFonts w:hint="eastAsia" w:ascii="方正仿宋_GBK"/>
          <w:color w:val="auto"/>
        </w:rPr>
        <w:t>“</w:t>
      </w:r>
      <w:r>
        <w:rPr>
          <w:rFonts w:cs="Times New Roman"/>
          <w:color w:val="auto"/>
        </w:rPr>
        <w:t>1</w:t>
      </w:r>
      <w:r>
        <w:rPr>
          <w:color w:val="auto"/>
        </w:rPr>
        <w:t>+</w:t>
      </w:r>
      <w:r>
        <w:rPr>
          <w:rFonts w:cs="Times New Roman"/>
          <w:color w:val="auto"/>
        </w:rPr>
        <w:t>N</w:t>
      </w:r>
      <w:r>
        <w:rPr>
          <w:rFonts w:hint="eastAsia" w:ascii="方正仿宋_GBK"/>
          <w:color w:val="auto"/>
        </w:rPr>
        <w:t>”</w:t>
      </w:r>
      <w:r>
        <w:rPr>
          <w:color w:val="auto"/>
        </w:rPr>
        <w:t>财会监督协作配合机制》，区纪委监委、区财政局作为主体，除相互建立协作机制外，根据工作需要，可与区人大、区政协、区委巡察办、区委政法委、区审计局、区统计局、区信访办等任何一个单位建立协作机制（即子机制），构建全方位财会监督体系。</w:t>
      </w:r>
    </w:p>
    <w:sectPr>
      <w:headerReference r:id="rId5" w:type="default"/>
      <w:footerReference r:id="rId7" w:type="default"/>
      <w:headerReference r:id="rId6" w:type="even"/>
      <w:footerReference r:id="rId8" w:type="even"/>
      <w:pgSz w:w="11906" w:h="16838"/>
      <w:pgMar w:top="1814" w:right="1446" w:bottom="1814" w:left="1446" w:header="851" w:footer="1134" w:gutter="0"/>
      <w:pgNumType w:fmt="decimal"/>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7AFBF7-2726-447D-B926-0FD06E3701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4729EE-BFB4-4375-A1B4-832DCF826F30}"/>
  </w:font>
  <w:font w:name="方正仿宋_GBK">
    <w:panose1 w:val="03000509000000000000"/>
    <w:charset w:val="86"/>
    <w:family w:val="auto"/>
    <w:pitch w:val="default"/>
    <w:sig w:usb0="00000001" w:usb1="080E0000" w:usb2="00000000" w:usb3="00000000" w:csb0="00040000" w:csb1="00000000"/>
    <w:embedRegular r:id="rId3" w:fontKey="{E6D0BC3A-5EE9-4C23-8C14-666BD9B5B7B3}"/>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4" w:fontKey="{4B4FC6FC-A4E7-4BA0-837B-4299D1D81AF2}"/>
  </w:font>
  <w:font w:name="FZFSK--GBK1-0">
    <w:altName w:val="Times New Roman"/>
    <w:panose1 w:val="00000000000000000000"/>
    <w:charset w:val="00"/>
    <w:family w:val="roman"/>
    <w:pitch w:val="default"/>
    <w:sig w:usb0="00000000" w:usb1="00000000" w:usb2="00000000" w:usb3="00000000" w:csb0="00040001" w:csb1="00000000"/>
  </w:font>
  <w:font w:name="E-BZ">
    <w:altName w:val="Arial"/>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方正楷体_GBK">
    <w:panose1 w:val="03000509000000000000"/>
    <w:charset w:val="86"/>
    <w:family w:val="script"/>
    <w:pitch w:val="default"/>
    <w:sig w:usb0="00000001" w:usb1="080E0000" w:usb2="00000000" w:usb3="00000000" w:csb0="00040000" w:csb1="00000000"/>
    <w:embedRegular r:id="rId5" w:fontKey="{18BA2840-8CB8-444E-AEA9-DF3C120E87D1}"/>
  </w:font>
  <w:font w:name="方正黑体_GBK">
    <w:panose1 w:val="03000509000000000000"/>
    <w:charset w:val="86"/>
    <w:family w:val="script"/>
    <w:pitch w:val="default"/>
    <w:sig w:usb0="00000001" w:usb1="080E0000" w:usb2="00000000" w:usb3="00000000" w:csb0="00040000" w:csb1="00000000"/>
    <w:embedRegular r:id="rId6" w:fontKey="{2E6CFC3F-9265-4EA8-9D77-E8B85F6D65C6}"/>
  </w:font>
  <w:font w:name="仿宋">
    <w:panose1 w:val="02010609060101010101"/>
    <w:charset w:val="86"/>
    <w:family w:val="modern"/>
    <w:pitch w:val="default"/>
    <w:sig w:usb0="800002BF" w:usb1="38CF7CFA" w:usb2="00000016" w:usb3="00000000" w:csb0="00040001" w:csb1="00000000"/>
    <w:embedRegular r:id="rId7" w:fontKey="{217325A0-3FF2-4B97-A56C-CD1100560B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line="240" w:lineRule="auto"/>
      <w:ind w:firstLine="56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line="240" w:lineRule="auto"/>
      <w:ind w:firstLine="0" w:firstLine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44F8A"/>
    <w:multiLevelType w:val="singleLevel"/>
    <w:tmpl w:val="51C44F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2Y2U0ZDczNWU4YTk3NDY1MDRmMzg5MWM2ZTIzZjIifQ=="/>
  </w:docVars>
  <w:rsids>
    <w:rsidRoot w:val="00AD48AC"/>
    <w:rsid w:val="0000773E"/>
    <w:rsid w:val="00023B5E"/>
    <w:rsid w:val="00055E9C"/>
    <w:rsid w:val="00067B16"/>
    <w:rsid w:val="00071371"/>
    <w:rsid w:val="000A1312"/>
    <w:rsid w:val="000A5B69"/>
    <w:rsid w:val="0014555B"/>
    <w:rsid w:val="00217B86"/>
    <w:rsid w:val="0027566A"/>
    <w:rsid w:val="002D3A42"/>
    <w:rsid w:val="002F5BAB"/>
    <w:rsid w:val="002F7AAA"/>
    <w:rsid w:val="0031603E"/>
    <w:rsid w:val="00341D4C"/>
    <w:rsid w:val="00345EF5"/>
    <w:rsid w:val="00390385"/>
    <w:rsid w:val="00392C14"/>
    <w:rsid w:val="003A226B"/>
    <w:rsid w:val="003D192D"/>
    <w:rsid w:val="003F1AF7"/>
    <w:rsid w:val="004527FE"/>
    <w:rsid w:val="00461133"/>
    <w:rsid w:val="004C7B4A"/>
    <w:rsid w:val="00500C23"/>
    <w:rsid w:val="00517C12"/>
    <w:rsid w:val="0052041B"/>
    <w:rsid w:val="005462A4"/>
    <w:rsid w:val="005A56ED"/>
    <w:rsid w:val="005B6D97"/>
    <w:rsid w:val="005D6592"/>
    <w:rsid w:val="006043DD"/>
    <w:rsid w:val="00621131"/>
    <w:rsid w:val="0064140C"/>
    <w:rsid w:val="00666AAC"/>
    <w:rsid w:val="00672676"/>
    <w:rsid w:val="006B2B0A"/>
    <w:rsid w:val="00705AA1"/>
    <w:rsid w:val="00714F91"/>
    <w:rsid w:val="00741CE6"/>
    <w:rsid w:val="007760FB"/>
    <w:rsid w:val="007B310B"/>
    <w:rsid w:val="007D0C37"/>
    <w:rsid w:val="007D64D5"/>
    <w:rsid w:val="007E5F80"/>
    <w:rsid w:val="0080232D"/>
    <w:rsid w:val="00802E77"/>
    <w:rsid w:val="0081045C"/>
    <w:rsid w:val="00873AE8"/>
    <w:rsid w:val="00875F51"/>
    <w:rsid w:val="008B6899"/>
    <w:rsid w:val="008F3F07"/>
    <w:rsid w:val="009266F5"/>
    <w:rsid w:val="00935C90"/>
    <w:rsid w:val="00965819"/>
    <w:rsid w:val="009B6100"/>
    <w:rsid w:val="009C2E2B"/>
    <w:rsid w:val="00A30E2D"/>
    <w:rsid w:val="00A47AFE"/>
    <w:rsid w:val="00A94E4D"/>
    <w:rsid w:val="00AA2080"/>
    <w:rsid w:val="00AB70DE"/>
    <w:rsid w:val="00AD48AC"/>
    <w:rsid w:val="00B03A91"/>
    <w:rsid w:val="00B364F8"/>
    <w:rsid w:val="00B558E0"/>
    <w:rsid w:val="00B73F2D"/>
    <w:rsid w:val="00B76E8A"/>
    <w:rsid w:val="00B774B0"/>
    <w:rsid w:val="00B869A5"/>
    <w:rsid w:val="00B87A40"/>
    <w:rsid w:val="00B948BF"/>
    <w:rsid w:val="00BB3A85"/>
    <w:rsid w:val="00BF3E31"/>
    <w:rsid w:val="00BF5D7D"/>
    <w:rsid w:val="00C07B77"/>
    <w:rsid w:val="00C14F13"/>
    <w:rsid w:val="00C51B47"/>
    <w:rsid w:val="00CC7DF3"/>
    <w:rsid w:val="00DA1325"/>
    <w:rsid w:val="00DA244B"/>
    <w:rsid w:val="00DA35BF"/>
    <w:rsid w:val="00DB25FF"/>
    <w:rsid w:val="00DC6566"/>
    <w:rsid w:val="00DE0EE0"/>
    <w:rsid w:val="00DE1D12"/>
    <w:rsid w:val="00DF377B"/>
    <w:rsid w:val="00E038AD"/>
    <w:rsid w:val="00E134AD"/>
    <w:rsid w:val="00E16F6D"/>
    <w:rsid w:val="00E17B49"/>
    <w:rsid w:val="00E24956"/>
    <w:rsid w:val="00E562A8"/>
    <w:rsid w:val="00E876BB"/>
    <w:rsid w:val="00EB73CC"/>
    <w:rsid w:val="00ED182D"/>
    <w:rsid w:val="00ED51C7"/>
    <w:rsid w:val="00EE1D64"/>
    <w:rsid w:val="00F77BE7"/>
    <w:rsid w:val="00FC4379"/>
    <w:rsid w:val="00FD17D4"/>
    <w:rsid w:val="00FD6AB7"/>
    <w:rsid w:val="01006013"/>
    <w:rsid w:val="013E5AF0"/>
    <w:rsid w:val="014E489A"/>
    <w:rsid w:val="01684AB6"/>
    <w:rsid w:val="0169382E"/>
    <w:rsid w:val="017616DF"/>
    <w:rsid w:val="018A6B57"/>
    <w:rsid w:val="018C3936"/>
    <w:rsid w:val="01922CF6"/>
    <w:rsid w:val="01A0106F"/>
    <w:rsid w:val="01B267DD"/>
    <w:rsid w:val="01BE76B4"/>
    <w:rsid w:val="01C34939"/>
    <w:rsid w:val="01C568F5"/>
    <w:rsid w:val="01C8359E"/>
    <w:rsid w:val="01DB0BBC"/>
    <w:rsid w:val="01E255CF"/>
    <w:rsid w:val="01F05996"/>
    <w:rsid w:val="01F23B15"/>
    <w:rsid w:val="020227FB"/>
    <w:rsid w:val="0203350F"/>
    <w:rsid w:val="02176081"/>
    <w:rsid w:val="021B0292"/>
    <w:rsid w:val="022C4EFD"/>
    <w:rsid w:val="02380E83"/>
    <w:rsid w:val="0258422D"/>
    <w:rsid w:val="025E037D"/>
    <w:rsid w:val="0263033E"/>
    <w:rsid w:val="02706BB8"/>
    <w:rsid w:val="0270791B"/>
    <w:rsid w:val="027F4EC7"/>
    <w:rsid w:val="02830579"/>
    <w:rsid w:val="028B41AB"/>
    <w:rsid w:val="02902431"/>
    <w:rsid w:val="0291358F"/>
    <w:rsid w:val="02A5306C"/>
    <w:rsid w:val="02B16726"/>
    <w:rsid w:val="02C14837"/>
    <w:rsid w:val="02C22E67"/>
    <w:rsid w:val="02C509C8"/>
    <w:rsid w:val="02DA3F69"/>
    <w:rsid w:val="02F4546D"/>
    <w:rsid w:val="02F92D08"/>
    <w:rsid w:val="02FE3E7B"/>
    <w:rsid w:val="030E04F5"/>
    <w:rsid w:val="03113449"/>
    <w:rsid w:val="031A4A2D"/>
    <w:rsid w:val="031A6C3F"/>
    <w:rsid w:val="03286A27"/>
    <w:rsid w:val="033420D0"/>
    <w:rsid w:val="033C3303"/>
    <w:rsid w:val="034026E5"/>
    <w:rsid w:val="034269D4"/>
    <w:rsid w:val="03584759"/>
    <w:rsid w:val="03634320"/>
    <w:rsid w:val="036A11C3"/>
    <w:rsid w:val="036A6130"/>
    <w:rsid w:val="038533E6"/>
    <w:rsid w:val="038F71C9"/>
    <w:rsid w:val="03942F09"/>
    <w:rsid w:val="03AE6B94"/>
    <w:rsid w:val="03B27815"/>
    <w:rsid w:val="03B621BF"/>
    <w:rsid w:val="03B67F49"/>
    <w:rsid w:val="03BE7AAE"/>
    <w:rsid w:val="03C46EEA"/>
    <w:rsid w:val="03C93050"/>
    <w:rsid w:val="03DC7377"/>
    <w:rsid w:val="03E405DE"/>
    <w:rsid w:val="03E61F2D"/>
    <w:rsid w:val="040633BC"/>
    <w:rsid w:val="040974B9"/>
    <w:rsid w:val="04205E03"/>
    <w:rsid w:val="043124DA"/>
    <w:rsid w:val="04347DD5"/>
    <w:rsid w:val="04412ACB"/>
    <w:rsid w:val="04472B78"/>
    <w:rsid w:val="04564891"/>
    <w:rsid w:val="04581CB1"/>
    <w:rsid w:val="04664992"/>
    <w:rsid w:val="04747B94"/>
    <w:rsid w:val="04773870"/>
    <w:rsid w:val="047D4412"/>
    <w:rsid w:val="047F1D53"/>
    <w:rsid w:val="048C0A43"/>
    <w:rsid w:val="04914FD5"/>
    <w:rsid w:val="04997407"/>
    <w:rsid w:val="04B13ACF"/>
    <w:rsid w:val="04CA3380"/>
    <w:rsid w:val="04CF4B5A"/>
    <w:rsid w:val="04D543A1"/>
    <w:rsid w:val="04E02086"/>
    <w:rsid w:val="04EB4DE3"/>
    <w:rsid w:val="04FA70D7"/>
    <w:rsid w:val="04FF66FE"/>
    <w:rsid w:val="0508755C"/>
    <w:rsid w:val="050D4050"/>
    <w:rsid w:val="05192C2F"/>
    <w:rsid w:val="05232F88"/>
    <w:rsid w:val="05272BF5"/>
    <w:rsid w:val="052E120F"/>
    <w:rsid w:val="053075E9"/>
    <w:rsid w:val="0535606F"/>
    <w:rsid w:val="053710BA"/>
    <w:rsid w:val="0539061F"/>
    <w:rsid w:val="053967A4"/>
    <w:rsid w:val="054C48B1"/>
    <w:rsid w:val="05702490"/>
    <w:rsid w:val="05A33A8B"/>
    <w:rsid w:val="05A750DF"/>
    <w:rsid w:val="05AE2A11"/>
    <w:rsid w:val="05B3149A"/>
    <w:rsid w:val="05BC2835"/>
    <w:rsid w:val="05BD1F9E"/>
    <w:rsid w:val="05C7676E"/>
    <w:rsid w:val="05D22059"/>
    <w:rsid w:val="05D4124F"/>
    <w:rsid w:val="05DF7CF7"/>
    <w:rsid w:val="05E7509A"/>
    <w:rsid w:val="05EB7BA4"/>
    <w:rsid w:val="05F3AA23"/>
    <w:rsid w:val="05F65004"/>
    <w:rsid w:val="05FD088C"/>
    <w:rsid w:val="05FD4A1E"/>
    <w:rsid w:val="061A29D1"/>
    <w:rsid w:val="062260D2"/>
    <w:rsid w:val="064A17BB"/>
    <w:rsid w:val="064B0522"/>
    <w:rsid w:val="064D274A"/>
    <w:rsid w:val="064E4AE0"/>
    <w:rsid w:val="065B5AB5"/>
    <w:rsid w:val="065D710A"/>
    <w:rsid w:val="066071A8"/>
    <w:rsid w:val="066C4A14"/>
    <w:rsid w:val="068034B9"/>
    <w:rsid w:val="06862E5E"/>
    <w:rsid w:val="06922D52"/>
    <w:rsid w:val="069465E7"/>
    <w:rsid w:val="06967C92"/>
    <w:rsid w:val="06A109D4"/>
    <w:rsid w:val="06B1754A"/>
    <w:rsid w:val="06B91D31"/>
    <w:rsid w:val="06DE3F4D"/>
    <w:rsid w:val="06F159F8"/>
    <w:rsid w:val="071A478A"/>
    <w:rsid w:val="071E0F8F"/>
    <w:rsid w:val="0720438B"/>
    <w:rsid w:val="072670D1"/>
    <w:rsid w:val="072C7A1D"/>
    <w:rsid w:val="072E5ADF"/>
    <w:rsid w:val="073C28D6"/>
    <w:rsid w:val="074379FE"/>
    <w:rsid w:val="07492310"/>
    <w:rsid w:val="074A11F7"/>
    <w:rsid w:val="0752173A"/>
    <w:rsid w:val="07672F3B"/>
    <w:rsid w:val="076F3F1E"/>
    <w:rsid w:val="07771EA8"/>
    <w:rsid w:val="07816E66"/>
    <w:rsid w:val="07824D5A"/>
    <w:rsid w:val="07866368"/>
    <w:rsid w:val="0791605A"/>
    <w:rsid w:val="07975648"/>
    <w:rsid w:val="079923C4"/>
    <w:rsid w:val="079F17AC"/>
    <w:rsid w:val="07AF5AE8"/>
    <w:rsid w:val="07AF695B"/>
    <w:rsid w:val="07B575A9"/>
    <w:rsid w:val="07BC2FE1"/>
    <w:rsid w:val="07CC56E3"/>
    <w:rsid w:val="07CD6512"/>
    <w:rsid w:val="07CF2B2E"/>
    <w:rsid w:val="07D07D97"/>
    <w:rsid w:val="07D72153"/>
    <w:rsid w:val="07D90F6F"/>
    <w:rsid w:val="07E00AE6"/>
    <w:rsid w:val="07EF3C34"/>
    <w:rsid w:val="080E31F7"/>
    <w:rsid w:val="081E3231"/>
    <w:rsid w:val="081F41A4"/>
    <w:rsid w:val="08202D73"/>
    <w:rsid w:val="083206F1"/>
    <w:rsid w:val="084367D4"/>
    <w:rsid w:val="084C6104"/>
    <w:rsid w:val="084D4F86"/>
    <w:rsid w:val="085922ED"/>
    <w:rsid w:val="086749B7"/>
    <w:rsid w:val="086E7B78"/>
    <w:rsid w:val="0873372A"/>
    <w:rsid w:val="08786DD3"/>
    <w:rsid w:val="0882074F"/>
    <w:rsid w:val="0884682C"/>
    <w:rsid w:val="0887061A"/>
    <w:rsid w:val="0893591F"/>
    <w:rsid w:val="0895087F"/>
    <w:rsid w:val="089814B8"/>
    <w:rsid w:val="08984EB5"/>
    <w:rsid w:val="08A073B6"/>
    <w:rsid w:val="08AC0E44"/>
    <w:rsid w:val="08B55388"/>
    <w:rsid w:val="08B95E86"/>
    <w:rsid w:val="08BA42CA"/>
    <w:rsid w:val="08D61A76"/>
    <w:rsid w:val="08E23118"/>
    <w:rsid w:val="09025217"/>
    <w:rsid w:val="092B69EC"/>
    <w:rsid w:val="093C031A"/>
    <w:rsid w:val="096C0417"/>
    <w:rsid w:val="096D4D17"/>
    <w:rsid w:val="09796227"/>
    <w:rsid w:val="09864BCA"/>
    <w:rsid w:val="098C7F03"/>
    <w:rsid w:val="099070EB"/>
    <w:rsid w:val="09917762"/>
    <w:rsid w:val="0994694C"/>
    <w:rsid w:val="09A2452F"/>
    <w:rsid w:val="09A6429E"/>
    <w:rsid w:val="09B2449F"/>
    <w:rsid w:val="09B47989"/>
    <w:rsid w:val="09BB2179"/>
    <w:rsid w:val="09C165C9"/>
    <w:rsid w:val="09DA18FA"/>
    <w:rsid w:val="09DD5418"/>
    <w:rsid w:val="09F73A65"/>
    <w:rsid w:val="09FE5583"/>
    <w:rsid w:val="0A063D35"/>
    <w:rsid w:val="0A0B31C6"/>
    <w:rsid w:val="0A16109C"/>
    <w:rsid w:val="0A200A27"/>
    <w:rsid w:val="0A264EB3"/>
    <w:rsid w:val="0A27682A"/>
    <w:rsid w:val="0A331A7F"/>
    <w:rsid w:val="0A34702F"/>
    <w:rsid w:val="0A3B2546"/>
    <w:rsid w:val="0A430D0D"/>
    <w:rsid w:val="0A485715"/>
    <w:rsid w:val="0A5B23B0"/>
    <w:rsid w:val="0A5C592B"/>
    <w:rsid w:val="0A5E1724"/>
    <w:rsid w:val="0A662E70"/>
    <w:rsid w:val="0A856C30"/>
    <w:rsid w:val="0A864CD4"/>
    <w:rsid w:val="0A887A7A"/>
    <w:rsid w:val="0A8C7B7E"/>
    <w:rsid w:val="0AA137CE"/>
    <w:rsid w:val="0AA33182"/>
    <w:rsid w:val="0AA82365"/>
    <w:rsid w:val="0AAB4536"/>
    <w:rsid w:val="0ABD286A"/>
    <w:rsid w:val="0ACD6ACF"/>
    <w:rsid w:val="0AD33E25"/>
    <w:rsid w:val="0AE001D0"/>
    <w:rsid w:val="0AED6071"/>
    <w:rsid w:val="0AF748CF"/>
    <w:rsid w:val="0B0034C3"/>
    <w:rsid w:val="0B0D5690"/>
    <w:rsid w:val="0B1623B8"/>
    <w:rsid w:val="0B310A42"/>
    <w:rsid w:val="0B316DB7"/>
    <w:rsid w:val="0B381E4F"/>
    <w:rsid w:val="0B395960"/>
    <w:rsid w:val="0B3D2B57"/>
    <w:rsid w:val="0B4C6740"/>
    <w:rsid w:val="0B564018"/>
    <w:rsid w:val="0B567D97"/>
    <w:rsid w:val="0B6151C6"/>
    <w:rsid w:val="0B645539"/>
    <w:rsid w:val="0B646E04"/>
    <w:rsid w:val="0B7A65B0"/>
    <w:rsid w:val="0B845845"/>
    <w:rsid w:val="0B917393"/>
    <w:rsid w:val="0B9368AE"/>
    <w:rsid w:val="0B986E2C"/>
    <w:rsid w:val="0BA22ECC"/>
    <w:rsid w:val="0BA930FF"/>
    <w:rsid w:val="0BB62CDB"/>
    <w:rsid w:val="0BC87F5F"/>
    <w:rsid w:val="0BD72C69"/>
    <w:rsid w:val="0BDF0119"/>
    <w:rsid w:val="0BFF6152"/>
    <w:rsid w:val="0C1A3CD9"/>
    <w:rsid w:val="0C21751C"/>
    <w:rsid w:val="0C2D4234"/>
    <w:rsid w:val="0C376214"/>
    <w:rsid w:val="0C392856"/>
    <w:rsid w:val="0C4C7EB9"/>
    <w:rsid w:val="0C6F64AC"/>
    <w:rsid w:val="0C721BC9"/>
    <w:rsid w:val="0C76741A"/>
    <w:rsid w:val="0C794328"/>
    <w:rsid w:val="0C9504DB"/>
    <w:rsid w:val="0C95349C"/>
    <w:rsid w:val="0C964A61"/>
    <w:rsid w:val="0CA00EDB"/>
    <w:rsid w:val="0CA529A8"/>
    <w:rsid w:val="0CA538DA"/>
    <w:rsid w:val="0CB40AE9"/>
    <w:rsid w:val="0CB77B7F"/>
    <w:rsid w:val="0CC5785D"/>
    <w:rsid w:val="0CCD3E37"/>
    <w:rsid w:val="0CF46DA9"/>
    <w:rsid w:val="0D0620C2"/>
    <w:rsid w:val="0D1654E7"/>
    <w:rsid w:val="0D4E4864"/>
    <w:rsid w:val="0D5C3123"/>
    <w:rsid w:val="0D78734C"/>
    <w:rsid w:val="0D886F6E"/>
    <w:rsid w:val="0D956F4B"/>
    <w:rsid w:val="0D965911"/>
    <w:rsid w:val="0D9901C8"/>
    <w:rsid w:val="0DAD68D9"/>
    <w:rsid w:val="0DCE04C7"/>
    <w:rsid w:val="0DD016A8"/>
    <w:rsid w:val="0DD22341"/>
    <w:rsid w:val="0DEA1BCB"/>
    <w:rsid w:val="0DEC6642"/>
    <w:rsid w:val="0DF276F3"/>
    <w:rsid w:val="0E0D0B44"/>
    <w:rsid w:val="0E2906EF"/>
    <w:rsid w:val="0E2C08F3"/>
    <w:rsid w:val="0E2D253A"/>
    <w:rsid w:val="0E3850A3"/>
    <w:rsid w:val="0E424BB9"/>
    <w:rsid w:val="0E4B32AB"/>
    <w:rsid w:val="0E67072A"/>
    <w:rsid w:val="0E7246FE"/>
    <w:rsid w:val="0E814CBC"/>
    <w:rsid w:val="0E854224"/>
    <w:rsid w:val="0E871FE4"/>
    <w:rsid w:val="0E89753D"/>
    <w:rsid w:val="0E912068"/>
    <w:rsid w:val="0EA44ED2"/>
    <w:rsid w:val="0EA555F2"/>
    <w:rsid w:val="0EA8087A"/>
    <w:rsid w:val="0EB33970"/>
    <w:rsid w:val="0EBC238B"/>
    <w:rsid w:val="0EC3241C"/>
    <w:rsid w:val="0ED41111"/>
    <w:rsid w:val="0EDF7237"/>
    <w:rsid w:val="0EF24821"/>
    <w:rsid w:val="0F0A3213"/>
    <w:rsid w:val="0F136F00"/>
    <w:rsid w:val="0F165D2D"/>
    <w:rsid w:val="0F207E36"/>
    <w:rsid w:val="0F293F61"/>
    <w:rsid w:val="0F3F1AC6"/>
    <w:rsid w:val="0F3F5FF6"/>
    <w:rsid w:val="0F40352A"/>
    <w:rsid w:val="0F4378BC"/>
    <w:rsid w:val="0F497580"/>
    <w:rsid w:val="0F641785"/>
    <w:rsid w:val="0F676F22"/>
    <w:rsid w:val="0F6B2650"/>
    <w:rsid w:val="0F885B0A"/>
    <w:rsid w:val="0F8F2B44"/>
    <w:rsid w:val="0FA21A66"/>
    <w:rsid w:val="0FA41EF2"/>
    <w:rsid w:val="0FA552EC"/>
    <w:rsid w:val="0FAC0D64"/>
    <w:rsid w:val="0FB36757"/>
    <w:rsid w:val="0FB44D0A"/>
    <w:rsid w:val="0FB51AC1"/>
    <w:rsid w:val="0FBD6F4F"/>
    <w:rsid w:val="0FD474A3"/>
    <w:rsid w:val="0FE900AB"/>
    <w:rsid w:val="0FEF4695"/>
    <w:rsid w:val="0FF64BD6"/>
    <w:rsid w:val="10036EB9"/>
    <w:rsid w:val="100A03A2"/>
    <w:rsid w:val="100B2370"/>
    <w:rsid w:val="10100D48"/>
    <w:rsid w:val="10103AA1"/>
    <w:rsid w:val="10170692"/>
    <w:rsid w:val="10170F7A"/>
    <w:rsid w:val="102B7309"/>
    <w:rsid w:val="10352D44"/>
    <w:rsid w:val="103A30BC"/>
    <w:rsid w:val="103D6A44"/>
    <w:rsid w:val="10411408"/>
    <w:rsid w:val="105817D9"/>
    <w:rsid w:val="10652901"/>
    <w:rsid w:val="107536D0"/>
    <w:rsid w:val="107A165C"/>
    <w:rsid w:val="107A37FD"/>
    <w:rsid w:val="108D2EAD"/>
    <w:rsid w:val="10920EDC"/>
    <w:rsid w:val="10974B76"/>
    <w:rsid w:val="10B121CC"/>
    <w:rsid w:val="10BF66CC"/>
    <w:rsid w:val="10C61934"/>
    <w:rsid w:val="10C9235E"/>
    <w:rsid w:val="10CF0F95"/>
    <w:rsid w:val="10D64CC0"/>
    <w:rsid w:val="10D85564"/>
    <w:rsid w:val="10E9716C"/>
    <w:rsid w:val="10FA719A"/>
    <w:rsid w:val="11014C26"/>
    <w:rsid w:val="11035D0B"/>
    <w:rsid w:val="11141A03"/>
    <w:rsid w:val="1117099C"/>
    <w:rsid w:val="11243719"/>
    <w:rsid w:val="11316F3C"/>
    <w:rsid w:val="1133429E"/>
    <w:rsid w:val="11370AB8"/>
    <w:rsid w:val="113915FF"/>
    <w:rsid w:val="11451B81"/>
    <w:rsid w:val="114A06AA"/>
    <w:rsid w:val="115C5B58"/>
    <w:rsid w:val="116F3182"/>
    <w:rsid w:val="11716E57"/>
    <w:rsid w:val="1173096D"/>
    <w:rsid w:val="119144FC"/>
    <w:rsid w:val="11947AF3"/>
    <w:rsid w:val="119A496A"/>
    <w:rsid w:val="119D61F9"/>
    <w:rsid w:val="11A86ED7"/>
    <w:rsid w:val="11AA73B1"/>
    <w:rsid w:val="11AE32C4"/>
    <w:rsid w:val="11BD28E1"/>
    <w:rsid w:val="11BF6065"/>
    <w:rsid w:val="11C34329"/>
    <w:rsid w:val="11CD08B2"/>
    <w:rsid w:val="11D02229"/>
    <w:rsid w:val="11D82F37"/>
    <w:rsid w:val="11FF708B"/>
    <w:rsid w:val="12082D4A"/>
    <w:rsid w:val="12171C33"/>
    <w:rsid w:val="12244303"/>
    <w:rsid w:val="122E42BF"/>
    <w:rsid w:val="12380A2C"/>
    <w:rsid w:val="123C3973"/>
    <w:rsid w:val="123C4DBB"/>
    <w:rsid w:val="123F5E39"/>
    <w:rsid w:val="12596163"/>
    <w:rsid w:val="12645540"/>
    <w:rsid w:val="126824A6"/>
    <w:rsid w:val="127B7303"/>
    <w:rsid w:val="127F13B0"/>
    <w:rsid w:val="129975B4"/>
    <w:rsid w:val="12C329EB"/>
    <w:rsid w:val="12D10EBF"/>
    <w:rsid w:val="12D90460"/>
    <w:rsid w:val="12F26B17"/>
    <w:rsid w:val="12F406A3"/>
    <w:rsid w:val="12FC2400"/>
    <w:rsid w:val="13013308"/>
    <w:rsid w:val="130F5D26"/>
    <w:rsid w:val="132C2FE4"/>
    <w:rsid w:val="13322521"/>
    <w:rsid w:val="13371F4B"/>
    <w:rsid w:val="13382FFC"/>
    <w:rsid w:val="13554082"/>
    <w:rsid w:val="13764E54"/>
    <w:rsid w:val="13767FFC"/>
    <w:rsid w:val="13807C50"/>
    <w:rsid w:val="13825DCC"/>
    <w:rsid w:val="138471FF"/>
    <w:rsid w:val="13871441"/>
    <w:rsid w:val="138D1D5B"/>
    <w:rsid w:val="139D323C"/>
    <w:rsid w:val="13A0783E"/>
    <w:rsid w:val="13B413A4"/>
    <w:rsid w:val="13B970CB"/>
    <w:rsid w:val="13BD7526"/>
    <w:rsid w:val="13BF67DB"/>
    <w:rsid w:val="13D3211D"/>
    <w:rsid w:val="13FE517B"/>
    <w:rsid w:val="14084D43"/>
    <w:rsid w:val="140A2C9F"/>
    <w:rsid w:val="141C2CE4"/>
    <w:rsid w:val="142521EB"/>
    <w:rsid w:val="1427433B"/>
    <w:rsid w:val="142E0338"/>
    <w:rsid w:val="144910C6"/>
    <w:rsid w:val="14597501"/>
    <w:rsid w:val="1460444C"/>
    <w:rsid w:val="147937A9"/>
    <w:rsid w:val="14812BFC"/>
    <w:rsid w:val="149A59CD"/>
    <w:rsid w:val="14AB4542"/>
    <w:rsid w:val="14B215FC"/>
    <w:rsid w:val="14C00CF8"/>
    <w:rsid w:val="14CD090E"/>
    <w:rsid w:val="14D0589B"/>
    <w:rsid w:val="14D1441C"/>
    <w:rsid w:val="14D57827"/>
    <w:rsid w:val="14DC6490"/>
    <w:rsid w:val="14E119B6"/>
    <w:rsid w:val="14EF5BB7"/>
    <w:rsid w:val="14FB46BE"/>
    <w:rsid w:val="15160F0F"/>
    <w:rsid w:val="15192D96"/>
    <w:rsid w:val="151D2886"/>
    <w:rsid w:val="15284D87"/>
    <w:rsid w:val="15316573"/>
    <w:rsid w:val="15363948"/>
    <w:rsid w:val="156075A5"/>
    <w:rsid w:val="15624166"/>
    <w:rsid w:val="157373E8"/>
    <w:rsid w:val="1578412D"/>
    <w:rsid w:val="158749D1"/>
    <w:rsid w:val="15956F42"/>
    <w:rsid w:val="159C050D"/>
    <w:rsid w:val="159D0DF6"/>
    <w:rsid w:val="15B42ABF"/>
    <w:rsid w:val="15B77AD5"/>
    <w:rsid w:val="15BB2E96"/>
    <w:rsid w:val="15C251DC"/>
    <w:rsid w:val="15C821A9"/>
    <w:rsid w:val="15D67C61"/>
    <w:rsid w:val="15E13A56"/>
    <w:rsid w:val="15E2587E"/>
    <w:rsid w:val="15EF9101"/>
    <w:rsid w:val="15F22921"/>
    <w:rsid w:val="15FB50D7"/>
    <w:rsid w:val="160F72E7"/>
    <w:rsid w:val="161246FB"/>
    <w:rsid w:val="16125258"/>
    <w:rsid w:val="16230DB3"/>
    <w:rsid w:val="16311978"/>
    <w:rsid w:val="16464112"/>
    <w:rsid w:val="164821A1"/>
    <w:rsid w:val="164A0EB9"/>
    <w:rsid w:val="164E202D"/>
    <w:rsid w:val="16512788"/>
    <w:rsid w:val="166A71BF"/>
    <w:rsid w:val="166B7324"/>
    <w:rsid w:val="166C6770"/>
    <w:rsid w:val="167119BF"/>
    <w:rsid w:val="167504A0"/>
    <w:rsid w:val="167B058D"/>
    <w:rsid w:val="168202B3"/>
    <w:rsid w:val="168359AA"/>
    <w:rsid w:val="1685708E"/>
    <w:rsid w:val="16870E2B"/>
    <w:rsid w:val="169F6C00"/>
    <w:rsid w:val="169F7731"/>
    <w:rsid w:val="16C65804"/>
    <w:rsid w:val="16D276A1"/>
    <w:rsid w:val="16F71E66"/>
    <w:rsid w:val="16F77107"/>
    <w:rsid w:val="16FF8B2B"/>
    <w:rsid w:val="17051E41"/>
    <w:rsid w:val="17255CE9"/>
    <w:rsid w:val="173339B0"/>
    <w:rsid w:val="17382CDD"/>
    <w:rsid w:val="1740437F"/>
    <w:rsid w:val="17435EA8"/>
    <w:rsid w:val="174B51D1"/>
    <w:rsid w:val="17576F02"/>
    <w:rsid w:val="17621304"/>
    <w:rsid w:val="17656F32"/>
    <w:rsid w:val="176B574F"/>
    <w:rsid w:val="176B70E2"/>
    <w:rsid w:val="176D6575"/>
    <w:rsid w:val="176E2749"/>
    <w:rsid w:val="17702278"/>
    <w:rsid w:val="17905EDE"/>
    <w:rsid w:val="17B01F09"/>
    <w:rsid w:val="17B803AA"/>
    <w:rsid w:val="17C26641"/>
    <w:rsid w:val="17C30C43"/>
    <w:rsid w:val="17CD51D3"/>
    <w:rsid w:val="17EF25FC"/>
    <w:rsid w:val="17F315CA"/>
    <w:rsid w:val="17F8300B"/>
    <w:rsid w:val="180E5D6E"/>
    <w:rsid w:val="181D6978"/>
    <w:rsid w:val="182A0535"/>
    <w:rsid w:val="18355169"/>
    <w:rsid w:val="18401CE3"/>
    <w:rsid w:val="185F5EA6"/>
    <w:rsid w:val="18756816"/>
    <w:rsid w:val="187F1B81"/>
    <w:rsid w:val="188965C9"/>
    <w:rsid w:val="188B06F2"/>
    <w:rsid w:val="188D4025"/>
    <w:rsid w:val="189E74C7"/>
    <w:rsid w:val="18A73371"/>
    <w:rsid w:val="18AA3440"/>
    <w:rsid w:val="18AE67AD"/>
    <w:rsid w:val="18B01AF5"/>
    <w:rsid w:val="18B52F71"/>
    <w:rsid w:val="18B61A4C"/>
    <w:rsid w:val="18B838E7"/>
    <w:rsid w:val="18C3358C"/>
    <w:rsid w:val="18C92DDD"/>
    <w:rsid w:val="18CC1BE6"/>
    <w:rsid w:val="18DF41FF"/>
    <w:rsid w:val="18E558E6"/>
    <w:rsid w:val="18E86DC3"/>
    <w:rsid w:val="18F17E90"/>
    <w:rsid w:val="18F91DAB"/>
    <w:rsid w:val="18F9224D"/>
    <w:rsid w:val="18F93DF7"/>
    <w:rsid w:val="19063C86"/>
    <w:rsid w:val="19087A2D"/>
    <w:rsid w:val="19176DD4"/>
    <w:rsid w:val="191B7EEF"/>
    <w:rsid w:val="1928493C"/>
    <w:rsid w:val="192E2815"/>
    <w:rsid w:val="1935110F"/>
    <w:rsid w:val="193C766D"/>
    <w:rsid w:val="194B6D2C"/>
    <w:rsid w:val="1955268F"/>
    <w:rsid w:val="19674C9A"/>
    <w:rsid w:val="196848F9"/>
    <w:rsid w:val="196C0696"/>
    <w:rsid w:val="196F7429"/>
    <w:rsid w:val="197B4124"/>
    <w:rsid w:val="197D09FB"/>
    <w:rsid w:val="197D7402"/>
    <w:rsid w:val="197E58BE"/>
    <w:rsid w:val="198527A8"/>
    <w:rsid w:val="198570FD"/>
    <w:rsid w:val="19920DFA"/>
    <w:rsid w:val="19924E0F"/>
    <w:rsid w:val="19A16791"/>
    <w:rsid w:val="19A8714A"/>
    <w:rsid w:val="19AA0811"/>
    <w:rsid w:val="19AF56D0"/>
    <w:rsid w:val="19BB6F33"/>
    <w:rsid w:val="19EC17E9"/>
    <w:rsid w:val="19EC3104"/>
    <w:rsid w:val="19F10B1C"/>
    <w:rsid w:val="19F85C5C"/>
    <w:rsid w:val="19FE11E9"/>
    <w:rsid w:val="1A0D1B58"/>
    <w:rsid w:val="1A1155B9"/>
    <w:rsid w:val="1A1E18FA"/>
    <w:rsid w:val="1A2E0660"/>
    <w:rsid w:val="1A375B24"/>
    <w:rsid w:val="1A3F329F"/>
    <w:rsid w:val="1A4A4F7B"/>
    <w:rsid w:val="1A4F5DFD"/>
    <w:rsid w:val="1A546EDD"/>
    <w:rsid w:val="1A8011C2"/>
    <w:rsid w:val="1AA000BD"/>
    <w:rsid w:val="1AA02869"/>
    <w:rsid w:val="1AA17AB6"/>
    <w:rsid w:val="1AA56239"/>
    <w:rsid w:val="1AAA0E72"/>
    <w:rsid w:val="1AB64480"/>
    <w:rsid w:val="1ADE52ED"/>
    <w:rsid w:val="1AE46991"/>
    <w:rsid w:val="1AEB150E"/>
    <w:rsid w:val="1AF119F7"/>
    <w:rsid w:val="1AFA2409"/>
    <w:rsid w:val="1B1777F0"/>
    <w:rsid w:val="1B1D220C"/>
    <w:rsid w:val="1B247BD9"/>
    <w:rsid w:val="1B37534E"/>
    <w:rsid w:val="1B3F7DC3"/>
    <w:rsid w:val="1B507F0B"/>
    <w:rsid w:val="1B63471A"/>
    <w:rsid w:val="1B6F1D56"/>
    <w:rsid w:val="1B7A0953"/>
    <w:rsid w:val="1B847036"/>
    <w:rsid w:val="1BCB3865"/>
    <w:rsid w:val="1BD05060"/>
    <w:rsid w:val="1BD1641A"/>
    <w:rsid w:val="1BE74969"/>
    <w:rsid w:val="1BE821D9"/>
    <w:rsid w:val="1BE8481C"/>
    <w:rsid w:val="1BE979DE"/>
    <w:rsid w:val="1BF240E6"/>
    <w:rsid w:val="1C003FF3"/>
    <w:rsid w:val="1C0B06EC"/>
    <w:rsid w:val="1C0C1375"/>
    <w:rsid w:val="1C360A1B"/>
    <w:rsid w:val="1C373D6C"/>
    <w:rsid w:val="1C38261B"/>
    <w:rsid w:val="1C43194C"/>
    <w:rsid w:val="1C54794D"/>
    <w:rsid w:val="1C606A26"/>
    <w:rsid w:val="1C747163"/>
    <w:rsid w:val="1C750503"/>
    <w:rsid w:val="1C7A3CE1"/>
    <w:rsid w:val="1C7B6763"/>
    <w:rsid w:val="1C7C7B8C"/>
    <w:rsid w:val="1C8377F1"/>
    <w:rsid w:val="1CA174BF"/>
    <w:rsid w:val="1CAF1594"/>
    <w:rsid w:val="1CB70E38"/>
    <w:rsid w:val="1CCF06B4"/>
    <w:rsid w:val="1CDD28FB"/>
    <w:rsid w:val="1CEA6F2A"/>
    <w:rsid w:val="1D0D6C4C"/>
    <w:rsid w:val="1D183E04"/>
    <w:rsid w:val="1D1B2A81"/>
    <w:rsid w:val="1D1D56B6"/>
    <w:rsid w:val="1D30196B"/>
    <w:rsid w:val="1D362D92"/>
    <w:rsid w:val="1D586BC9"/>
    <w:rsid w:val="1D6034A1"/>
    <w:rsid w:val="1D7B3B9C"/>
    <w:rsid w:val="1D833A1D"/>
    <w:rsid w:val="1D9B5A39"/>
    <w:rsid w:val="1D9D0E88"/>
    <w:rsid w:val="1D9E4747"/>
    <w:rsid w:val="1DA22867"/>
    <w:rsid w:val="1DA83B43"/>
    <w:rsid w:val="1DB10CF1"/>
    <w:rsid w:val="1DB17A6B"/>
    <w:rsid w:val="1DC15D79"/>
    <w:rsid w:val="1DD31B1F"/>
    <w:rsid w:val="1DD43FC3"/>
    <w:rsid w:val="1DDF6C78"/>
    <w:rsid w:val="1DE72AC2"/>
    <w:rsid w:val="1DEE17D6"/>
    <w:rsid w:val="1DF84D92"/>
    <w:rsid w:val="1DFF1031"/>
    <w:rsid w:val="1DFF36FC"/>
    <w:rsid w:val="1E037668"/>
    <w:rsid w:val="1E0454E0"/>
    <w:rsid w:val="1E0462BE"/>
    <w:rsid w:val="1E0B7889"/>
    <w:rsid w:val="1E240331"/>
    <w:rsid w:val="1E275330"/>
    <w:rsid w:val="1E3F0148"/>
    <w:rsid w:val="1E43688B"/>
    <w:rsid w:val="1E5304BA"/>
    <w:rsid w:val="1E540716"/>
    <w:rsid w:val="1E55BB6C"/>
    <w:rsid w:val="1E5643C5"/>
    <w:rsid w:val="1E5B61CE"/>
    <w:rsid w:val="1E645C21"/>
    <w:rsid w:val="1E6B5074"/>
    <w:rsid w:val="1E6C205B"/>
    <w:rsid w:val="1E707066"/>
    <w:rsid w:val="1E735BF3"/>
    <w:rsid w:val="1E765436"/>
    <w:rsid w:val="1E880499"/>
    <w:rsid w:val="1E965458"/>
    <w:rsid w:val="1E9A4F48"/>
    <w:rsid w:val="1EA83CB1"/>
    <w:rsid w:val="1EAA2CB1"/>
    <w:rsid w:val="1ED04867"/>
    <w:rsid w:val="1ED2266E"/>
    <w:rsid w:val="1ED427CB"/>
    <w:rsid w:val="1ED61916"/>
    <w:rsid w:val="1ED805B0"/>
    <w:rsid w:val="1ED94C81"/>
    <w:rsid w:val="1EDA03A5"/>
    <w:rsid w:val="1EDA79A5"/>
    <w:rsid w:val="1EDB4D29"/>
    <w:rsid w:val="1EDC305D"/>
    <w:rsid w:val="1EDE28AA"/>
    <w:rsid w:val="1EF06916"/>
    <w:rsid w:val="1EF7591A"/>
    <w:rsid w:val="1F04187F"/>
    <w:rsid w:val="1F0C571A"/>
    <w:rsid w:val="1F0D396C"/>
    <w:rsid w:val="1F18288D"/>
    <w:rsid w:val="1F242187"/>
    <w:rsid w:val="1F3548CD"/>
    <w:rsid w:val="1F40183A"/>
    <w:rsid w:val="1F457705"/>
    <w:rsid w:val="1F7FC86F"/>
    <w:rsid w:val="1F8B1B17"/>
    <w:rsid w:val="1F992D82"/>
    <w:rsid w:val="1FBA266B"/>
    <w:rsid w:val="1FC43B84"/>
    <w:rsid w:val="1FCD3112"/>
    <w:rsid w:val="1FD67569"/>
    <w:rsid w:val="1FDA6546"/>
    <w:rsid w:val="1FDA74DA"/>
    <w:rsid w:val="1FE50EA3"/>
    <w:rsid w:val="1FE62671"/>
    <w:rsid w:val="1FE8057E"/>
    <w:rsid w:val="1FFC65BD"/>
    <w:rsid w:val="20023B1D"/>
    <w:rsid w:val="200510A0"/>
    <w:rsid w:val="20107336"/>
    <w:rsid w:val="202A5E57"/>
    <w:rsid w:val="202B226F"/>
    <w:rsid w:val="202B77C9"/>
    <w:rsid w:val="20312AC4"/>
    <w:rsid w:val="204C61DA"/>
    <w:rsid w:val="206F679F"/>
    <w:rsid w:val="2073229C"/>
    <w:rsid w:val="2081488B"/>
    <w:rsid w:val="20867BFF"/>
    <w:rsid w:val="209778B6"/>
    <w:rsid w:val="20A66811"/>
    <w:rsid w:val="20B01961"/>
    <w:rsid w:val="20D76FCF"/>
    <w:rsid w:val="20DD4DB1"/>
    <w:rsid w:val="20EFFC39"/>
    <w:rsid w:val="20F85F56"/>
    <w:rsid w:val="21041F62"/>
    <w:rsid w:val="2121305B"/>
    <w:rsid w:val="21245258"/>
    <w:rsid w:val="21341295"/>
    <w:rsid w:val="21372EA7"/>
    <w:rsid w:val="215625E9"/>
    <w:rsid w:val="216918F1"/>
    <w:rsid w:val="217F4E16"/>
    <w:rsid w:val="2180126C"/>
    <w:rsid w:val="218906C2"/>
    <w:rsid w:val="219D2A06"/>
    <w:rsid w:val="21A12375"/>
    <w:rsid w:val="21BB3537"/>
    <w:rsid w:val="21C44213"/>
    <w:rsid w:val="21CB3A0E"/>
    <w:rsid w:val="21D2761A"/>
    <w:rsid w:val="21D36AAE"/>
    <w:rsid w:val="21DD6EFA"/>
    <w:rsid w:val="21ED6093"/>
    <w:rsid w:val="21F0730F"/>
    <w:rsid w:val="21F479B5"/>
    <w:rsid w:val="21F54C13"/>
    <w:rsid w:val="21FC788F"/>
    <w:rsid w:val="22045350"/>
    <w:rsid w:val="22051CD1"/>
    <w:rsid w:val="221725A9"/>
    <w:rsid w:val="221E65D1"/>
    <w:rsid w:val="222F6511"/>
    <w:rsid w:val="22394C2E"/>
    <w:rsid w:val="224362B3"/>
    <w:rsid w:val="224C5455"/>
    <w:rsid w:val="226D6845"/>
    <w:rsid w:val="226F0499"/>
    <w:rsid w:val="22711198"/>
    <w:rsid w:val="228538FC"/>
    <w:rsid w:val="228759BE"/>
    <w:rsid w:val="22995EBB"/>
    <w:rsid w:val="22AE2582"/>
    <w:rsid w:val="22AF6DA0"/>
    <w:rsid w:val="22B06D6F"/>
    <w:rsid w:val="22B5089E"/>
    <w:rsid w:val="22BD5B1F"/>
    <w:rsid w:val="22BF2DB9"/>
    <w:rsid w:val="22D21552"/>
    <w:rsid w:val="22D327D6"/>
    <w:rsid w:val="22DD2B86"/>
    <w:rsid w:val="22EB1B20"/>
    <w:rsid w:val="22EC3898"/>
    <w:rsid w:val="230070D6"/>
    <w:rsid w:val="230C2ABD"/>
    <w:rsid w:val="230F3692"/>
    <w:rsid w:val="232374FF"/>
    <w:rsid w:val="23390E06"/>
    <w:rsid w:val="2339769A"/>
    <w:rsid w:val="2349195A"/>
    <w:rsid w:val="234A64BB"/>
    <w:rsid w:val="23595C12"/>
    <w:rsid w:val="23613156"/>
    <w:rsid w:val="23636C99"/>
    <w:rsid w:val="23681B50"/>
    <w:rsid w:val="2374333A"/>
    <w:rsid w:val="23897339"/>
    <w:rsid w:val="238F0967"/>
    <w:rsid w:val="23A83EF8"/>
    <w:rsid w:val="23AA54A1"/>
    <w:rsid w:val="23BF5AF8"/>
    <w:rsid w:val="23C321F6"/>
    <w:rsid w:val="23CD6315"/>
    <w:rsid w:val="23DB0011"/>
    <w:rsid w:val="23DC1128"/>
    <w:rsid w:val="23E05572"/>
    <w:rsid w:val="23E66010"/>
    <w:rsid w:val="23EF371F"/>
    <w:rsid w:val="23EF4C0A"/>
    <w:rsid w:val="23EF6A15"/>
    <w:rsid w:val="23F850E9"/>
    <w:rsid w:val="2402731D"/>
    <w:rsid w:val="24107EBF"/>
    <w:rsid w:val="241D1502"/>
    <w:rsid w:val="242660D1"/>
    <w:rsid w:val="24530A70"/>
    <w:rsid w:val="24537B41"/>
    <w:rsid w:val="24544C2F"/>
    <w:rsid w:val="245A0904"/>
    <w:rsid w:val="24660E9F"/>
    <w:rsid w:val="246E22C4"/>
    <w:rsid w:val="24766FCC"/>
    <w:rsid w:val="247C062F"/>
    <w:rsid w:val="248423BD"/>
    <w:rsid w:val="24A71DF6"/>
    <w:rsid w:val="24AF002D"/>
    <w:rsid w:val="24D77D17"/>
    <w:rsid w:val="24D81CD5"/>
    <w:rsid w:val="24EA710E"/>
    <w:rsid w:val="24FA30FD"/>
    <w:rsid w:val="24FD2FF4"/>
    <w:rsid w:val="25015CCC"/>
    <w:rsid w:val="25060120"/>
    <w:rsid w:val="25140E84"/>
    <w:rsid w:val="25177BAA"/>
    <w:rsid w:val="2518114C"/>
    <w:rsid w:val="251A3586"/>
    <w:rsid w:val="25326F24"/>
    <w:rsid w:val="25332C88"/>
    <w:rsid w:val="253A6428"/>
    <w:rsid w:val="253B4663"/>
    <w:rsid w:val="25495DEB"/>
    <w:rsid w:val="25641BC1"/>
    <w:rsid w:val="25655C01"/>
    <w:rsid w:val="256C14AF"/>
    <w:rsid w:val="256D2F4B"/>
    <w:rsid w:val="256F4779"/>
    <w:rsid w:val="2571363E"/>
    <w:rsid w:val="25784DCD"/>
    <w:rsid w:val="259B177A"/>
    <w:rsid w:val="25A160E0"/>
    <w:rsid w:val="25AB4476"/>
    <w:rsid w:val="25AC3E98"/>
    <w:rsid w:val="25B82C5B"/>
    <w:rsid w:val="25BE4D9B"/>
    <w:rsid w:val="25BF5294"/>
    <w:rsid w:val="25CC7CC9"/>
    <w:rsid w:val="25D46A2F"/>
    <w:rsid w:val="25DF5FD9"/>
    <w:rsid w:val="25FD2851"/>
    <w:rsid w:val="26064C71"/>
    <w:rsid w:val="26182AE9"/>
    <w:rsid w:val="26230406"/>
    <w:rsid w:val="26233982"/>
    <w:rsid w:val="2627357F"/>
    <w:rsid w:val="262A03D5"/>
    <w:rsid w:val="26321F0A"/>
    <w:rsid w:val="263955C3"/>
    <w:rsid w:val="26396DF4"/>
    <w:rsid w:val="26472DAD"/>
    <w:rsid w:val="264B0AC5"/>
    <w:rsid w:val="26566753"/>
    <w:rsid w:val="2661594D"/>
    <w:rsid w:val="266675DE"/>
    <w:rsid w:val="2667064C"/>
    <w:rsid w:val="26711EC9"/>
    <w:rsid w:val="267D023C"/>
    <w:rsid w:val="2684214B"/>
    <w:rsid w:val="26886DE4"/>
    <w:rsid w:val="268E2E7B"/>
    <w:rsid w:val="26932187"/>
    <w:rsid w:val="26937E7D"/>
    <w:rsid w:val="26951956"/>
    <w:rsid w:val="26A65099"/>
    <w:rsid w:val="26AA1AA0"/>
    <w:rsid w:val="26AC720E"/>
    <w:rsid w:val="26AD464B"/>
    <w:rsid w:val="26CC2EB0"/>
    <w:rsid w:val="26CFDFBF"/>
    <w:rsid w:val="26D54F62"/>
    <w:rsid w:val="26D721B7"/>
    <w:rsid w:val="26EA5F4A"/>
    <w:rsid w:val="26FC720B"/>
    <w:rsid w:val="27191AAC"/>
    <w:rsid w:val="271E6C96"/>
    <w:rsid w:val="27262172"/>
    <w:rsid w:val="272F778D"/>
    <w:rsid w:val="273601BB"/>
    <w:rsid w:val="273D581E"/>
    <w:rsid w:val="273E6093"/>
    <w:rsid w:val="274C46B6"/>
    <w:rsid w:val="27504E53"/>
    <w:rsid w:val="27516D5A"/>
    <w:rsid w:val="27520469"/>
    <w:rsid w:val="27572E54"/>
    <w:rsid w:val="275A501E"/>
    <w:rsid w:val="275A64B8"/>
    <w:rsid w:val="276A64EE"/>
    <w:rsid w:val="276E51C4"/>
    <w:rsid w:val="27797FCA"/>
    <w:rsid w:val="27864680"/>
    <w:rsid w:val="27983FEE"/>
    <w:rsid w:val="27A82337"/>
    <w:rsid w:val="27BA1091"/>
    <w:rsid w:val="27BD02A3"/>
    <w:rsid w:val="27BD3326"/>
    <w:rsid w:val="27BF0B3F"/>
    <w:rsid w:val="27C30742"/>
    <w:rsid w:val="27C8304A"/>
    <w:rsid w:val="27CF7691"/>
    <w:rsid w:val="27D643DC"/>
    <w:rsid w:val="27DD0A2B"/>
    <w:rsid w:val="27DD75AA"/>
    <w:rsid w:val="27FA5AD1"/>
    <w:rsid w:val="27FF3B9C"/>
    <w:rsid w:val="280038D1"/>
    <w:rsid w:val="28085483"/>
    <w:rsid w:val="28101033"/>
    <w:rsid w:val="2830021C"/>
    <w:rsid w:val="283E4B90"/>
    <w:rsid w:val="284314C0"/>
    <w:rsid w:val="28455E66"/>
    <w:rsid w:val="28492F45"/>
    <w:rsid w:val="28614ADC"/>
    <w:rsid w:val="286558D2"/>
    <w:rsid w:val="28754ACB"/>
    <w:rsid w:val="287D3905"/>
    <w:rsid w:val="287E6490"/>
    <w:rsid w:val="28880DBD"/>
    <w:rsid w:val="28881221"/>
    <w:rsid w:val="288A68F1"/>
    <w:rsid w:val="289A4369"/>
    <w:rsid w:val="289F2267"/>
    <w:rsid w:val="28B71842"/>
    <w:rsid w:val="28F049EF"/>
    <w:rsid w:val="291C7135"/>
    <w:rsid w:val="29251F93"/>
    <w:rsid w:val="29265CB1"/>
    <w:rsid w:val="292D102A"/>
    <w:rsid w:val="292E32A0"/>
    <w:rsid w:val="2935260C"/>
    <w:rsid w:val="294C4A19"/>
    <w:rsid w:val="295D2967"/>
    <w:rsid w:val="295D534F"/>
    <w:rsid w:val="296839BA"/>
    <w:rsid w:val="29740B7C"/>
    <w:rsid w:val="298B0B24"/>
    <w:rsid w:val="29A3305B"/>
    <w:rsid w:val="29BD5CE9"/>
    <w:rsid w:val="29C0109D"/>
    <w:rsid w:val="29C707BA"/>
    <w:rsid w:val="29CB5D59"/>
    <w:rsid w:val="29D11BF1"/>
    <w:rsid w:val="29D605B0"/>
    <w:rsid w:val="29DC2318"/>
    <w:rsid w:val="29E11C7D"/>
    <w:rsid w:val="29EF51E9"/>
    <w:rsid w:val="29F13F4E"/>
    <w:rsid w:val="29F2728E"/>
    <w:rsid w:val="29F86FC6"/>
    <w:rsid w:val="29FD38A3"/>
    <w:rsid w:val="2A027E45"/>
    <w:rsid w:val="2A186EB4"/>
    <w:rsid w:val="2A2C5E28"/>
    <w:rsid w:val="2A32001E"/>
    <w:rsid w:val="2A346DC3"/>
    <w:rsid w:val="2A570195"/>
    <w:rsid w:val="2A672BE1"/>
    <w:rsid w:val="2A6C2F6D"/>
    <w:rsid w:val="2A7179BB"/>
    <w:rsid w:val="2A724C17"/>
    <w:rsid w:val="2A737E43"/>
    <w:rsid w:val="2A7D0F27"/>
    <w:rsid w:val="2A896EB9"/>
    <w:rsid w:val="2A8D2E90"/>
    <w:rsid w:val="2AA66A22"/>
    <w:rsid w:val="2AB00CDB"/>
    <w:rsid w:val="2AB3404F"/>
    <w:rsid w:val="2AB84596"/>
    <w:rsid w:val="2AC702BD"/>
    <w:rsid w:val="2AD61758"/>
    <w:rsid w:val="2AD76656"/>
    <w:rsid w:val="2AD77356"/>
    <w:rsid w:val="2ADA6053"/>
    <w:rsid w:val="2ADC2701"/>
    <w:rsid w:val="2AE86FE0"/>
    <w:rsid w:val="2AEB55BE"/>
    <w:rsid w:val="2AF00025"/>
    <w:rsid w:val="2AFE6D29"/>
    <w:rsid w:val="2B254C30"/>
    <w:rsid w:val="2B284F38"/>
    <w:rsid w:val="2B2B2834"/>
    <w:rsid w:val="2B2C3C27"/>
    <w:rsid w:val="2B3A0162"/>
    <w:rsid w:val="2B3C7829"/>
    <w:rsid w:val="2B443D39"/>
    <w:rsid w:val="2B446147"/>
    <w:rsid w:val="2B471FB3"/>
    <w:rsid w:val="2B486E44"/>
    <w:rsid w:val="2B711554"/>
    <w:rsid w:val="2B763637"/>
    <w:rsid w:val="2B7B4241"/>
    <w:rsid w:val="2B807E0C"/>
    <w:rsid w:val="2B8D4BAA"/>
    <w:rsid w:val="2B91794B"/>
    <w:rsid w:val="2B9B6245"/>
    <w:rsid w:val="2B9C2135"/>
    <w:rsid w:val="2BA87E76"/>
    <w:rsid w:val="2BB04C47"/>
    <w:rsid w:val="2BB63BB3"/>
    <w:rsid w:val="2BED4F78"/>
    <w:rsid w:val="2BEF0B64"/>
    <w:rsid w:val="2BFD2CA3"/>
    <w:rsid w:val="2BFF03A5"/>
    <w:rsid w:val="2BFF1DD3"/>
    <w:rsid w:val="2BFFC827"/>
    <w:rsid w:val="2C0055A0"/>
    <w:rsid w:val="2C060962"/>
    <w:rsid w:val="2C0C746E"/>
    <w:rsid w:val="2C2C28B2"/>
    <w:rsid w:val="2C3F1E6B"/>
    <w:rsid w:val="2C4A5653"/>
    <w:rsid w:val="2C671741"/>
    <w:rsid w:val="2C882884"/>
    <w:rsid w:val="2C941AFF"/>
    <w:rsid w:val="2C9455AE"/>
    <w:rsid w:val="2C9860F7"/>
    <w:rsid w:val="2CA3395E"/>
    <w:rsid w:val="2CC070A7"/>
    <w:rsid w:val="2CE929D4"/>
    <w:rsid w:val="2CEC6557"/>
    <w:rsid w:val="2CF326E1"/>
    <w:rsid w:val="2D0828B2"/>
    <w:rsid w:val="2D123224"/>
    <w:rsid w:val="2D124F4F"/>
    <w:rsid w:val="2D1548C7"/>
    <w:rsid w:val="2D1C1F64"/>
    <w:rsid w:val="2D220663"/>
    <w:rsid w:val="2D2F52B2"/>
    <w:rsid w:val="2D302E8F"/>
    <w:rsid w:val="2D36119E"/>
    <w:rsid w:val="2D38074F"/>
    <w:rsid w:val="2D3B5532"/>
    <w:rsid w:val="2D3D23D8"/>
    <w:rsid w:val="2D3F1B0F"/>
    <w:rsid w:val="2D41175E"/>
    <w:rsid w:val="2D4624E1"/>
    <w:rsid w:val="2D4719D4"/>
    <w:rsid w:val="2D502387"/>
    <w:rsid w:val="2D636E4D"/>
    <w:rsid w:val="2D654C55"/>
    <w:rsid w:val="2D742FF2"/>
    <w:rsid w:val="2D8C63A3"/>
    <w:rsid w:val="2DA276D4"/>
    <w:rsid w:val="2DBC5704"/>
    <w:rsid w:val="2DD71E9D"/>
    <w:rsid w:val="2DF22335"/>
    <w:rsid w:val="2DF3247D"/>
    <w:rsid w:val="2DF6401D"/>
    <w:rsid w:val="2E1B361E"/>
    <w:rsid w:val="2E2D6078"/>
    <w:rsid w:val="2E656BC7"/>
    <w:rsid w:val="2E723D05"/>
    <w:rsid w:val="2E764C7A"/>
    <w:rsid w:val="2E800A46"/>
    <w:rsid w:val="2E97029F"/>
    <w:rsid w:val="2E9B17D1"/>
    <w:rsid w:val="2EAC79A0"/>
    <w:rsid w:val="2EB5328F"/>
    <w:rsid w:val="2ED83AFD"/>
    <w:rsid w:val="2EDA0826"/>
    <w:rsid w:val="2EE1538B"/>
    <w:rsid w:val="2EE1596A"/>
    <w:rsid w:val="2EE17987"/>
    <w:rsid w:val="2EE9608B"/>
    <w:rsid w:val="2EF024E3"/>
    <w:rsid w:val="2EF603AF"/>
    <w:rsid w:val="2F151BAB"/>
    <w:rsid w:val="2F1810E4"/>
    <w:rsid w:val="2F1A12BF"/>
    <w:rsid w:val="2F1B24F2"/>
    <w:rsid w:val="2F3903D4"/>
    <w:rsid w:val="2F3DEA8D"/>
    <w:rsid w:val="2F4045CF"/>
    <w:rsid w:val="2F4C5F04"/>
    <w:rsid w:val="2F5C37AA"/>
    <w:rsid w:val="2F620307"/>
    <w:rsid w:val="2F621E08"/>
    <w:rsid w:val="2F7E2E20"/>
    <w:rsid w:val="2F8F4BF3"/>
    <w:rsid w:val="2FBF26E1"/>
    <w:rsid w:val="2FC94785"/>
    <w:rsid w:val="2FCF0FD6"/>
    <w:rsid w:val="2FEF3B00"/>
    <w:rsid w:val="2FF7772B"/>
    <w:rsid w:val="2FFC0480"/>
    <w:rsid w:val="2FFF28E0"/>
    <w:rsid w:val="2FFF8FE2"/>
    <w:rsid w:val="300346F6"/>
    <w:rsid w:val="300E00DC"/>
    <w:rsid w:val="30224D9D"/>
    <w:rsid w:val="302717B9"/>
    <w:rsid w:val="302A0134"/>
    <w:rsid w:val="302E106E"/>
    <w:rsid w:val="304D2D7F"/>
    <w:rsid w:val="30664FF1"/>
    <w:rsid w:val="30670846"/>
    <w:rsid w:val="30723E80"/>
    <w:rsid w:val="30741687"/>
    <w:rsid w:val="307B1C85"/>
    <w:rsid w:val="307F1F78"/>
    <w:rsid w:val="30812908"/>
    <w:rsid w:val="30855589"/>
    <w:rsid w:val="3088148F"/>
    <w:rsid w:val="308D1C4D"/>
    <w:rsid w:val="309327DD"/>
    <w:rsid w:val="30973C56"/>
    <w:rsid w:val="30B230AB"/>
    <w:rsid w:val="30B57C06"/>
    <w:rsid w:val="30D03191"/>
    <w:rsid w:val="30D32917"/>
    <w:rsid w:val="30D4004D"/>
    <w:rsid w:val="30D77DCD"/>
    <w:rsid w:val="30E22DFF"/>
    <w:rsid w:val="30F738B3"/>
    <w:rsid w:val="30FB0743"/>
    <w:rsid w:val="31144F51"/>
    <w:rsid w:val="311B3900"/>
    <w:rsid w:val="31262821"/>
    <w:rsid w:val="312A47EA"/>
    <w:rsid w:val="313F1A7F"/>
    <w:rsid w:val="31726990"/>
    <w:rsid w:val="31861E26"/>
    <w:rsid w:val="318A1273"/>
    <w:rsid w:val="318E6004"/>
    <w:rsid w:val="3192130D"/>
    <w:rsid w:val="319B7DE8"/>
    <w:rsid w:val="31B934DF"/>
    <w:rsid w:val="31D22CF6"/>
    <w:rsid w:val="31D43285"/>
    <w:rsid w:val="31EB4C8F"/>
    <w:rsid w:val="31F73798"/>
    <w:rsid w:val="32026A50"/>
    <w:rsid w:val="3205573D"/>
    <w:rsid w:val="321C2939"/>
    <w:rsid w:val="322D0DA5"/>
    <w:rsid w:val="322D5C93"/>
    <w:rsid w:val="3231175A"/>
    <w:rsid w:val="3238697A"/>
    <w:rsid w:val="323C0139"/>
    <w:rsid w:val="325F1447"/>
    <w:rsid w:val="32604C8F"/>
    <w:rsid w:val="326A6C03"/>
    <w:rsid w:val="326D3856"/>
    <w:rsid w:val="32700042"/>
    <w:rsid w:val="32707DDD"/>
    <w:rsid w:val="32710EB2"/>
    <w:rsid w:val="327B22D2"/>
    <w:rsid w:val="327D360B"/>
    <w:rsid w:val="327E75BD"/>
    <w:rsid w:val="32972AE1"/>
    <w:rsid w:val="3298346C"/>
    <w:rsid w:val="32A17E00"/>
    <w:rsid w:val="32B946DB"/>
    <w:rsid w:val="32BC4B72"/>
    <w:rsid w:val="32CD7021"/>
    <w:rsid w:val="32D00AE0"/>
    <w:rsid w:val="32D310E1"/>
    <w:rsid w:val="32D37229"/>
    <w:rsid w:val="32D6FADE"/>
    <w:rsid w:val="32E01DD7"/>
    <w:rsid w:val="32E715EF"/>
    <w:rsid w:val="32EA08A7"/>
    <w:rsid w:val="32F065E9"/>
    <w:rsid w:val="32F17A87"/>
    <w:rsid w:val="32F20545"/>
    <w:rsid w:val="32FA0A70"/>
    <w:rsid w:val="32FC18D5"/>
    <w:rsid w:val="330A4617"/>
    <w:rsid w:val="33154C90"/>
    <w:rsid w:val="333037EE"/>
    <w:rsid w:val="3338095C"/>
    <w:rsid w:val="335014C4"/>
    <w:rsid w:val="33540953"/>
    <w:rsid w:val="335D5CE1"/>
    <w:rsid w:val="33614AB8"/>
    <w:rsid w:val="337C1F8C"/>
    <w:rsid w:val="33824818"/>
    <w:rsid w:val="338956AA"/>
    <w:rsid w:val="339C6506"/>
    <w:rsid w:val="33AF60F6"/>
    <w:rsid w:val="33BB6E65"/>
    <w:rsid w:val="33C95C3E"/>
    <w:rsid w:val="33E32A95"/>
    <w:rsid w:val="33E54BBF"/>
    <w:rsid w:val="33E85277"/>
    <w:rsid w:val="33EC586D"/>
    <w:rsid w:val="33EE59C8"/>
    <w:rsid w:val="33EF293D"/>
    <w:rsid w:val="34005DCF"/>
    <w:rsid w:val="34022162"/>
    <w:rsid w:val="34031034"/>
    <w:rsid w:val="340C6483"/>
    <w:rsid w:val="340D6959"/>
    <w:rsid w:val="34107731"/>
    <w:rsid w:val="341E5F75"/>
    <w:rsid w:val="34204E79"/>
    <w:rsid w:val="3424499B"/>
    <w:rsid w:val="34292A3C"/>
    <w:rsid w:val="342F61E6"/>
    <w:rsid w:val="3433211A"/>
    <w:rsid w:val="344A2B14"/>
    <w:rsid w:val="345A3E1A"/>
    <w:rsid w:val="345D4148"/>
    <w:rsid w:val="347507EB"/>
    <w:rsid w:val="348F2958"/>
    <w:rsid w:val="348F462E"/>
    <w:rsid w:val="3490637E"/>
    <w:rsid w:val="34951F07"/>
    <w:rsid w:val="349825E0"/>
    <w:rsid w:val="34A17F84"/>
    <w:rsid w:val="34A42225"/>
    <w:rsid w:val="34AA6B6A"/>
    <w:rsid w:val="34BB9307"/>
    <w:rsid w:val="34CE19C1"/>
    <w:rsid w:val="34D73A15"/>
    <w:rsid w:val="34DE5D84"/>
    <w:rsid w:val="34E1294F"/>
    <w:rsid w:val="34E56A9F"/>
    <w:rsid w:val="34F37E30"/>
    <w:rsid w:val="35026F4B"/>
    <w:rsid w:val="350A0204"/>
    <w:rsid w:val="351C6BAD"/>
    <w:rsid w:val="351F7021"/>
    <w:rsid w:val="35235ADD"/>
    <w:rsid w:val="352915AC"/>
    <w:rsid w:val="352E3523"/>
    <w:rsid w:val="3534171D"/>
    <w:rsid w:val="354217DC"/>
    <w:rsid w:val="354E3F3E"/>
    <w:rsid w:val="35556791"/>
    <w:rsid w:val="356E7383"/>
    <w:rsid w:val="357C5189"/>
    <w:rsid w:val="3583008C"/>
    <w:rsid w:val="35870219"/>
    <w:rsid w:val="358E0EB5"/>
    <w:rsid w:val="358E6D65"/>
    <w:rsid w:val="35994829"/>
    <w:rsid w:val="359C471D"/>
    <w:rsid w:val="35B652B1"/>
    <w:rsid w:val="35BB2321"/>
    <w:rsid w:val="35BB5BDC"/>
    <w:rsid w:val="35F32113"/>
    <w:rsid w:val="35F66AB0"/>
    <w:rsid w:val="35FA49ED"/>
    <w:rsid w:val="36093B27"/>
    <w:rsid w:val="360E1DE1"/>
    <w:rsid w:val="36136901"/>
    <w:rsid w:val="36140F66"/>
    <w:rsid w:val="36144458"/>
    <w:rsid w:val="36156E45"/>
    <w:rsid w:val="361B225D"/>
    <w:rsid w:val="362B27BF"/>
    <w:rsid w:val="362B3A7A"/>
    <w:rsid w:val="362F1AD0"/>
    <w:rsid w:val="36394B26"/>
    <w:rsid w:val="363C5E8E"/>
    <w:rsid w:val="36452D68"/>
    <w:rsid w:val="36505C2A"/>
    <w:rsid w:val="365E6596"/>
    <w:rsid w:val="36602007"/>
    <w:rsid w:val="36642FB2"/>
    <w:rsid w:val="366618C7"/>
    <w:rsid w:val="36677B91"/>
    <w:rsid w:val="36684382"/>
    <w:rsid w:val="366B1AD6"/>
    <w:rsid w:val="367A25C9"/>
    <w:rsid w:val="367B3F0F"/>
    <w:rsid w:val="368431EE"/>
    <w:rsid w:val="36877740"/>
    <w:rsid w:val="36890A2C"/>
    <w:rsid w:val="36917AAD"/>
    <w:rsid w:val="369D2E5E"/>
    <w:rsid w:val="36B77F56"/>
    <w:rsid w:val="36B9358C"/>
    <w:rsid w:val="36C52FCE"/>
    <w:rsid w:val="36C56BB5"/>
    <w:rsid w:val="36DB1CFE"/>
    <w:rsid w:val="36DC0BC0"/>
    <w:rsid w:val="37041F24"/>
    <w:rsid w:val="371A51A9"/>
    <w:rsid w:val="371B0B5A"/>
    <w:rsid w:val="372B1404"/>
    <w:rsid w:val="37443E25"/>
    <w:rsid w:val="37686223"/>
    <w:rsid w:val="37894361"/>
    <w:rsid w:val="378A2E1D"/>
    <w:rsid w:val="37AB51C5"/>
    <w:rsid w:val="37B44EE1"/>
    <w:rsid w:val="37B75FCD"/>
    <w:rsid w:val="37C4321A"/>
    <w:rsid w:val="37D86F38"/>
    <w:rsid w:val="37F667BC"/>
    <w:rsid w:val="37FC17BE"/>
    <w:rsid w:val="37FD6BEB"/>
    <w:rsid w:val="380B0795"/>
    <w:rsid w:val="38170AF8"/>
    <w:rsid w:val="381F6C79"/>
    <w:rsid w:val="38270E2E"/>
    <w:rsid w:val="382865BD"/>
    <w:rsid w:val="382D04E7"/>
    <w:rsid w:val="38303892"/>
    <w:rsid w:val="383A59B3"/>
    <w:rsid w:val="38507154"/>
    <w:rsid w:val="3858445A"/>
    <w:rsid w:val="385D1E89"/>
    <w:rsid w:val="385D4A1A"/>
    <w:rsid w:val="386A4E2C"/>
    <w:rsid w:val="38855EC9"/>
    <w:rsid w:val="38922AEC"/>
    <w:rsid w:val="38B24EE1"/>
    <w:rsid w:val="38B276C7"/>
    <w:rsid w:val="38B35EA6"/>
    <w:rsid w:val="38B36997"/>
    <w:rsid w:val="38B81424"/>
    <w:rsid w:val="38BC3978"/>
    <w:rsid w:val="38D4181A"/>
    <w:rsid w:val="38DD2F7D"/>
    <w:rsid w:val="38E064AE"/>
    <w:rsid w:val="38E075A3"/>
    <w:rsid w:val="38E71A25"/>
    <w:rsid w:val="390D2FE8"/>
    <w:rsid w:val="39117723"/>
    <w:rsid w:val="39267507"/>
    <w:rsid w:val="39276147"/>
    <w:rsid w:val="392A5D78"/>
    <w:rsid w:val="392C587A"/>
    <w:rsid w:val="39365FDF"/>
    <w:rsid w:val="39433A43"/>
    <w:rsid w:val="39443BA8"/>
    <w:rsid w:val="3948274B"/>
    <w:rsid w:val="395D3729"/>
    <w:rsid w:val="39846E72"/>
    <w:rsid w:val="3985199A"/>
    <w:rsid w:val="398F1B9F"/>
    <w:rsid w:val="39A402F7"/>
    <w:rsid w:val="39D864CC"/>
    <w:rsid w:val="39DE3136"/>
    <w:rsid w:val="39E5570C"/>
    <w:rsid w:val="39E62EF9"/>
    <w:rsid w:val="39F601F7"/>
    <w:rsid w:val="39F87D9B"/>
    <w:rsid w:val="3A074D5E"/>
    <w:rsid w:val="3A1A492D"/>
    <w:rsid w:val="3A2A20D4"/>
    <w:rsid w:val="3A2B228F"/>
    <w:rsid w:val="3A2C28B9"/>
    <w:rsid w:val="3A3951BD"/>
    <w:rsid w:val="3A5A5534"/>
    <w:rsid w:val="3A5E3E04"/>
    <w:rsid w:val="3A75019F"/>
    <w:rsid w:val="3A7B03C1"/>
    <w:rsid w:val="3A9643BE"/>
    <w:rsid w:val="3A9B5F6E"/>
    <w:rsid w:val="3AA204D1"/>
    <w:rsid w:val="3AA36123"/>
    <w:rsid w:val="3AAB54F6"/>
    <w:rsid w:val="3AB0119B"/>
    <w:rsid w:val="3AB42A96"/>
    <w:rsid w:val="3AB93C2B"/>
    <w:rsid w:val="3ABC7CEE"/>
    <w:rsid w:val="3AC35E1E"/>
    <w:rsid w:val="3ACC3B85"/>
    <w:rsid w:val="3AE12E79"/>
    <w:rsid w:val="3AE470CA"/>
    <w:rsid w:val="3AE725E2"/>
    <w:rsid w:val="3AF110C8"/>
    <w:rsid w:val="3B04673F"/>
    <w:rsid w:val="3B093B64"/>
    <w:rsid w:val="3B217302"/>
    <w:rsid w:val="3B280B77"/>
    <w:rsid w:val="3B3B7AA0"/>
    <w:rsid w:val="3B3B7EEC"/>
    <w:rsid w:val="3B3C6E0B"/>
    <w:rsid w:val="3B406BAE"/>
    <w:rsid w:val="3B421F55"/>
    <w:rsid w:val="3B4B7710"/>
    <w:rsid w:val="3B5216C6"/>
    <w:rsid w:val="3B5B7DED"/>
    <w:rsid w:val="3B5D98AF"/>
    <w:rsid w:val="3B6F29A8"/>
    <w:rsid w:val="3B8A3802"/>
    <w:rsid w:val="3B8B11C5"/>
    <w:rsid w:val="3B9D64C2"/>
    <w:rsid w:val="3BAF1C21"/>
    <w:rsid w:val="3BB84807"/>
    <w:rsid w:val="3BBF29BC"/>
    <w:rsid w:val="3BCA035A"/>
    <w:rsid w:val="3BCB4110"/>
    <w:rsid w:val="3BD72C4C"/>
    <w:rsid w:val="3BDF5F38"/>
    <w:rsid w:val="3BE21FF8"/>
    <w:rsid w:val="3BEA4858"/>
    <w:rsid w:val="3BF25EE0"/>
    <w:rsid w:val="3BF95F85"/>
    <w:rsid w:val="3BFFB35B"/>
    <w:rsid w:val="3C14568B"/>
    <w:rsid w:val="3C1B6646"/>
    <w:rsid w:val="3C2B538E"/>
    <w:rsid w:val="3C367968"/>
    <w:rsid w:val="3C3F2833"/>
    <w:rsid w:val="3C551F63"/>
    <w:rsid w:val="3C5B6201"/>
    <w:rsid w:val="3C6978B0"/>
    <w:rsid w:val="3C6C516B"/>
    <w:rsid w:val="3C730849"/>
    <w:rsid w:val="3C792E4A"/>
    <w:rsid w:val="3C7D2058"/>
    <w:rsid w:val="3C8446EA"/>
    <w:rsid w:val="3C876A6E"/>
    <w:rsid w:val="3C8B75B2"/>
    <w:rsid w:val="3C932B53"/>
    <w:rsid w:val="3C934253"/>
    <w:rsid w:val="3C952F21"/>
    <w:rsid w:val="3CAB4812"/>
    <w:rsid w:val="3CB70483"/>
    <w:rsid w:val="3CBF56F8"/>
    <w:rsid w:val="3CC062AF"/>
    <w:rsid w:val="3CC21436"/>
    <w:rsid w:val="3CCA451C"/>
    <w:rsid w:val="3CCC73F9"/>
    <w:rsid w:val="3CD53E49"/>
    <w:rsid w:val="3CD7353E"/>
    <w:rsid w:val="3CD9248D"/>
    <w:rsid w:val="3CE00361"/>
    <w:rsid w:val="3CE17A99"/>
    <w:rsid w:val="3CF839E5"/>
    <w:rsid w:val="3CFC6473"/>
    <w:rsid w:val="3CFF097C"/>
    <w:rsid w:val="3D0D3AB7"/>
    <w:rsid w:val="3D2009B3"/>
    <w:rsid w:val="3D375695"/>
    <w:rsid w:val="3D424548"/>
    <w:rsid w:val="3D441600"/>
    <w:rsid w:val="3D562BE4"/>
    <w:rsid w:val="3D58265E"/>
    <w:rsid w:val="3D6576AF"/>
    <w:rsid w:val="3D70736D"/>
    <w:rsid w:val="3D713E7A"/>
    <w:rsid w:val="3D785FFC"/>
    <w:rsid w:val="3D7C6125"/>
    <w:rsid w:val="3D8077AA"/>
    <w:rsid w:val="3D8654F1"/>
    <w:rsid w:val="3D9731D4"/>
    <w:rsid w:val="3DAA285B"/>
    <w:rsid w:val="3DB73594"/>
    <w:rsid w:val="3DBD6105"/>
    <w:rsid w:val="3DCB5A20"/>
    <w:rsid w:val="3DCD307C"/>
    <w:rsid w:val="3DD634FA"/>
    <w:rsid w:val="3DE511B8"/>
    <w:rsid w:val="3E147C12"/>
    <w:rsid w:val="3E1778E8"/>
    <w:rsid w:val="3E356FEE"/>
    <w:rsid w:val="3E4F5CCD"/>
    <w:rsid w:val="3E575639"/>
    <w:rsid w:val="3E63693F"/>
    <w:rsid w:val="3E640799"/>
    <w:rsid w:val="3E6678E5"/>
    <w:rsid w:val="3E77515F"/>
    <w:rsid w:val="3E7B7F2A"/>
    <w:rsid w:val="3E872616"/>
    <w:rsid w:val="3E946AE9"/>
    <w:rsid w:val="3E9F54B1"/>
    <w:rsid w:val="3EAA7772"/>
    <w:rsid w:val="3EBA0B39"/>
    <w:rsid w:val="3ECB6600"/>
    <w:rsid w:val="3ED03C16"/>
    <w:rsid w:val="3EFBF0A3"/>
    <w:rsid w:val="3F074BA6"/>
    <w:rsid w:val="3F214472"/>
    <w:rsid w:val="3F277090"/>
    <w:rsid w:val="3F2D0D19"/>
    <w:rsid w:val="3F322DEC"/>
    <w:rsid w:val="3F33329F"/>
    <w:rsid w:val="3F464F9A"/>
    <w:rsid w:val="3F470F3D"/>
    <w:rsid w:val="3F476CE8"/>
    <w:rsid w:val="3F48254A"/>
    <w:rsid w:val="3F607DA8"/>
    <w:rsid w:val="3F696585"/>
    <w:rsid w:val="3F944B53"/>
    <w:rsid w:val="3F980540"/>
    <w:rsid w:val="3FAE5DDC"/>
    <w:rsid w:val="3FB120D7"/>
    <w:rsid w:val="3FB2764F"/>
    <w:rsid w:val="3FB750CC"/>
    <w:rsid w:val="3FBD063E"/>
    <w:rsid w:val="3FC4377B"/>
    <w:rsid w:val="3FD92E1C"/>
    <w:rsid w:val="3FE963CA"/>
    <w:rsid w:val="3FEA6BD8"/>
    <w:rsid w:val="3FEC1958"/>
    <w:rsid w:val="3FFF2272"/>
    <w:rsid w:val="3FFF5065"/>
    <w:rsid w:val="400762EA"/>
    <w:rsid w:val="40103EC0"/>
    <w:rsid w:val="401E5514"/>
    <w:rsid w:val="40220D3F"/>
    <w:rsid w:val="40225473"/>
    <w:rsid w:val="403D3393"/>
    <w:rsid w:val="403E6021"/>
    <w:rsid w:val="40477F08"/>
    <w:rsid w:val="405173B8"/>
    <w:rsid w:val="40585906"/>
    <w:rsid w:val="40670557"/>
    <w:rsid w:val="40677B95"/>
    <w:rsid w:val="407751C1"/>
    <w:rsid w:val="407B3292"/>
    <w:rsid w:val="407F3B46"/>
    <w:rsid w:val="408D1DBF"/>
    <w:rsid w:val="409018AF"/>
    <w:rsid w:val="40D33740"/>
    <w:rsid w:val="40D56764"/>
    <w:rsid w:val="40EC13AD"/>
    <w:rsid w:val="40F71410"/>
    <w:rsid w:val="41093958"/>
    <w:rsid w:val="41126CAF"/>
    <w:rsid w:val="411E5B27"/>
    <w:rsid w:val="41263FC1"/>
    <w:rsid w:val="41371814"/>
    <w:rsid w:val="41391F47"/>
    <w:rsid w:val="413A2E50"/>
    <w:rsid w:val="41410FFD"/>
    <w:rsid w:val="4149648C"/>
    <w:rsid w:val="41633C19"/>
    <w:rsid w:val="416844EB"/>
    <w:rsid w:val="41715AD3"/>
    <w:rsid w:val="417361BD"/>
    <w:rsid w:val="41816323"/>
    <w:rsid w:val="41823724"/>
    <w:rsid w:val="419F74B0"/>
    <w:rsid w:val="41A60A06"/>
    <w:rsid w:val="41B44F07"/>
    <w:rsid w:val="41C74A77"/>
    <w:rsid w:val="41D41A8C"/>
    <w:rsid w:val="41DB6C88"/>
    <w:rsid w:val="41EA1493"/>
    <w:rsid w:val="41EB302C"/>
    <w:rsid w:val="41F82012"/>
    <w:rsid w:val="41FE16F1"/>
    <w:rsid w:val="42095484"/>
    <w:rsid w:val="420E4D20"/>
    <w:rsid w:val="421C029A"/>
    <w:rsid w:val="4242693B"/>
    <w:rsid w:val="42472AB8"/>
    <w:rsid w:val="42540016"/>
    <w:rsid w:val="427109D1"/>
    <w:rsid w:val="42845443"/>
    <w:rsid w:val="428E4DB1"/>
    <w:rsid w:val="428E6F0B"/>
    <w:rsid w:val="428F5C13"/>
    <w:rsid w:val="429140FA"/>
    <w:rsid w:val="42991545"/>
    <w:rsid w:val="429F55E7"/>
    <w:rsid w:val="42A43221"/>
    <w:rsid w:val="42B81BF1"/>
    <w:rsid w:val="42CF5D9C"/>
    <w:rsid w:val="42D00689"/>
    <w:rsid w:val="42D9676F"/>
    <w:rsid w:val="42E92FF6"/>
    <w:rsid w:val="42EA1489"/>
    <w:rsid w:val="42EA4417"/>
    <w:rsid w:val="430B3A46"/>
    <w:rsid w:val="430E2C62"/>
    <w:rsid w:val="432305B6"/>
    <w:rsid w:val="4345005C"/>
    <w:rsid w:val="434E6EAA"/>
    <w:rsid w:val="43562EAC"/>
    <w:rsid w:val="436762F7"/>
    <w:rsid w:val="436D4129"/>
    <w:rsid w:val="4374370A"/>
    <w:rsid w:val="437564F5"/>
    <w:rsid w:val="43843447"/>
    <w:rsid w:val="43860D47"/>
    <w:rsid w:val="439133A7"/>
    <w:rsid w:val="439704F8"/>
    <w:rsid w:val="439C4C97"/>
    <w:rsid w:val="439C77BE"/>
    <w:rsid w:val="43A17267"/>
    <w:rsid w:val="43A82D15"/>
    <w:rsid w:val="43AA6A32"/>
    <w:rsid w:val="43AC33C8"/>
    <w:rsid w:val="43AC47FE"/>
    <w:rsid w:val="43B07126"/>
    <w:rsid w:val="43B709CB"/>
    <w:rsid w:val="43CE025F"/>
    <w:rsid w:val="43D73A82"/>
    <w:rsid w:val="43D80E4A"/>
    <w:rsid w:val="43DD20FD"/>
    <w:rsid w:val="43DD6A67"/>
    <w:rsid w:val="43F81CF9"/>
    <w:rsid w:val="43F9284B"/>
    <w:rsid w:val="44071D24"/>
    <w:rsid w:val="440A12BD"/>
    <w:rsid w:val="441A09D4"/>
    <w:rsid w:val="441E6B18"/>
    <w:rsid w:val="44224E33"/>
    <w:rsid w:val="44472C6A"/>
    <w:rsid w:val="444C64FE"/>
    <w:rsid w:val="445057CF"/>
    <w:rsid w:val="446737C3"/>
    <w:rsid w:val="446D163F"/>
    <w:rsid w:val="446D3E2D"/>
    <w:rsid w:val="447B6146"/>
    <w:rsid w:val="447B7B95"/>
    <w:rsid w:val="448A40A2"/>
    <w:rsid w:val="44AB5468"/>
    <w:rsid w:val="44B21502"/>
    <w:rsid w:val="44C4440A"/>
    <w:rsid w:val="44CD6E7E"/>
    <w:rsid w:val="44D11A02"/>
    <w:rsid w:val="44E0005F"/>
    <w:rsid w:val="44EE62CA"/>
    <w:rsid w:val="44F342FA"/>
    <w:rsid w:val="44FB4707"/>
    <w:rsid w:val="450A75B3"/>
    <w:rsid w:val="45160C46"/>
    <w:rsid w:val="451D20B7"/>
    <w:rsid w:val="453048CC"/>
    <w:rsid w:val="45350541"/>
    <w:rsid w:val="45467B6D"/>
    <w:rsid w:val="4558084C"/>
    <w:rsid w:val="456374C6"/>
    <w:rsid w:val="45676163"/>
    <w:rsid w:val="456F4189"/>
    <w:rsid w:val="456F4455"/>
    <w:rsid w:val="458B5528"/>
    <w:rsid w:val="459442FA"/>
    <w:rsid w:val="45A2444E"/>
    <w:rsid w:val="45AE0D99"/>
    <w:rsid w:val="45B908CB"/>
    <w:rsid w:val="45BA67B2"/>
    <w:rsid w:val="45C430BD"/>
    <w:rsid w:val="45D10E62"/>
    <w:rsid w:val="45F60406"/>
    <w:rsid w:val="45FD634B"/>
    <w:rsid w:val="46023C90"/>
    <w:rsid w:val="46041678"/>
    <w:rsid w:val="462E77BE"/>
    <w:rsid w:val="462F56C6"/>
    <w:rsid w:val="463858E1"/>
    <w:rsid w:val="463C040B"/>
    <w:rsid w:val="463D3582"/>
    <w:rsid w:val="46423491"/>
    <w:rsid w:val="46456161"/>
    <w:rsid w:val="46610FDD"/>
    <w:rsid w:val="466831A4"/>
    <w:rsid w:val="46715A5D"/>
    <w:rsid w:val="46A252A1"/>
    <w:rsid w:val="46A33E8E"/>
    <w:rsid w:val="46AC620D"/>
    <w:rsid w:val="46B618D5"/>
    <w:rsid w:val="46B670B3"/>
    <w:rsid w:val="46BE31AD"/>
    <w:rsid w:val="46C3042B"/>
    <w:rsid w:val="46E034E7"/>
    <w:rsid w:val="46E10EDA"/>
    <w:rsid w:val="46E80A0F"/>
    <w:rsid w:val="46E93D34"/>
    <w:rsid w:val="46EC0546"/>
    <w:rsid w:val="46F66454"/>
    <w:rsid w:val="470806F6"/>
    <w:rsid w:val="471B7EAD"/>
    <w:rsid w:val="471E6358"/>
    <w:rsid w:val="471E641D"/>
    <w:rsid w:val="472B0B0A"/>
    <w:rsid w:val="472E5D37"/>
    <w:rsid w:val="4734568A"/>
    <w:rsid w:val="475613F9"/>
    <w:rsid w:val="47927AED"/>
    <w:rsid w:val="479A15EC"/>
    <w:rsid w:val="47A1736E"/>
    <w:rsid w:val="47A64966"/>
    <w:rsid w:val="47C51F1A"/>
    <w:rsid w:val="47C9694C"/>
    <w:rsid w:val="47CF7EFE"/>
    <w:rsid w:val="47D009F6"/>
    <w:rsid w:val="47D227AD"/>
    <w:rsid w:val="47DB1BF5"/>
    <w:rsid w:val="47E86C13"/>
    <w:rsid w:val="47F1762C"/>
    <w:rsid w:val="47FA55EB"/>
    <w:rsid w:val="48006810"/>
    <w:rsid w:val="48007DC3"/>
    <w:rsid w:val="481C2373"/>
    <w:rsid w:val="482161E5"/>
    <w:rsid w:val="4821621D"/>
    <w:rsid w:val="48252207"/>
    <w:rsid w:val="48292D9F"/>
    <w:rsid w:val="484301E1"/>
    <w:rsid w:val="484747D8"/>
    <w:rsid w:val="4849729D"/>
    <w:rsid w:val="484E72E3"/>
    <w:rsid w:val="486175B8"/>
    <w:rsid w:val="48674619"/>
    <w:rsid w:val="48746FC1"/>
    <w:rsid w:val="48755C3F"/>
    <w:rsid w:val="487A68F1"/>
    <w:rsid w:val="488668AD"/>
    <w:rsid w:val="4892207A"/>
    <w:rsid w:val="489E7680"/>
    <w:rsid w:val="489F67F3"/>
    <w:rsid w:val="48B93B1A"/>
    <w:rsid w:val="48D671E2"/>
    <w:rsid w:val="48E12E86"/>
    <w:rsid w:val="48E73308"/>
    <w:rsid w:val="48F9122A"/>
    <w:rsid w:val="491247BF"/>
    <w:rsid w:val="491A6052"/>
    <w:rsid w:val="4929464F"/>
    <w:rsid w:val="492E0DFE"/>
    <w:rsid w:val="49466AC4"/>
    <w:rsid w:val="495311C3"/>
    <w:rsid w:val="495434AE"/>
    <w:rsid w:val="495F32DC"/>
    <w:rsid w:val="49603324"/>
    <w:rsid w:val="497A7C79"/>
    <w:rsid w:val="497B72DF"/>
    <w:rsid w:val="49914A0E"/>
    <w:rsid w:val="49971C14"/>
    <w:rsid w:val="499A7D82"/>
    <w:rsid w:val="49AC0384"/>
    <w:rsid w:val="49AF60DB"/>
    <w:rsid w:val="49BB2A6C"/>
    <w:rsid w:val="49D95C04"/>
    <w:rsid w:val="49EA0282"/>
    <w:rsid w:val="49FF954C"/>
    <w:rsid w:val="4A002008"/>
    <w:rsid w:val="4A070B63"/>
    <w:rsid w:val="4A085BA4"/>
    <w:rsid w:val="4A17645A"/>
    <w:rsid w:val="4A276B4D"/>
    <w:rsid w:val="4A2E2E00"/>
    <w:rsid w:val="4A2E5A77"/>
    <w:rsid w:val="4A371AAD"/>
    <w:rsid w:val="4A375375"/>
    <w:rsid w:val="4A3D3962"/>
    <w:rsid w:val="4A462341"/>
    <w:rsid w:val="4A672521"/>
    <w:rsid w:val="4A793669"/>
    <w:rsid w:val="4A7965F3"/>
    <w:rsid w:val="4A7A685A"/>
    <w:rsid w:val="4A825C4D"/>
    <w:rsid w:val="4A8F4573"/>
    <w:rsid w:val="4A9D1896"/>
    <w:rsid w:val="4A9E08F8"/>
    <w:rsid w:val="4AAD51EC"/>
    <w:rsid w:val="4AB53EC6"/>
    <w:rsid w:val="4AE138A6"/>
    <w:rsid w:val="4AF46294"/>
    <w:rsid w:val="4AF52791"/>
    <w:rsid w:val="4AFE19D1"/>
    <w:rsid w:val="4B06044A"/>
    <w:rsid w:val="4B0B44D7"/>
    <w:rsid w:val="4B117A90"/>
    <w:rsid w:val="4B247974"/>
    <w:rsid w:val="4B3F4438"/>
    <w:rsid w:val="4B4B2527"/>
    <w:rsid w:val="4B5A31E5"/>
    <w:rsid w:val="4B79317B"/>
    <w:rsid w:val="4B98222D"/>
    <w:rsid w:val="4BB44FC9"/>
    <w:rsid w:val="4BBB0BF4"/>
    <w:rsid w:val="4BBF9457"/>
    <w:rsid w:val="4BCA6490"/>
    <w:rsid w:val="4BD64C9E"/>
    <w:rsid w:val="4BD9728B"/>
    <w:rsid w:val="4C0C018E"/>
    <w:rsid w:val="4C215BCC"/>
    <w:rsid w:val="4C2D26A8"/>
    <w:rsid w:val="4C441701"/>
    <w:rsid w:val="4C4579F1"/>
    <w:rsid w:val="4C523EBC"/>
    <w:rsid w:val="4C5F6AA7"/>
    <w:rsid w:val="4C7A54C4"/>
    <w:rsid w:val="4C8456AA"/>
    <w:rsid w:val="4C9055CB"/>
    <w:rsid w:val="4CA61D3E"/>
    <w:rsid w:val="4CA625BE"/>
    <w:rsid w:val="4CBA0450"/>
    <w:rsid w:val="4CD55CA8"/>
    <w:rsid w:val="4CD81FB6"/>
    <w:rsid w:val="4CDB6F34"/>
    <w:rsid w:val="4CE0159B"/>
    <w:rsid w:val="4CE61B0A"/>
    <w:rsid w:val="4CFA2996"/>
    <w:rsid w:val="4CFA4D49"/>
    <w:rsid w:val="4D1B5C20"/>
    <w:rsid w:val="4D2C413A"/>
    <w:rsid w:val="4D3FB1C8"/>
    <w:rsid w:val="4D4D0D74"/>
    <w:rsid w:val="4D607514"/>
    <w:rsid w:val="4D614A75"/>
    <w:rsid w:val="4D620AB1"/>
    <w:rsid w:val="4D6F853A"/>
    <w:rsid w:val="4D7C0764"/>
    <w:rsid w:val="4D7C29A4"/>
    <w:rsid w:val="4D805193"/>
    <w:rsid w:val="4D8202C3"/>
    <w:rsid w:val="4DA4242C"/>
    <w:rsid w:val="4DCB03CA"/>
    <w:rsid w:val="4DD03802"/>
    <w:rsid w:val="4DD211E3"/>
    <w:rsid w:val="4DE670F0"/>
    <w:rsid w:val="4DEF269A"/>
    <w:rsid w:val="4E013290"/>
    <w:rsid w:val="4E0153F6"/>
    <w:rsid w:val="4E0677AB"/>
    <w:rsid w:val="4E1369EA"/>
    <w:rsid w:val="4E160E61"/>
    <w:rsid w:val="4E2016E8"/>
    <w:rsid w:val="4E250C08"/>
    <w:rsid w:val="4E2A0BA9"/>
    <w:rsid w:val="4E343698"/>
    <w:rsid w:val="4E451130"/>
    <w:rsid w:val="4E472A4A"/>
    <w:rsid w:val="4E7D3E98"/>
    <w:rsid w:val="4E7D426D"/>
    <w:rsid w:val="4E9873BA"/>
    <w:rsid w:val="4EAD7AD0"/>
    <w:rsid w:val="4EB60E1C"/>
    <w:rsid w:val="4EDD6607"/>
    <w:rsid w:val="4EF13BB1"/>
    <w:rsid w:val="4F002EB3"/>
    <w:rsid w:val="4F0F6C0B"/>
    <w:rsid w:val="4F130260"/>
    <w:rsid w:val="4F153511"/>
    <w:rsid w:val="4F3042CC"/>
    <w:rsid w:val="4F317509"/>
    <w:rsid w:val="4F3C580B"/>
    <w:rsid w:val="4F475052"/>
    <w:rsid w:val="4F556746"/>
    <w:rsid w:val="4F5B104F"/>
    <w:rsid w:val="4F7C474A"/>
    <w:rsid w:val="4F7F1A4D"/>
    <w:rsid w:val="4F872AFB"/>
    <w:rsid w:val="4F977AC7"/>
    <w:rsid w:val="4F9C38B6"/>
    <w:rsid w:val="4FA63196"/>
    <w:rsid w:val="4FAB5654"/>
    <w:rsid w:val="4FAE494C"/>
    <w:rsid w:val="4FB32F8B"/>
    <w:rsid w:val="4FB80AB3"/>
    <w:rsid w:val="4FD70B5C"/>
    <w:rsid w:val="4FDF45D7"/>
    <w:rsid w:val="4FE3411C"/>
    <w:rsid w:val="4FFCAAAD"/>
    <w:rsid w:val="4FFD2291"/>
    <w:rsid w:val="4FFD2D8E"/>
    <w:rsid w:val="4FFF76D8"/>
    <w:rsid w:val="50060ED4"/>
    <w:rsid w:val="50126674"/>
    <w:rsid w:val="50154FFD"/>
    <w:rsid w:val="50173D35"/>
    <w:rsid w:val="501E0CEC"/>
    <w:rsid w:val="50203376"/>
    <w:rsid w:val="502C7182"/>
    <w:rsid w:val="50327331"/>
    <w:rsid w:val="504D152B"/>
    <w:rsid w:val="504D5C09"/>
    <w:rsid w:val="505627E2"/>
    <w:rsid w:val="505B4347"/>
    <w:rsid w:val="5061242D"/>
    <w:rsid w:val="50783905"/>
    <w:rsid w:val="508748B6"/>
    <w:rsid w:val="50950C55"/>
    <w:rsid w:val="509B40AE"/>
    <w:rsid w:val="50A72E40"/>
    <w:rsid w:val="50AD0235"/>
    <w:rsid w:val="50B05655"/>
    <w:rsid w:val="50CA29B2"/>
    <w:rsid w:val="50CA2BBB"/>
    <w:rsid w:val="50D81E54"/>
    <w:rsid w:val="50E26DB5"/>
    <w:rsid w:val="50E916FA"/>
    <w:rsid w:val="511568F7"/>
    <w:rsid w:val="512613EC"/>
    <w:rsid w:val="512D3BEE"/>
    <w:rsid w:val="51451B79"/>
    <w:rsid w:val="514A05DE"/>
    <w:rsid w:val="51550604"/>
    <w:rsid w:val="5172653A"/>
    <w:rsid w:val="518732BD"/>
    <w:rsid w:val="51883876"/>
    <w:rsid w:val="518876F1"/>
    <w:rsid w:val="51903F87"/>
    <w:rsid w:val="51991EA6"/>
    <w:rsid w:val="519C2235"/>
    <w:rsid w:val="51CA132F"/>
    <w:rsid w:val="51CB7F14"/>
    <w:rsid w:val="51D354C2"/>
    <w:rsid w:val="51D8660F"/>
    <w:rsid w:val="51DD49B6"/>
    <w:rsid w:val="51E27AFA"/>
    <w:rsid w:val="51E357C9"/>
    <w:rsid w:val="51FC0432"/>
    <w:rsid w:val="52113C82"/>
    <w:rsid w:val="52323503"/>
    <w:rsid w:val="52374D6B"/>
    <w:rsid w:val="524A223A"/>
    <w:rsid w:val="52543328"/>
    <w:rsid w:val="52567929"/>
    <w:rsid w:val="52773632"/>
    <w:rsid w:val="5293368D"/>
    <w:rsid w:val="529D3067"/>
    <w:rsid w:val="52BB13D8"/>
    <w:rsid w:val="52D37E05"/>
    <w:rsid w:val="52F503C1"/>
    <w:rsid w:val="52FB707B"/>
    <w:rsid w:val="53041A0C"/>
    <w:rsid w:val="531C2D73"/>
    <w:rsid w:val="532C2CE5"/>
    <w:rsid w:val="53373541"/>
    <w:rsid w:val="535F0CA0"/>
    <w:rsid w:val="53607323"/>
    <w:rsid w:val="53703FD8"/>
    <w:rsid w:val="537B3969"/>
    <w:rsid w:val="537D1B02"/>
    <w:rsid w:val="53892E96"/>
    <w:rsid w:val="538B2F83"/>
    <w:rsid w:val="53943CC0"/>
    <w:rsid w:val="539F76F1"/>
    <w:rsid w:val="53AD10EC"/>
    <w:rsid w:val="53B02297"/>
    <w:rsid w:val="53F57F4F"/>
    <w:rsid w:val="53F828A5"/>
    <w:rsid w:val="53FA4499"/>
    <w:rsid w:val="5409060A"/>
    <w:rsid w:val="540E2FEE"/>
    <w:rsid w:val="54120B01"/>
    <w:rsid w:val="541266FF"/>
    <w:rsid w:val="54233251"/>
    <w:rsid w:val="542E5506"/>
    <w:rsid w:val="54502526"/>
    <w:rsid w:val="545906CE"/>
    <w:rsid w:val="547459F5"/>
    <w:rsid w:val="547654BE"/>
    <w:rsid w:val="54825B13"/>
    <w:rsid w:val="549D605F"/>
    <w:rsid w:val="54AB6860"/>
    <w:rsid w:val="54DC27D4"/>
    <w:rsid w:val="54EF125B"/>
    <w:rsid w:val="54FF638C"/>
    <w:rsid w:val="55083CA7"/>
    <w:rsid w:val="550F5E1A"/>
    <w:rsid w:val="55205819"/>
    <w:rsid w:val="552637C0"/>
    <w:rsid w:val="55326CD6"/>
    <w:rsid w:val="55396159"/>
    <w:rsid w:val="553B1003"/>
    <w:rsid w:val="55460DEE"/>
    <w:rsid w:val="55476E54"/>
    <w:rsid w:val="555869E7"/>
    <w:rsid w:val="55617443"/>
    <w:rsid w:val="55643741"/>
    <w:rsid w:val="55645EE5"/>
    <w:rsid w:val="5580315F"/>
    <w:rsid w:val="55886176"/>
    <w:rsid w:val="558A2DA2"/>
    <w:rsid w:val="559D7818"/>
    <w:rsid w:val="55AC0D28"/>
    <w:rsid w:val="55CF7842"/>
    <w:rsid w:val="55D24BF7"/>
    <w:rsid w:val="55DA16E4"/>
    <w:rsid w:val="55DEEED5"/>
    <w:rsid w:val="55FB24B9"/>
    <w:rsid w:val="55FD4044"/>
    <w:rsid w:val="55FE61D5"/>
    <w:rsid w:val="561A4C40"/>
    <w:rsid w:val="561C70D1"/>
    <w:rsid w:val="5623251E"/>
    <w:rsid w:val="56436276"/>
    <w:rsid w:val="564D0793"/>
    <w:rsid w:val="56581C83"/>
    <w:rsid w:val="56601084"/>
    <w:rsid w:val="56621F64"/>
    <w:rsid w:val="566675A3"/>
    <w:rsid w:val="56784363"/>
    <w:rsid w:val="5678465E"/>
    <w:rsid w:val="567B2FA2"/>
    <w:rsid w:val="568C3B02"/>
    <w:rsid w:val="56D238EF"/>
    <w:rsid w:val="56E715E0"/>
    <w:rsid w:val="56F93B33"/>
    <w:rsid w:val="57063414"/>
    <w:rsid w:val="571710DA"/>
    <w:rsid w:val="571E2567"/>
    <w:rsid w:val="572243C3"/>
    <w:rsid w:val="57233360"/>
    <w:rsid w:val="5725480C"/>
    <w:rsid w:val="572632B9"/>
    <w:rsid w:val="5729408B"/>
    <w:rsid w:val="57447436"/>
    <w:rsid w:val="57546E34"/>
    <w:rsid w:val="57673C36"/>
    <w:rsid w:val="576A2C00"/>
    <w:rsid w:val="57772B6A"/>
    <w:rsid w:val="577D7BB6"/>
    <w:rsid w:val="578C4653"/>
    <w:rsid w:val="57953A5B"/>
    <w:rsid w:val="579B1D8C"/>
    <w:rsid w:val="57B60CC4"/>
    <w:rsid w:val="57CB6F17"/>
    <w:rsid w:val="57DB2FB0"/>
    <w:rsid w:val="57DE4073"/>
    <w:rsid w:val="57EF3B16"/>
    <w:rsid w:val="57EF7F0C"/>
    <w:rsid w:val="57FA0BCB"/>
    <w:rsid w:val="57FFE35F"/>
    <w:rsid w:val="580945A1"/>
    <w:rsid w:val="58104AD4"/>
    <w:rsid w:val="58115B71"/>
    <w:rsid w:val="58141D8F"/>
    <w:rsid w:val="58171DC2"/>
    <w:rsid w:val="581E355F"/>
    <w:rsid w:val="5825374C"/>
    <w:rsid w:val="58434A5F"/>
    <w:rsid w:val="584F166F"/>
    <w:rsid w:val="585A44E6"/>
    <w:rsid w:val="586036D6"/>
    <w:rsid w:val="58612D31"/>
    <w:rsid w:val="587B136B"/>
    <w:rsid w:val="587C5CF7"/>
    <w:rsid w:val="587F072F"/>
    <w:rsid w:val="588007E3"/>
    <w:rsid w:val="58947A02"/>
    <w:rsid w:val="589C53DF"/>
    <w:rsid w:val="58A054D2"/>
    <w:rsid w:val="58A30CBE"/>
    <w:rsid w:val="58A34833"/>
    <w:rsid w:val="58AA110C"/>
    <w:rsid w:val="58B1635A"/>
    <w:rsid w:val="58C20ACA"/>
    <w:rsid w:val="58D6486B"/>
    <w:rsid w:val="58D7130C"/>
    <w:rsid w:val="58DD68E1"/>
    <w:rsid w:val="58EC5E57"/>
    <w:rsid w:val="58ED7E54"/>
    <w:rsid w:val="58F01C88"/>
    <w:rsid w:val="58F225C1"/>
    <w:rsid w:val="590169C3"/>
    <w:rsid w:val="59027175"/>
    <w:rsid w:val="5909659E"/>
    <w:rsid w:val="590F5291"/>
    <w:rsid w:val="59262959"/>
    <w:rsid w:val="592D43ED"/>
    <w:rsid w:val="59361A6F"/>
    <w:rsid w:val="59384B70"/>
    <w:rsid w:val="594B773C"/>
    <w:rsid w:val="595B7E8B"/>
    <w:rsid w:val="595C5FE5"/>
    <w:rsid w:val="59696CD7"/>
    <w:rsid w:val="596C1877"/>
    <w:rsid w:val="59777B5B"/>
    <w:rsid w:val="597C1E60"/>
    <w:rsid w:val="598130FE"/>
    <w:rsid w:val="59883613"/>
    <w:rsid w:val="598B4768"/>
    <w:rsid w:val="599E621A"/>
    <w:rsid w:val="599E62C6"/>
    <w:rsid w:val="59A13496"/>
    <w:rsid w:val="59A77A9F"/>
    <w:rsid w:val="59AB510D"/>
    <w:rsid w:val="59E91418"/>
    <w:rsid w:val="59F55A61"/>
    <w:rsid w:val="5A360FDF"/>
    <w:rsid w:val="5A3F66BE"/>
    <w:rsid w:val="5A427400"/>
    <w:rsid w:val="5A582FE6"/>
    <w:rsid w:val="5A602D2A"/>
    <w:rsid w:val="5A6106D7"/>
    <w:rsid w:val="5A614A7A"/>
    <w:rsid w:val="5A696DF5"/>
    <w:rsid w:val="5A7165EB"/>
    <w:rsid w:val="5A754DE0"/>
    <w:rsid w:val="5A763BAF"/>
    <w:rsid w:val="5A830225"/>
    <w:rsid w:val="5A8F7D6E"/>
    <w:rsid w:val="5AA255FF"/>
    <w:rsid w:val="5AB4012F"/>
    <w:rsid w:val="5AC57D04"/>
    <w:rsid w:val="5ACF1656"/>
    <w:rsid w:val="5AF2671B"/>
    <w:rsid w:val="5AFA329D"/>
    <w:rsid w:val="5AFB86E2"/>
    <w:rsid w:val="5B0032B0"/>
    <w:rsid w:val="5B0806C3"/>
    <w:rsid w:val="5B0E5A5D"/>
    <w:rsid w:val="5B1328EB"/>
    <w:rsid w:val="5B140B0B"/>
    <w:rsid w:val="5B163119"/>
    <w:rsid w:val="5B24111A"/>
    <w:rsid w:val="5B2A39C7"/>
    <w:rsid w:val="5B2A6CEC"/>
    <w:rsid w:val="5B2E1A53"/>
    <w:rsid w:val="5B552736"/>
    <w:rsid w:val="5B6A0D6D"/>
    <w:rsid w:val="5B79050A"/>
    <w:rsid w:val="5B7A6F8C"/>
    <w:rsid w:val="5B8300B1"/>
    <w:rsid w:val="5B966833"/>
    <w:rsid w:val="5BA44BB9"/>
    <w:rsid w:val="5BB16E51"/>
    <w:rsid w:val="5BC40C3F"/>
    <w:rsid w:val="5BC763FA"/>
    <w:rsid w:val="5BCB2F7A"/>
    <w:rsid w:val="5BE61918"/>
    <w:rsid w:val="5BF16825"/>
    <w:rsid w:val="5BF226BA"/>
    <w:rsid w:val="5BFD00DC"/>
    <w:rsid w:val="5C07081F"/>
    <w:rsid w:val="5C0D7460"/>
    <w:rsid w:val="5C152485"/>
    <w:rsid w:val="5C1B42CB"/>
    <w:rsid w:val="5C1E6F42"/>
    <w:rsid w:val="5C2736D6"/>
    <w:rsid w:val="5C276B42"/>
    <w:rsid w:val="5C2C191E"/>
    <w:rsid w:val="5C31266E"/>
    <w:rsid w:val="5C3B71CF"/>
    <w:rsid w:val="5C4A013A"/>
    <w:rsid w:val="5C4F4DAC"/>
    <w:rsid w:val="5C5C6391"/>
    <w:rsid w:val="5C8276A4"/>
    <w:rsid w:val="5C8521B9"/>
    <w:rsid w:val="5C962598"/>
    <w:rsid w:val="5CA45712"/>
    <w:rsid w:val="5CA71058"/>
    <w:rsid w:val="5CAA30E7"/>
    <w:rsid w:val="5CBB237A"/>
    <w:rsid w:val="5CD10B9A"/>
    <w:rsid w:val="5CD13336"/>
    <w:rsid w:val="5CD32C78"/>
    <w:rsid w:val="5CD95B7B"/>
    <w:rsid w:val="5CED6B26"/>
    <w:rsid w:val="5CFB1E49"/>
    <w:rsid w:val="5D032631"/>
    <w:rsid w:val="5D070A3A"/>
    <w:rsid w:val="5D0B6005"/>
    <w:rsid w:val="5D28389C"/>
    <w:rsid w:val="5D317533"/>
    <w:rsid w:val="5D3C3FFA"/>
    <w:rsid w:val="5D467217"/>
    <w:rsid w:val="5D507E75"/>
    <w:rsid w:val="5D610296"/>
    <w:rsid w:val="5D796EB5"/>
    <w:rsid w:val="5D7A28FF"/>
    <w:rsid w:val="5D7C3368"/>
    <w:rsid w:val="5D7C46B9"/>
    <w:rsid w:val="5D7E37A9"/>
    <w:rsid w:val="5D7E5538"/>
    <w:rsid w:val="5D8F4B6A"/>
    <w:rsid w:val="5D9513EC"/>
    <w:rsid w:val="5D9E0579"/>
    <w:rsid w:val="5DAE569B"/>
    <w:rsid w:val="5DB70560"/>
    <w:rsid w:val="5DBC2F3B"/>
    <w:rsid w:val="5DBC44C3"/>
    <w:rsid w:val="5DC733C2"/>
    <w:rsid w:val="5DD0445A"/>
    <w:rsid w:val="5DD53F59"/>
    <w:rsid w:val="5DD63FDC"/>
    <w:rsid w:val="5DE4143D"/>
    <w:rsid w:val="5DE64EFC"/>
    <w:rsid w:val="5DEB59C8"/>
    <w:rsid w:val="5DED691D"/>
    <w:rsid w:val="5DEE852A"/>
    <w:rsid w:val="5DFD65DD"/>
    <w:rsid w:val="5E102AF4"/>
    <w:rsid w:val="5E1D07CE"/>
    <w:rsid w:val="5E360B0A"/>
    <w:rsid w:val="5E3C0228"/>
    <w:rsid w:val="5E5D47D0"/>
    <w:rsid w:val="5E671A49"/>
    <w:rsid w:val="5E783B5A"/>
    <w:rsid w:val="5E80146C"/>
    <w:rsid w:val="5E9EA529"/>
    <w:rsid w:val="5EA50120"/>
    <w:rsid w:val="5EB00BE9"/>
    <w:rsid w:val="5EB15D0A"/>
    <w:rsid w:val="5EBD6B5F"/>
    <w:rsid w:val="5EC01C40"/>
    <w:rsid w:val="5ED11CE0"/>
    <w:rsid w:val="5ED829C0"/>
    <w:rsid w:val="5EE4753E"/>
    <w:rsid w:val="5EF40B25"/>
    <w:rsid w:val="5EF801CE"/>
    <w:rsid w:val="5EFD0D89"/>
    <w:rsid w:val="5F013A94"/>
    <w:rsid w:val="5F10740D"/>
    <w:rsid w:val="5F137779"/>
    <w:rsid w:val="5F18682F"/>
    <w:rsid w:val="5F263E1E"/>
    <w:rsid w:val="5F26459A"/>
    <w:rsid w:val="5F282CEB"/>
    <w:rsid w:val="5F2913F5"/>
    <w:rsid w:val="5F2C6754"/>
    <w:rsid w:val="5F372D9A"/>
    <w:rsid w:val="5F4A1345"/>
    <w:rsid w:val="5F517DBA"/>
    <w:rsid w:val="5F546C87"/>
    <w:rsid w:val="5F59670E"/>
    <w:rsid w:val="5F617CF3"/>
    <w:rsid w:val="5F675E6E"/>
    <w:rsid w:val="5F782CE4"/>
    <w:rsid w:val="5F7966CC"/>
    <w:rsid w:val="5F800DC9"/>
    <w:rsid w:val="5F802646"/>
    <w:rsid w:val="5F9640C4"/>
    <w:rsid w:val="5F972F90"/>
    <w:rsid w:val="5F9E39E2"/>
    <w:rsid w:val="5FAF46CE"/>
    <w:rsid w:val="5FBB03B7"/>
    <w:rsid w:val="5FBC7CD9"/>
    <w:rsid w:val="5FCA3C91"/>
    <w:rsid w:val="5FD122E2"/>
    <w:rsid w:val="5FD14362"/>
    <w:rsid w:val="5FD68E44"/>
    <w:rsid w:val="5FDA6D90"/>
    <w:rsid w:val="5FDB7EB1"/>
    <w:rsid w:val="5FE03948"/>
    <w:rsid w:val="5FE37D27"/>
    <w:rsid w:val="5FE764FF"/>
    <w:rsid w:val="5FEC9260"/>
    <w:rsid w:val="5FF11056"/>
    <w:rsid w:val="5FF2B523"/>
    <w:rsid w:val="5FF317E4"/>
    <w:rsid w:val="5FFCB0F9"/>
    <w:rsid w:val="600A2D7B"/>
    <w:rsid w:val="60187A77"/>
    <w:rsid w:val="60194ABD"/>
    <w:rsid w:val="6021429D"/>
    <w:rsid w:val="60282E86"/>
    <w:rsid w:val="602F0DBA"/>
    <w:rsid w:val="602F2781"/>
    <w:rsid w:val="6033049D"/>
    <w:rsid w:val="60396342"/>
    <w:rsid w:val="604D4C6F"/>
    <w:rsid w:val="6050346E"/>
    <w:rsid w:val="605F3613"/>
    <w:rsid w:val="606A3EFE"/>
    <w:rsid w:val="60A522C5"/>
    <w:rsid w:val="60AB2E2F"/>
    <w:rsid w:val="60B078DD"/>
    <w:rsid w:val="60B27F91"/>
    <w:rsid w:val="60BD401D"/>
    <w:rsid w:val="60D128AF"/>
    <w:rsid w:val="60D42D4B"/>
    <w:rsid w:val="60DF7297"/>
    <w:rsid w:val="60E14245"/>
    <w:rsid w:val="60E42BCC"/>
    <w:rsid w:val="60EA5F1C"/>
    <w:rsid w:val="60ED69E4"/>
    <w:rsid w:val="60FE0ACF"/>
    <w:rsid w:val="61020CE0"/>
    <w:rsid w:val="61275175"/>
    <w:rsid w:val="61294ACF"/>
    <w:rsid w:val="61373B4E"/>
    <w:rsid w:val="61675B66"/>
    <w:rsid w:val="616B43DC"/>
    <w:rsid w:val="616F27CA"/>
    <w:rsid w:val="617B4F34"/>
    <w:rsid w:val="6180099D"/>
    <w:rsid w:val="619D4ECE"/>
    <w:rsid w:val="61B01004"/>
    <w:rsid w:val="61C1581A"/>
    <w:rsid w:val="61C37F5B"/>
    <w:rsid w:val="61DA7327"/>
    <w:rsid w:val="61E32703"/>
    <w:rsid w:val="61EA30E5"/>
    <w:rsid w:val="61F2531E"/>
    <w:rsid w:val="61F36109"/>
    <w:rsid w:val="61F97FB6"/>
    <w:rsid w:val="62067AF2"/>
    <w:rsid w:val="6211400A"/>
    <w:rsid w:val="62173BA3"/>
    <w:rsid w:val="621B1162"/>
    <w:rsid w:val="621E0EB2"/>
    <w:rsid w:val="62362F32"/>
    <w:rsid w:val="62397639"/>
    <w:rsid w:val="623F57E0"/>
    <w:rsid w:val="62402302"/>
    <w:rsid w:val="6256312D"/>
    <w:rsid w:val="62655392"/>
    <w:rsid w:val="626C5880"/>
    <w:rsid w:val="628232F6"/>
    <w:rsid w:val="62895A77"/>
    <w:rsid w:val="629525B7"/>
    <w:rsid w:val="62993A3A"/>
    <w:rsid w:val="62A569BB"/>
    <w:rsid w:val="62AF5D3D"/>
    <w:rsid w:val="62B02C7A"/>
    <w:rsid w:val="62B63924"/>
    <w:rsid w:val="62B75841"/>
    <w:rsid w:val="62BC6478"/>
    <w:rsid w:val="62CD56A3"/>
    <w:rsid w:val="62CE38C5"/>
    <w:rsid w:val="62D00AD0"/>
    <w:rsid w:val="62D35295"/>
    <w:rsid w:val="62DB6218"/>
    <w:rsid w:val="62E2270D"/>
    <w:rsid w:val="631A1FED"/>
    <w:rsid w:val="631A6445"/>
    <w:rsid w:val="631F16E2"/>
    <w:rsid w:val="632031E2"/>
    <w:rsid w:val="63450F1F"/>
    <w:rsid w:val="634B32BB"/>
    <w:rsid w:val="634C638E"/>
    <w:rsid w:val="63555971"/>
    <w:rsid w:val="63777387"/>
    <w:rsid w:val="637874E2"/>
    <w:rsid w:val="6381535B"/>
    <w:rsid w:val="63925978"/>
    <w:rsid w:val="6393188C"/>
    <w:rsid w:val="639A5286"/>
    <w:rsid w:val="63BE616A"/>
    <w:rsid w:val="63C658AE"/>
    <w:rsid w:val="6416294C"/>
    <w:rsid w:val="643B4BD7"/>
    <w:rsid w:val="64477871"/>
    <w:rsid w:val="64644240"/>
    <w:rsid w:val="646A437F"/>
    <w:rsid w:val="64916395"/>
    <w:rsid w:val="64922780"/>
    <w:rsid w:val="64A20D94"/>
    <w:rsid w:val="64A54C2A"/>
    <w:rsid w:val="64AF53A8"/>
    <w:rsid w:val="64B82026"/>
    <w:rsid w:val="64BE04C9"/>
    <w:rsid w:val="64C20C1C"/>
    <w:rsid w:val="64C23615"/>
    <w:rsid w:val="64D46226"/>
    <w:rsid w:val="64D9240D"/>
    <w:rsid w:val="64E21E2A"/>
    <w:rsid w:val="64E322A8"/>
    <w:rsid w:val="64EE7EA7"/>
    <w:rsid w:val="64EF55C0"/>
    <w:rsid w:val="64F367F6"/>
    <w:rsid w:val="64F963BF"/>
    <w:rsid w:val="64FF281B"/>
    <w:rsid w:val="650215F3"/>
    <w:rsid w:val="651D6FCB"/>
    <w:rsid w:val="652363AF"/>
    <w:rsid w:val="65292B1A"/>
    <w:rsid w:val="65593EB7"/>
    <w:rsid w:val="656E7B61"/>
    <w:rsid w:val="65707823"/>
    <w:rsid w:val="65831916"/>
    <w:rsid w:val="65835665"/>
    <w:rsid w:val="658A7738"/>
    <w:rsid w:val="658D2602"/>
    <w:rsid w:val="6598309D"/>
    <w:rsid w:val="659F7D1B"/>
    <w:rsid w:val="65A71CFA"/>
    <w:rsid w:val="65AB4BEC"/>
    <w:rsid w:val="65C46267"/>
    <w:rsid w:val="65D76DB8"/>
    <w:rsid w:val="65DB73B8"/>
    <w:rsid w:val="65DC4597"/>
    <w:rsid w:val="65F97A2D"/>
    <w:rsid w:val="66194447"/>
    <w:rsid w:val="661B1482"/>
    <w:rsid w:val="662841B4"/>
    <w:rsid w:val="66513522"/>
    <w:rsid w:val="665E3CE8"/>
    <w:rsid w:val="66603C76"/>
    <w:rsid w:val="66664556"/>
    <w:rsid w:val="667352C5"/>
    <w:rsid w:val="667663A3"/>
    <w:rsid w:val="66835090"/>
    <w:rsid w:val="66A05A11"/>
    <w:rsid w:val="66A25F24"/>
    <w:rsid w:val="66A31D9C"/>
    <w:rsid w:val="66C70EA4"/>
    <w:rsid w:val="66C739CD"/>
    <w:rsid w:val="66D537ED"/>
    <w:rsid w:val="66D55526"/>
    <w:rsid w:val="66E15A48"/>
    <w:rsid w:val="66E84973"/>
    <w:rsid w:val="66FC18A0"/>
    <w:rsid w:val="66FE6B6A"/>
    <w:rsid w:val="67072185"/>
    <w:rsid w:val="670D441D"/>
    <w:rsid w:val="671943F9"/>
    <w:rsid w:val="671C1BD8"/>
    <w:rsid w:val="67205E2F"/>
    <w:rsid w:val="6727355B"/>
    <w:rsid w:val="67443B21"/>
    <w:rsid w:val="674B73A6"/>
    <w:rsid w:val="67755AC1"/>
    <w:rsid w:val="67784BE4"/>
    <w:rsid w:val="677A6F48"/>
    <w:rsid w:val="677C2F50"/>
    <w:rsid w:val="678C0E7E"/>
    <w:rsid w:val="67A00ABC"/>
    <w:rsid w:val="67A65425"/>
    <w:rsid w:val="67AB5A42"/>
    <w:rsid w:val="67B862DE"/>
    <w:rsid w:val="67CA318F"/>
    <w:rsid w:val="67D623A4"/>
    <w:rsid w:val="67DC5491"/>
    <w:rsid w:val="67E04402"/>
    <w:rsid w:val="67E622B3"/>
    <w:rsid w:val="67EA2D0F"/>
    <w:rsid w:val="67F74F0C"/>
    <w:rsid w:val="67F925EE"/>
    <w:rsid w:val="67FD3E64"/>
    <w:rsid w:val="680467AF"/>
    <w:rsid w:val="680D5332"/>
    <w:rsid w:val="681701CA"/>
    <w:rsid w:val="682D5BA0"/>
    <w:rsid w:val="683F3AC4"/>
    <w:rsid w:val="68430781"/>
    <w:rsid w:val="686662DD"/>
    <w:rsid w:val="686E6E8C"/>
    <w:rsid w:val="686F5423"/>
    <w:rsid w:val="688C3790"/>
    <w:rsid w:val="688D10E4"/>
    <w:rsid w:val="68A55EBE"/>
    <w:rsid w:val="68B2664F"/>
    <w:rsid w:val="68B75C4E"/>
    <w:rsid w:val="68C33A05"/>
    <w:rsid w:val="68D119DA"/>
    <w:rsid w:val="68D16E94"/>
    <w:rsid w:val="68ED5A14"/>
    <w:rsid w:val="68EFC343"/>
    <w:rsid w:val="68FF17E6"/>
    <w:rsid w:val="690E3B78"/>
    <w:rsid w:val="69207390"/>
    <w:rsid w:val="69260737"/>
    <w:rsid w:val="69347F8C"/>
    <w:rsid w:val="69486ECC"/>
    <w:rsid w:val="69534E19"/>
    <w:rsid w:val="6953779A"/>
    <w:rsid w:val="69653029"/>
    <w:rsid w:val="69683E99"/>
    <w:rsid w:val="697D5332"/>
    <w:rsid w:val="698C6D24"/>
    <w:rsid w:val="69B650A8"/>
    <w:rsid w:val="69C675CD"/>
    <w:rsid w:val="69D05121"/>
    <w:rsid w:val="69D16E8F"/>
    <w:rsid w:val="69D47648"/>
    <w:rsid w:val="69D85938"/>
    <w:rsid w:val="69E45DB4"/>
    <w:rsid w:val="69E96E0F"/>
    <w:rsid w:val="69EB6491"/>
    <w:rsid w:val="69F63645"/>
    <w:rsid w:val="69FBAF17"/>
    <w:rsid w:val="69FFD50C"/>
    <w:rsid w:val="6A026ACA"/>
    <w:rsid w:val="6A072596"/>
    <w:rsid w:val="6A122C84"/>
    <w:rsid w:val="6A1E615E"/>
    <w:rsid w:val="6A4A1BF9"/>
    <w:rsid w:val="6A5523F4"/>
    <w:rsid w:val="6A5812AE"/>
    <w:rsid w:val="6A756841"/>
    <w:rsid w:val="6A8A55B7"/>
    <w:rsid w:val="6A901616"/>
    <w:rsid w:val="6AA13BE3"/>
    <w:rsid w:val="6AA13E10"/>
    <w:rsid w:val="6AA51EAC"/>
    <w:rsid w:val="6AA933EA"/>
    <w:rsid w:val="6AB440A0"/>
    <w:rsid w:val="6AB95B63"/>
    <w:rsid w:val="6ABD2CB7"/>
    <w:rsid w:val="6ABF0F2A"/>
    <w:rsid w:val="6AC226C5"/>
    <w:rsid w:val="6AC66F70"/>
    <w:rsid w:val="6AC76B59"/>
    <w:rsid w:val="6ACC2D06"/>
    <w:rsid w:val="6AEB5225"/>
    <w:rsid w:val="6AF50393"/>
    <w:rsid w:val="6AF65DFA"/>
    <w:rsid w:val="6AFA2A3D"/>
    <w:rsid w:val="6B057FCC"/>
    <w:rsid w:val="6B080596"/>
    <w:rsid w:val="6B0D4E6A"/>
    <w:rsid w:val="6B2338BD"/>
    <w:rsid w:val="6B247622"/>
    <w:rsid w:val="6B4E700F"/>
    <w:rsid w:val="6B504C0A"/>
    <w:rsid w:val="6B745BB5"/>
    <w:rsid w:val="6B8E6742"/>
    <w:rsid w:val="6B965F39"/>
    <w:rsid w:val="6B9C496F"/>
    <w:rsid w:val="6BAC79E5"/>
    <w:rsid w:val="6BB12944"/>
    <w:rsid w:val="6BB6372C"/>
    <w:rsid w:val="6BC42B3B"/>
    <w:rsid w:val="6BC905A6"/>
    <w:rsid w:val="6BD567CF"/>
    <w:rsid w:val="6BD81E3D"/>
    <w:rsid w:val="6BDB708E"/>
    <w:rsid w:val="6BEC3181"/>
    <w:rsid w:val="6BF36FA5"/>
    <w:rsid w:val="6C0A1309"/>
    <w:rsid w:val="6C1D7270"/>
    <w:rsid w:val="6C1D7BEB"/>
    <w:rsid w:val="6C2B25A0"/>
    <w:rsid w:val="6C48012B"/>
    <w:rsid w:val="6C4E3609"/>
    <w:rsid w:val="6C5812D5"/>
    <w:rsid w:val="6C590F12"/>
    <w:rsid w:val="6C5A0E91"/>
    <w:rsid w:val="6C5A6FB5"/>
    <w:rsid w:val="6C677E17"/>
    <w:rsid w:val="6C7655A3"/>
    <w:rsid w:val="6C8509BF"/>
    <w:rsid w:val="6C894407"/>
    <w:rsid w:val="6C995A38"/>
    <w:rsid w:val="6C9B3A56"/>
    <w:rsid w:val="6CA15ECC"/>
    <w:rsid w:val="6CB10752"/>
    <w:rsid w:val="6CB309EF"/>
    <w:rsid w:val="6CB35963"/>
    <w:rsid w:val="6CB87914"/>
    <w:rsid w:val="6CBA0D1F"/>
    <w:rsid w:val="6CC47B2F"/>
    <w:rsid w:val="6CC700F2"/>
    <w:rsid w:val="6CCC17CE"/>
    <w:rsid w:val="6CE54BAD"/>
    <w:rsid w:val="6CE8101B"/>
    <w:rsid w:val="6CEC321F"/>
    <w:rsid w:val="6CEE7292"/>
    <w:rsid w:val="6CEF2FB1"/>
    <w:rsid w:val="6CFD1B93"/>
    <w:rsid w:val="6D1A312F"/>
    <w:rsid w:val="6D266772"/>
    <w:rsid w:val="6D272642"/>
    <w:rsid w:val="6D2854A6"/>
    <w:rsid w:val="6D2A4295"/>
    <w:rsid w:val="6D3309F8"/>
    <w:rsid w:val="6D3F1EC7"/>
    <w:rsid w:val="6D65362B"/>
    <w:rsid w:val="6D740927"/>
    <w:rsid w:val="6D744E54"/>
    <w:rsid w:val="6D8617C0"/>
    <w:rsid w:val="6D9C6614"/>
    <w:rsid w:val="6DA962C0"/>
    <w:rsid w:val="6DB1085F"/>
    <w:rsid w:val="6DB3EFF3"/>
    <w:rsid w:val="6DB50993"/>
    <w:rsid w:val="6DB62B4B"/>
    <w:rsid w:val="6DBD2A21"/>
    <w:rsid w:val="6DC263FD"/>
    <w:rsid w:val="6DC47111"/>
    <w:rsid w:val="6DDE6CE7"/>
    <w:rsid w:val="6DDF6038"/>
    <w:rsid w:val="6DEC3050"/>
    <w:rsid w:val="6DEF684D"/>
    <w:rsid w:val="6DF130DE"/>
    <w:rsid w:val="6DF78295"/>
    <w:rsid w:val="6DF87863"/>
    <w:rsid w:val="6E075C16"/>
    <w:rsid w:val="6E076DA5"/>
    <w:rsid w:val="6E081DCA"/>
    <w:rsid w:val="6E113E4B"/>
    <w:rsid w:val="6E38399E"/>
    <w:rsid w:val="6E4E40C8"/>
    <w:rsid w:val="6E5A7850"/>
    <w:rsid w:val="6E636042"/>
    <w:rsid w:val="6E6D2C08"/>
    <w:rsid w:val="6E6E5B24"/>
    <w:rsid w:val="6E751A3C"/>
    <w:rsid w:val="6E760EFB"/>
    <w:rsid w:val="6E78256D"/>
    <w:rsid w:val="6E7B44FE"/>
    <w:rsid w:val="6E8E394F"/>
    <w:rsid w:val="6EA15BB7"/>
    <w:rsid w:val="6EA30CEE"/>
    <w:rsid w:val="6EA63DEE"/>
    <w:rsid w:val="6EB8529A"/>
    <w:rsid w:val="6ED57FAA"/>
    <w:rsid w:val="6EDE0954"/>
    <w:rsid w:val="6EE57157"/>
    <w:rsid w:val="6EE7AEE4"/>
    <w:rsid w:val="6EEFF713"/>
    <w:rsid w:val="6EFA890F"/>
    <w:rsid w:val="6EFD3C7C"/>
    <w:rsid w:val="6F1F655F"/>
    <w:rsid w:val="6F2745D2"/>
    <w:rsid w:val="6F455859"/>
    <w:rsid w:val="6F4B6C67"/>
    <w:rsid w:val="6F712292"/>
    <w:rsid w:val="6F787C20"/>
    <w:rsid w:val="6F803FC0"/>
    <w:rsid w:val="6F8C266A"/>
    <w:rsid w:val="6F8C66D8"/>
    <w:rsid w:val="6F9353D6"/>
    <w:rsid w:val="6F946ED5"/>
    <w:rsid w:val="6F9612CB"/>
    <w:rsid w:val="6F9C09A1"/>
    <w:rsid w:val="6FA786AF"/>
    <w:rsid w:val="6FA7F059"/>
    <w:rsid w:val="6FAA26FA"/>
    <w:rsid w:val="6FBF724B"/>
    <w:rsid w:val="6FC53F07"/>
    <w:rsid w:val="6FC55474"/>
    <w:rsid w:val="6FD41AE9"/>
    <w:rsid w:val="6FEA4987"/>
    <w:rsid w:val="6FEC6765"/>
    <w:rsid w:val="6FEDF8D5"/>
    <w:rsid w:val="6FF03E15"/>
    <w:rsid w:val="6FF530BD"/>
    <w:rsid w:val="6FF7056E"/>
    <w:rsid w:val="70040A78"/>
    <w:rsid w:val="70137893"/>
    <w:rsid w:val="7014277E"/>
    <w:rsid w:val="701632CF"/>
    <w:rsid w:val="70234FA9"/>
    <w:rsid w:val="70361638"/>
    <w:rsid w:val="70486310"/>
    <w:rsid w:val="70545BA6"/>
    <w:rsid w:val="70587714"/>
    <w:rsid w:val="70660A4D"/>
    <w:rsid w:val="706A7177"/>
    <w:rsid w:val="70727120"/>
    <w:rsid w:val="708E10B8"/>
    <w:rsid w:val="70B7045C"/>
    <w:rsid w:val="70C0497E"/>
    <w:rsid w:val="70C26FB3"/>
    <w:rsid w:val="70E12CBD"/>
    <w:rsid w:val="70EA38C4"/>
    <w:rsid w:val="70EC0370"/>
    <w:rsid w:val="70FF6F71"/>
    <w:rsid w:val="71144852"/>
    <w:rsid w:val="712855CB"/>
    <w:rsid w:val="71325D08"/>
    <w:rsid w:val="715E504B"/>
    <w:rsid w:val="715F5000"/>
    <w:rsid w:val="716E5D48"/>
    <w:rsid w:val="71726A07"/>
    <w:rsid w:val="718379A0"/>
    <w:rsid w:val="71951823"/>
    <w:rsid w:val="71976C81"/>
    <w:rsid w:val="71AD26C2"/>
    <w:rsid w:val="71B93CFD"/>
    <w:rsid w:val="71BA555B"/>
    <w:rsid w:val="71CE5200"/>
    <w:rsid w:val="71D7450E"/>
    <w:rsid w:val="71DB6F3E"/>
    <w:rsid w:val="71E66F68"/>
    <w:rsid w:val="71EE32D2"/>
    <w:rsid w:val="71F21818"/>
    <w:rsid w:val="71FE5DBD"/>
    <w:rsid w:val="72141825"/>
    <w:rsid w:val="721C2CB6"/>
    <w:rsid w:val="72330E5C"/>
    <w:rsid w:val="7237254C"/>
    <w:rsid w:val="723776DA"/>
    <w:rsid w:val="723C010B"/>
    <w:rsid w:val="72566DB7"/>
    <w:rsid w:val="725918EB"/>
    <w:rsid w:val="725F0F5E"/>
    <w:rsid w:val="726A0424"/>
    <w:rsid w:val="726E1701"/>
    <w:rsid w:val="726F48E8"/>
    <w:rsid w:val="727259F1"/>
    <w:rsid w:val="727A666E"/>
    <w:rsid w:val="72830CB3"/>
    <w:rsid w:val="728341DF"/>
    <w:rsid w:val="7284105E"/>
    <w:rsid w:val="728E59F2"/>
    <w:rsid w:val="728F2A08"/>
    <w:rsid w:val="72966949"/>
    <w:rsid w:val="72980A97"/>
    <w:rsid w:val="729F6648"/>
    <w:rsid w:val="72B10794"/>
    <w:rsid w:val="72B13AFE"/>
    <w:rsid w:val="72BA43E6"/>
    <w:rsid w:val="72E03208"/>
    <w:rsid w:val="72EE10BB"/>
    <w:rsid w:val="72EFA0B6"/>
    <w:rsid w:val="72F10C5B"/>
    <w:rsid w:val="72F213FB"/>
    <w:rsid w:val="72FC1FD8"/>
    <w:rsid w:val="730205AC"/>
    <w:rsid w:val="730912E2"/>
    <w:rsid w:val="73111390"/>
    <w:rsid w:val="731400B3"/>
    <w:rsid w:val="73330F8D"/>
    <w:rsid w:val="73364D26"/>
    <w:rsid w:val="73382BD5"/>
    <w:rsid w:val="733A588C"/>
    <w:rsid w:val="73441BE4"/>
    <w:rsid w:val="734660C9"/>
    <w:rsid w:val="7357634A"/>
    <w:rsid w:val="735D2FC3"/>
    <w:rsid w:val="7362560C"/>
    <w:rsid w:val="73635AF7"/>
    <w:rsid w:val="7371149F"/>
    <w:rsid w:val="737443EE"/>
    <w:rsid w:val="73764219"/>
    <w:rsid w:val="73785109"/>
    <w:rsid w:val="737B0514"/>
    <w:rsid w:val="73811588"/>
    <w:rsid w:val="73881F79"/>
    <w:rsid w:val="73987494"/>
    <w:rsid w:val="739F195E"/>
    <w:rsid w:val="73A00E5C"/>
    <w:rsid w:val="73A337D9"/>
    <w:rsid w:val="73AD0937"/>
    <w:rsid w:val="73BA5795"/>
    <w:rsid w:val="73BC005E"/>
    <w:rsid w:val="73C322AE"/>
    <w:rsid w:val="73DDF4F0"/>
    <w:rsid w:val="73E4373D"/>
    <w:rsid w:val="73E65287"/>
    <w:rsid w:val="73E74E7C"/>
    <w:rsid w:val="73ED761F"/>
    <w:rsid w:val="73F16462"/>
    <w:rsid w:val="73FB776D"/>
    <w:rsid w:val="73FE3A7B"/>
    <w:rsid w:val="741D510F"/>
    <w:rsid w:val="74236BF6"/>
    <w:rsid w:val="743201EE"/>
    <w:rsid w:val="74335FC2"/>
    <w:rsid w:val="743B48C9"/>
    <w:rsid w:val="74441C85"/>
    <w:rsid w:val="744A6829"/>
    <w:rsid w:val="74744A02"/>
    <w:rsid w:val="747619DF"/>
    <w:rsid w:val="747FF382"/>
    <w:rsid w:val="74847D88"/>
    <w:rsid w:val="74891E9B"/>
    <w:rsid w:val="74945700"/>
    <w:rsid w:val="749569B4"/>
    <w:rsid w:val="74AE64AF"/>
    <w:rsid w:val="74BD6888"/>
    <w:rsid w:val="74CD60FC"/>
    <w:rsid w:val="74D52FDA"/>
    <w:rsid w:val="74DD2C14"/>
    <w:rsid w:val="74F52A34"/>
    <w:rsid w:val="74F86208"/>
    <w:rsid w:val="74FB3474"/>
    <w:rsid w:val="74FE93E4"/>
    <w:rsid w:val="750A1D63"/>
    <w:rsid w:val="751058EF"/>
    <w:rsid w:val="753E0935"/>
    <w:rsid w:val="753E77D5"/>
    <w:rsid w:val="753EFB76"/>
    <w:rsid w:val="75486D95"/>
    <w:rsid w:val="754955A1"/>
    <w:rsid w:val="754E52B9"/>
    <w:rsid w:val="75527E9E"/>
    <w:rsid w:val="75696B9E"/>
    <w:rsid w:val="75700B76"/>
    <w:rsid w:val="75725679"/>
    <w:rsid w:val="7579357E"/>
    <w:rsid w:val="757A78E8"/>
    <w:rsid w:val="757BFC2C"/>
    <w:rsid w:val="758C0963"/>
    <w:rsid w:val="759A405B"/>
    <w:rsid w:val="75A12E04"/>
    <w:rsid w:val="75A25FBE"/>
    <w:rsid w:val="75AB27CF"/>
    <w:rsid w:val="75B864B0"/>
    <w:rsid w:val="75DC00A7"/>
    <w:rsid w:val="75E368C6"/>
    <w:rsid w:val="75EA283A"/>
    <w:rsid w:val="75EA4FE2"/>
    <w:rsid w:val="75EF24BF"/>
    <w:rsid w:val="75F2404D"/>
    <w:rsid w:val="75F4225A"/>
    <w:rsid w:val="75F6664F"/>
    <w:rsid w:val="75FC6AC3"/>
    <w:rsid w:val="76197675"/>
    <w:rsid w:val="762A6F9F"/>
    <w:rsid w:val="762D4ECF"/>
    <w:rsid w:val="762E2122"/>
    <w:rsid w:val="76374EAD"/>
    <w:rsid w:val="763AFB59"/>
    <w:rsid w:val="763B6049"/>
    <w:rsid w:val="763DDF7D"/>
    <w:rsid w:val="763F6E83"/>
    <w:rsid w:val="765000AD"/>
    <w:rsid w:val="765C44AC"/>
    <w:rsid w:val="765E60B9"/>
    <w:rsid w:val="767E0A5F"/>
    <w:rsid w:val="767E2932"/>
    <w:rsid w:val="76811BC0"/>
    <w:rsid w:val="76896EB2"/>
    <w:rsid w:val="768A5928"/>
    <w:rsid w:val="768D05FC"/>
    <w:rsid w:val="76A33881"/>
    <w:rsid w:val="76A632DC"/>
    <w:rsid w:val="76B71830"/>
    <w:rsid w:val="76BF157A"/>
    <w:rsid w:val="76FB2E8F"/>
    <w:rsid w:val="76FFC83C"/>
    <w:rsid w:val="771616A6"/>
    <w:rsid w:val="771A3720"/>
    <w:rsid w:val="771B4188"/>
    <w:rsid w:val="7721301A"/>
    <w:rsid w:val="772818CF"/>
    <w:rsid w:val="7731784E"/>
    <w:rsid w:val="7734024A"/>
    <w:rsid w:val="77403012"/>
    <w:rsid w:val="7760657C"/>
    <w:rsid w:val="77616C02"/>
    <w:rsid w:val="776838FC"/>
    <w:rsid w:val="77700AA7"/>
    <w:rsid w:val="777922FA"/>
    <w:rsid w:val="777F6D0D"/>
    <w:rsid w:val="778F4904"/>
    <w:rsid w:val="77920195"/>
    <w:rsid w:val="779616E6"/>
    <w:rsid w:val="77972DA9"/>
    <w:rsid w:val="779F4EF4"/>
    <w:rsid w:val="77A5A996"/>
    <w:rsid w:val="77AE62F7"/>
    <w:rsid w:val="77B04237"/>
    <w:rsid w:val="77B10609"/>
    <w:rsid w:val="77B24984"/>
    <w:rsid w:val="77BC7CFF"/>
    <w:rsid w:val="77BE70C2"/>
    <w:rsid w:val="77CE425C"/>
    <w:rsid w:val="77D02017"/>
    <w:rsid w:val="77D031DA"/>
    <w:rsid w:val="77DF10A4"/>
    <w:rsid w:val="77DFDE56"/>
    <w:rsid w:val="77EC2A9F"/>
    <w:rsid w:val="77EF8AC0"/>
    <w:rsid w:val="77F3A074"/>
    <w:rsid w:val="77F85BEE"/>
    <w:rsid w:val="781F1C01"/>
    <w:rsid w:val="78202071"/>
    <w:rsid w:val="78251879"/>
    <w:rsid w:val="782C4AA6"/>
    <w:rsid w:val="783A5928"/>
    <w:rsid w:val="784B094F"/>
    <w:rsid w:val="784B5A79"/>
    <w:rsid w:val="784D44ED"/>
    <w:rsid w:val="785234C2"/>
    <w:rsid w:val="78663920"/>
    <w:rsid w:val="786B4835"/>
    <w:rsid w:val="786C1462"/>
    <w:rsid w:val="786E02BF"/>
    <w:rsid w:val="78795C9C"/>
    <w:rsid w:val="787D5E11"/>
    <w:rsid w:val="788C0B0F"/>
    <w:rsid w:val="789D3F6D"/>
    <w:rsid w:val="78B24F5D"/>
    <w:rsid w:val="78C73258"/>
    <w:rsid w:val="78CF680E"/>
    <w:rsid w:val="78D403AC"/>
    <w:rsid w:val="78D50F59"/>
    <w:rsid w:val="78D54FAE"/>
    <w:rsid w:val="78DB6C3D"/>
    <w:rsid w:val="78EA6A23"/>
    <w:rsid w:val="78FA3995"/>
    <w:rsid w:val="79120349"/>
    <w:rsid w:val="79152B08"/>
    <w:rsid w:val="79174027"/>
    <w:rsid w:val="79220B7F"/>
    <w:rsid w:val="792B1054"/>
    <w:rsid w:val="793115EB"/>
    <w:rsid w:val="79313EE5"/>
    <w:rsid w:val="79333191"/>
    <w:rsid w:val="793B16BA"/>
    <w:rsid w:val="793C692D"/>
    <w:rsid w:val="79414A48"/>
    <w:rsid w:val="79634059"/>
    <w:rsid w:val="79781DAF"/>
    <w:rsid w:val="797A619B"/>
    <w:rsid w:val="7981629E"/>
    <w:rsid w:val="799C4201"/>
    <w:rsid w:val="799C5E4F"/>
    <w:rsid w:val="79B92645"/>
    <w:rsid w:val="79BD249F"/>
    <w:rsid w:val="79C20ABF"/>
    <w:rsid w:val="79C4280F"/>
    <w:rsid w:val="79D40FD6"/>
    <w:rsid w:val="7A023DFB"/>
    <w:rsid w:val="7A082C3D"/>
    <w:rsid w:val="7A102F36"/>
    <w:rsid w:val="7A12552D"/>
    <w:rsid w:val="7A155A62"/>
    <w:rsid w:val="7A221377"/>
    <w:rsid w:val="7A25042E"/>
    <w:rsid w:val="7A252C49"/>
    <w:rsid w:val="7A361242"/>
    <w:rsid w:val="7A422A46"/>
    <w:rsid w:val="7A573E79"/>
    <w:rsid w:val="7A693028"/>
    <w:rsid w:val="7A861442"/>
    <w:rsid w:val="7A877F7D"/>
    <w:rsid w:val="7A8B05B3"/>
    <w:rsid w:val="7A906272"/>
    <w:rsid w:val="7A991D11"/>
    <w:rsid w:val="7A9F5C35"/>
    <w:rsid w:val="7AAA7FA2"/>
    <w:rsid w:val="7AB94B06"/>
    <w:rsid w:val="7AB969FC"/>
    <w:rsid w:val="7ABD7864"/>
    <w:rsid w:val="7ABE6A3D"/>
    <w:rsid w:val="7ABF6BB3"/>
    <w:rsid w:val="7AD6E844"/>
    <w:rsid w:val="7AD9303C"/>
    <w:rsid w:val="7AEF7965"/>
    <w:rsid w:val="7AF50332"/>
    <w:rsid w:val="7B0F6779"/>
    <w:rsid w:val="7B1C4F98"/>
    <w:rsid w:val="7B24755A"/>
    <w:rsid w:val="7B340AAD"/>
    <w:rsid w:val="7B3B1507"/>
    <w:rsid w:val="7B41398C"/>
    <w:rsid w:val="7B4D7CB4"/>
    <w:rsid w:val="7B4F51E6"/>
    <w:rsid w:val="7B540F10"/>
    <w:rsid w:val="7B5E0969"/>
    <w:rsid w:val="7B5E4BA4"/>
    <w:rsid w:val="7B6E37E8"/>
    <w:rsid w:val="7B8442D5"/>
    <w:rsid w:val="7B856F45"/>
    <w:rsid w:val="7B8757E0"/>
    <w:rsid w:val="7B8A78A1"/>
    <w:rsid w:val="7B9C1F3F"/>
    <w:rsid w:val="7B9F05EA"/>
    <w:rsid w:val="7BAE1137"/>
    <w:rsid w:val="7BCA5C7B"/>
    <w:rsid w:val="7BCC9272"/>
    <w:rsid w:val="7BCF5F22"/>
    <w:rsid w:val="7BD26402"/>
    <w:rsid w:val="7BE7506E"/>
    <w:rsid w:val="7BFD8EC7"/>
    <w:rsid w:val="7BFE64AD"/>
    <w:rsid w:val="7C161448"/>
    <w:rsid w:val="7C250A76"/>
    <w:rsid w:val="7C296138"/>
    <w:rsid w:val="7C4357E5"/>
    <w:rsid w:val="7C4B644A"/>
    <w:rsid w:val="7C4C0828"/>
    <w:rsid w:val="7C4D0A20"/>
    <w:rsid w:val="7C591417"/>
    <w:rsid w:val="7C5978A8"/>
    <w:rsid w:val="7C60276B"/>
    <w:rsid w:val="7C635AF3"/>
    <w:rsid w:val="7C6B1860"/>
    <w:rsid w:val="7C7A7080"/>
    <w:rsid w:val="7C8618B6"/>
    <w:rsid w:val="7C8B16E7"/>
    <w:rsid w:val="7C8B221B"/>
    <w:rsid w:val="7C9C43AD"/>
    <w:rsid w:val="7CA0386F"/>
    <w:rsid w:val="7CA13D1C"/>
    <w:rsid w:val="7CA22422"/>
    <w:rsid w:val="7CA3362A"/>
    <w:rsid w:val="7CB03C08"/>
    <w:rsid w:val="7CCF049A"/>
    <w:rsid w:val="7CD16631"/>
    <w:rsid w:val="7CDC74AE"/>
    <w:rsid w:val="7CFC5143"/>
    <w:rsid w:val="7CFD11DF"/>
    <w:rsid w:val="7D054D72"/>
    <w:rsid w:val="7D09206C"/>
    <w:rsid w:val="7D1C72D7"/>
    <w:rsid w:val="7D250A0A"/>
    <w:rsid w:val="7D2F2DF7"/>
    <w:rsid w:val="7D30555C"/>
    <w:rsid w:val="7D3B3ADB"/>
    <w:rsid w:val="7D503C28"/>
    <w:rsid w:val="7D5439F1"/>
    <w:rsid w:val="7D547379"/>
    <w:rsid w:val="7D554571"/>
    <w:rsid w:val="7D6B18B8"/>
    <w:rsid w:val="7D6D3DB6"/>
    <w:rsid w:val="7D6E7FCC"/>
    <w:rsid w:val="7D80430E"/>
    <w:rsid w:val="7D9119B2"/>
    <w:rsid w:val="7DA5642D"/>
    <w:rsid w:val="7DB74CDC"/>
    <w:rsid w:val="7DBD3A96"/>
    <w:rsid w:val="7DD43ADA"/>
    <w:rsid w:val="7DDEDDD6"/>
    <w:rsid w:val="7DDFD69C"/>
    <w:rsid w:val="7DE0103A"/>
    <w:rsid w:val="7DE06756"/>
    <w:rsid w:val="7DEB6442"/>
    <w:rsid w:val="7DFE1A61"/>
    <w:rsid w:val="7DFF2855"/>
    <w:rsid w:val="7E006A88"/>
    <w:rsid w:val="7E015789"/>
    <w:rsid w:val="7E050E35"/>
    <w:rsid w:val="7E06649E"/>
    <w:rsid w:val="7E09296A"/>
    <w:rsid w:val="7E0B7627"/>
    <w:rsid w:val="7E0D6FDB"/>
    <w:rsid w:val="7E0D753A"/>
    <w:rsid w:val="7E0F5F32"/>
    <w:rsid w:val="7E1334DA"/>
    <w:rsid w:val="7E147786"/>
    <w:rsid w:val="7E187377"/>
    <w:rsid w:val="7E1A3773"/>
    <w:rsid w:val="7E24305B"/>
    <w:rsid w:val="7E324DEE"/>
    <w:rsid w:val="7E355523"/>
    <w:rsid w:val="7E3C5BDE"/>
    <w:rsid w:val="7E414504"/>
    <w:rsid w:val="7E456581"/>
    <w:rsid w:val="7E5E643B"/>
    <w:rsid w:val="7E6278F6"/>
    <w:rsid w:val="7E644309"/>
    <w:rsid w:val="7E6D6011"/>
    <w:rsid w:val="7E700B69"/>
    <w:rsid w:val="7E7A199D"/>
    <w:rsid w:val="7E7E4BDC"/>
    <w:rsid w:val="7E8B09C9"/>
    <w:rsid w:val="7E936A5F"/>
    <w:rsid w:val="7E9B1DD0"/>
    <w:rsid w:val="7EB666A3"/>
    <w:rsid w:val="7EBD429F"/>
    <w:rsid w:val="7EBD6B57"/>
    <w:rsid w:val="7ECD54A1"/>
    <w:rsid w:val="7EDB69AC"/>
    <w:rsid w:val="7EDD5EC2"/>
    <w:rsid w:val="7EE0405C"/>
    <w:rsid w:val="7EE10F4C"/>
    <w:rsid w:val="7EE19EF9"/>
    <w:rsid w:val="7EE50A09"/>
    <w:rsid w:val="7EEF7083"/>
    <w:rsid w:val="7EF55474"/>
    <w:rsid w:val="7EFA86BE"/>
    <w:rsid w:val="7EFF20E1"/>
    <w:rsid w:val="7F0B1B9C"/>
    <w:rsid w:val="7F245C4D"/>
    <w:rsid w:val="7F25598A"/>
    <w:rsid w:val="7F270AFE"/>
    <w:rsid w:val="7F30466E"/>
    <w:rsid w:val="7F30495B"/>
    <w:rsid w:val="7F3E25F2"/>
    <w:rsid w:val="7F441F19"/>
    <w:rsid w:val="7F5FA7C8"/>
    <w:rsid w:val="7F60047D"/>
    <w:rsid w:val="7F600DBB"/>
    <w:rsid w:val="7F646992"/>
    <w:rsid w:val="7F665DA8"/>
    <w:rsid w:val="7F6A7BFB"/>
    <w:rsid w:val="7F6B3BBC"/>
    <w:rsid w:val="7F777636"/>
    <w:rsid w:val="7F7839DA"/>
    <w:rsid w:val="7F7E9370"/>
    <w:rsid w:val="7F7F85D7"/>
    <w:rsid w:val="7F800CE2"/>
    <w:rsid w:val="7F8B0A93"/>
    <w:rsid w:val="7F8CDAB1"/>
    <w:rsid w:val="7F912012"/>
    <w:rsid w:val="7F941C7C"/>
    <w:rsid w:val="7F99305D"/>
    <w:rsid w:val="7FAD07BF"/>
    <w:rsid w:val="7FB30BA3"/>
    <w:rsid w:val="7FB55910"/>
    <w:rsid w:val="7FB5EDD8"/>
    <w:rsid w:val="7FB7AEBF"/>
    <w:rsid w:val="7FBBADFC"/>
    <w:rsid w:val="7FC810F1"/>
    <w:rsid w:val="7FD5C288"/>
    <w:rsid w:val="7FD81BD8"/>
    <w:rsid w:val="7FDC3A6D"/>
    <w:rsid w:val="7FDC7919"/>
    <w:rsid w:val="7FDE6AAE"/>
    <w:rsid w:val="7FDFD89A"/>
    <w:rsid w:val="7FE51567"/>
    <w:rsid w:val="7FEB46E9"/>
    <w:rsid w:val="7FEF9E76"/>
    <w:rsid w:val="7FF751CD"/>
    <w:rsid w:val="7FF77413"/>
    <w:rsid w:val="7FF7A3E5"/>
    <w:rsid w:val="7FFB6671"/>
    <w:rsid w:val="7FFB71B6"/>
    <w:rsid w:val="7FFD1CD4"/>
    <w:rsid w:val="7FFD561C"/>
    <w:rsid w:val="7FFDB2B5"/>
    <w:rsid w:val="7FFF56A4"/>
    <w:rsid w:val="7FFF92A7"/>
    <w:rsid w:val="83FFA3E3"/>
    <w:rsid w:val="8DE808F0"/>
    <w:rsid w:val="8F7DEA3E"/>
    <w:rsid w:val="8FBF3628"/>
    <w:rsid w:val="96FC2D7F"/>
    <w:rsid w:val="9ADFE325"/>
    <w:rsid w:val="9BECFB91"/>
    <w:rsid w:val="9D9E8BDE"/>
    <w:rsid w:val="9D9FB729"/>
    <w:rsid w:val="9EBCFC06"/>
    <w:rsid w:val="9F65CCEB"/>
    <w:rsid w:val="9FBF2BCD"/>
    <w:rsid w:val="A18F6466"/>
    <w:rsid w:val="A5DFEEF8"/>
    <w:rsid w:val="A6FF538A"/>
    <w:rsid w:val="AF7E8E27"/>
    <w:rsid w:val="B3BD1FA5"/>
    <w:rsid w:val="B3F5BEA8"/>
    <w:rsid w:val="B55E6E67"/>
    <w:rsid w:val="B5BE9AB7"/>
    <w:rsid w:val="B6AA6BD2"/>
    <w:rsid w:val="B77F9F3C"/>
    <w:rsid w:val="B7EF15E5"/>
    <w:rsid w:val="B7F7B06D"/>
    <w:rsid w:val="BAA5F476"/>
    <w:rsid w:val="BBD62406"/>
    <w:rsid w:val="BBFB9E32"/>
    <w:rsid w:val="BC5B8FEB"/>
    <w:rsid w:val="BDEB1C88"/>
    <w:rsid w:val="BDFEA5A2"/>
    <w:rsid w:val="BE97E8FB"/>
    <w:rsid w:val="BEDF7116"/>
    <w:rsid w:val="BEFD6FED"/>
    <w:rsid w:val="BF7F49DA"/>
    <w:rsid w:val="BF9BDD33"/>
    <w:rsid w:val="BF9F1522"/>
    <w:rsid w:val="BFDE47C2"/>
    <w:rsid w:val="BFF28851"/>
    <w:rsid w:val="BFF5F1E5"/>
    <w:rsid w:val="BFF721BC"/>
    <w:rsid w:val="BFFF41F8"/>
    <w:rsid w:val="BFFFDF75"/>
    <w:rsid w:val="BFFFE664"/>
    <w:rsid w:val="CAB7732D"/>
    <w:rsid w:val="CBFFF248"/>
    <w:rsid w:val="CDF99EBC"/>
    <w:rsid w:val="CEE78F60"/>
    <w:rsid w:val="CFBD6FFB"/>
    <w:rsid w:val="D1FE33B6"/>
    <w:rsid w:val="D55F9AF1"/>
    <w:rsid w:val="D7DE784F"/>
    <w:rsid w:val="D7FE019E"/>
    <w:rsid w:val="D91682EF"/>
    <w:rsid w:val="D9FB29E4"/>
    <w:rsid w:val="DABF200D"/>
    <w:rsid w:val="DBD3802E"/>
    <w:rsid w:val="DBEC361B"/>
    <w:rsid w:val="DBEFAA94"/>
    <w:rsid w:val="DBFFE4C1"/>
    <w:rsid w:val="DC7E8DEE"/>
    <w:rsid w:val="DE1FC761"/>
    <w:rsid w:val="DEBBE503"/>
    <w:rsid w:val="DEDD453E"/>
    <w:rsid w:val="DF7F70AC"/>
    <w:rsid w:val="DFBF20EE"/>
    <w:rsid w:val="DFF799AC"/>
    <w:rsid w:val="DFFEAA17"/>
    <w:rsid w:val="DFFF7023"/>
    <w:rsid w:val="DFFF7D01"/>
    <w:rsid w:val="E3CDD58A"/>
    <w:rsid w:val="E4DCC721"/>
    <w:rsid w:val="E6A39E04"/>
    <w:rsid w:val="E77FAC3E"/>
    <w:rsid w:val="E7F7A86C"/>
    <w:rsid w:val="EBB93DC9"/>
    <w:rsid w:val="ECDFAC2B"/>
    <w:rsid w:val="EDDA26F1"/>
    <w:rsid w:val="EDDC883D"/>
    <w:rsid w:val="EDE71492"/>
    <w:rsid w:val="EDF5A0A9"/>
    <w:rsid w:val="EE95729A"/>
    <w:rsid w:val="EEF5A45F"/>
    <w:rsid w:val="EEFE9597"/>
    <w:rsid w:val="EFCF6B53"/>
    <w:rsid w:val="EFE61786"/>
    <w:rsid w:val="EFF64D96"/>
    <w:rsid w:val="EFFD9591"/>
    <w:rsid w:val="F052A48F"/>
    <w:rsid w:val="F17B004E"/>
    <w:rsid w:val="F1FE8422"/>
    <w:rsid w:val="F3B700E1"/>
    <w:rsid w:val="F3FF5F2A"/>
    <w:rsid w:val="F3FF78A9"/>
    <w:rsid w:val="F55FBB8C"/>
    <w:rsid w:val="F57C2A75"/>
    <w:rsid w:val="F5CBB279"/>
    <w:rsid w:val="F5E5BCD6"/>
    <w:rsid w:val="F62D72C2"/>
    <w:rsid w:val="F65692F5"/>
    <w:rsid w:val="F72A95DD"/>
    <w:rsid w:val="F7BF668D"/>
    <w:rsid w:val="F7ED92BE"/>
    <w:rsid w:val="F7EE6EF1"/>
    <w:rsid w:val="F7F7B929"/>
    <w:rsid w:val="F7FFF0DB"/>
    <w:rsid w:val="F986ED27"/>
    <w:rsid w:val="F9F3AA5B"/>
    <w:rsid w:val="FA396091"/>
    <w:rsid w:val="FA5C4C60"/>
    <w:rsid w:val="FAEDF001"/>
    <w:rsid w:val="FAFDB191"/>
    <w:rsid w:val="FB22928F"/>
    <w:rsid w:val="FB3E4EEA"/>
    <w:rsid w:val="FB6F459C"/>
    <w:rsid w:val="FB6F4CAC"/>
    <w:rsid w:val="FB6FEE63"/>
    <w:rsid w:val="FB8F380A"/>
    <w:rsid w:val="FB98B126"/>
    <w:rsid w:val="FBF19C0F"/>
    <w:rsid w:val="FBFDFCEF"/>
    <w:rsid w:val="FBFE217F"/>
    <w:rsid w:val="FCFA0892"/>
    <w:rsid w:val="FCFD6FFD"/>
    <w:rsid w:val="FCFFDEE9"/>
    <w:rsid w:val="FD794BEC"/>
    <w:rsid w:val="FD7B4327"/>
    <w:rsid w:val="FDA32B9E"/>
    <w:rsid w:val="FDBD9073"/>
    <w:rsid w:val="FDBE6869"/>
    <w:rsid w:val="FDC76A72"/>
    <w:rsid w:val="FDD76BF1"/>
    <w:rsid w:val="FDD92654"/>
    <w:rsid w:val="FDDEAFF0"/>
    <w:rsid w:val="FDFC40D4"/>
    <w:rsid w:val="FDFDA93C"/>
    <w:rsid w:val="FDFFC9D0"/>
    <w:rsid w:val="FE1FCA89"/>
    <w:rsid w:val="FE5B2DBD"/>
    <w:rsid w:val="FEAABC89"/>
    <w:rsid w:val="FEED2ECF"/>
    <w:rsid w:val="FEF4801F"/>
    <w:rsid w:val="FEF5CAF3"/>
    <w:rsid w:val="FEFCAB41"/>
    <w:rsid w:val="FEFE242C"/>
    <w:rsid w:val="FF295D4A"/>
    <w:rsid w:val="FF512AEA"/>
    <w:rsid w:val="FF52E523"/>
    <w:rsid w:val="FF7348D9"/>
    <w:rsid w:val="FF7F5333"/>
    <w:rsid w:val="FF8D26A3"/>
    <w:rsid w:val="FF9E200C"/>
    <w:rsid w:val="FFADE209"/>
    <w:rsid w:val="FFBC7AB4"/>
    <w:rsid w:val="FFBE81C2"/>
    <w:rsid w:val="FFBEE521"/>
    <w:rsid w:val="FFBF506C"/>
    <w:rsid w:val="FFDB1E8E"/>
    <w:rsid w:val="FFE6546C"/>
    <w:rsid w:val="FFEBBDFE"/>
    <w:rsid w:val="FFEBDA14"/>
    <w:rsid w:val="FFEF0234"/>
    <w:rsid w:val="FFF2129E"/>
    <w:rsid w:val="FFFB63F4"/>
    <w:rsid w:val="FFFB6D4F"/>
    <w:rsid w:val="FFFBD85E"/>
    <w:rsid w:val="FFFDD688"/>
    <w:rsid w:val="FFFFAB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94" w:lineRule="exact"/>
      <w:ind w:firstLine="880" w:firstLineChars="200"/>
      <w:jc w:val="both"/>
    </w:pPr>
    <w:rPr>
      <w:rFonts w:ascii="Times New Roman" w:hAnsi="Times New Roman" w:eastAsia="方正仿宋_GBK" w:cs="Arial"/>
      <w:kern w:val="2"/>
      <w:sz w:val="32"/>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paragraph" w:styleId="4">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bCs/>
      <w:kern w:val="0"/>
      <w:sz w:val="27"/>
      <w:szCs w:val="27"/>
    </w:rPr>
  </w:style>
  <w:style w:type="paragraph" w:styleId="5">
    <w:name w:val="heading 4"/>
    <w:basedOn w:val="3"/>
    <w:next w:val="1"/>
    <w:qFormat/>
    <w:uiPriority w:val="0"/>
    <w:pPr>
      <w:spacing w:before="280" w:after="290" w:line="376" w:lineRule="auto"/>
      <w:outlineLvl w:val="3"/>
    </w:pPr>
    <w:rPr>
      <w:rFonts w:ascii="等线 Light" w:hAnsi="等线 Light" w:eastAsia="等线 Light" w:cs="Times New Roman"/>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Calibri" w:hAnsi="Calibri" w:eastAsia="宋体" w:cs="Times New Roman"/>
      <w:sz w:val="21"/>
      <w:szCs w:val="24"/>
    </w:rPr>
  </w:style>
  <w:style w:type="paragraph" w:styleId="6">
    <w:name w:val="annotation text"/>
    <w:basedOn w:val="1"/>
    <w:qFormat/>
    <w:uiPriority w:val="0"/>
    <w:pPr>
      <w:jc w:val="left"/>
    </w:pPr>
  </w:style>
  <w:style w:type="paragraph" w:styleId="7">
    <w:name w:val="index 6"/>
    <w:basedOn w:val="1"/>
    <w:next w:val="1"/>
    <w:unhideWhenUsed/>
    <w:qFormat/>
    <w:uiPriority w:val="99"/>
    <w:pPr>
      <w:ind w:left="2100"/>
    </w:pPr>
  </w:style>
  <w:style w:type="paragraph" w:styleId="8">
    <w:name w:val="Body Text"/>
    <w:basedOn w:val="1"/>
    <w:next w:val="9"/>
    <w:qFormat/>
    <w:uiPriority w:val="0"/>
    <w:pPr>
      <w:spacing w:after="120"/>
    </w:pPr>
    <w:rPr>
      <w:rFonts w:eastAsia="宋体" w:cs="Times New Roman"/>
      <w:szCs w:val="24"/>
    </w:rPr>
  </w:style>
  <w:style w:type="paragraph" w:styleId="9">
    <w:name w:val="toc 5"/>
    <w:basedOn w:val="1"/>
    <w:next w:val="1"/>
    <w:unhideWhenUsed/>
    <w:qFormat/>
    <w:uiPriority w:val="39"/>
    <w:pPr>
      <w:ind w:left="1280"/>
      <w:jc w:val="left"/>
    </w:pPr>
    <w:rPr>
      <w:rFonts w:ascii="Calibri" w:hAnsi="Calibri" w:cs="Calibri"/>
      <w:sz w:val="20"/>
    </w:r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31"/>
    <w:qFormat/>
    <w:uiPriority w:val="0"/>
    <w:pPr>
      <w:spacing w:after="0" w:line="240" w:lineRule="auto"/>
    </w:pPr>
    <w:rPr>
      <w:sz w:val="18"/>
      <w:szCs w:val="18"/>
    </w:rPr>
  </w:style>
  <w:style w:type="paragraph" w:styleId="12">
    <w:name w:val="footer"/>
    <w:basedOn w:val="1"/>
    <w:next w:val="7"/>
    <w:link w:val="30"/>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Normal (Web)"/>
    <w:basedOn w:val="1"/>
    <w:qFormat/>
    <w:uiPriority w:val="0"/>
    <w:pPr>
      <w:spacing w:beforeAutospacing="1" w:after="0" w:afterAutospacing="1"/>
      <w:jc w:val="left"/>
    </w:pPr>
    <w:rPr>
      <w:rFonts w:cs="Times New Roman"/>
      <w:kern w:val="0"/>
      <w:sz w:val="24"/>
    </w:rPr>
  </w:style>
  <w:style w:type="paragraph" w:styleId="15">
    <w:name w:val="Body Text First Indent"/>
    <w:next w:val="7"/>
    <w:qFormat/>
    <w:uiPriority w:val="0"/>
    <w:pPr>
      <w:spacing w:after="120" w:line="600" w:lineRule="exact"/>
      <w:ind w:firstLine="100" w:firstLineChars="100"/>
      <w:jc w:val="both"/>
    </w:pPr>
    <w:rPr>
      <w:rFonts w:ascii="Times New Roman" w:hAnsi="Times New Roman" w:eastAsia="方正仿宋_GBK" w:cs="Times New Roman"/>
      <w:kern w:val="2"/>
      <w:sz w:val="32"/>
      <w:szCs w:val="22"/>
      <w:lang w:val="en-US" w:eastAsia="zh-CN" w:bidi="ar-SA"/>
    </w:r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qFormat/>
    <w:uiPriority w:val="0"/>
    <w:rPr>
      <w:color w:val="0000FF" w:themeColor="hyperlink"/>
      <w:u w:val="single"/>
      <w14:textFill>
        <w14:solidFill>
          <w14:schemeClr w14:val="hlink"/>
        </w14:solidFill>
      </w14:textFill>
    </w:rPr>
  </w:style>
  <w:style w:type="paragraph" w:customStyle="1" w:styleId="21">
    <w:name w:val="Default"/>
    <w:next w:val="1"/>
    <w:qFormat/>
    <w:uiPriority w:val="0"/>
    <w:pPr>
      <w:widowControl w:val="0"/>
      <w:autoSpaceDE w:val="0"/>
      <w:autoSpaceDN w:val="0"/>
      <w:adjustRightInd w:val="0"/>
      <w:spacing w:after="160" w:line="278" w:lineRule="auto"/>
    </w:pPr>
    <w:rPr>
      <w:rFonts w:ascii="方正小标宋_GBK" w:hAnsi="Calibri" w:eastAsia="方正小标宋_GBK" w:cs="Times New Roman"/>
      <w:color w:val="000000"/>
      <w:sz w:val="24"/>
      <w:szCs w:val="24"/>
      <w:lang w:val="en-US" w:eastAsia="zh-CN" w:bidi="ar-SA"/>
    </w:rPr>
  </w:style>
  <w:style w:type="character" w:customStyle="1" w:styleId="22">
    <w:name w:val="apple-converted-space"/>
    <w:basedOn w:val="17"/>
    <w:qFormat/>
    <w:uiPriority w:val="0"/>
  </w:style>
  <w:style w:type="character" w:customStyle="1" w:styleId="23">
    <w:name w:val="fontstyle01"/>
    <w:basedOn w:val="17"/>
    <w:qFormat/>
    <w:uiPriority w:val="0"/>
    <w:rPr>
      <w:rFonts w:ascii="FZFSK--GBK1-0" w:hAnsi="FZFSK--GBK1-0" w:eastAsia="FZFSK--GBK1-0" w:cs="FZFSK--GBK1-0"/>
      <w:color w:val="000000"/>
      <w:sz w:val="32"/>
      <w:szCs w:val="32"/>
    </w:rPr>
  </w:style>
  <w:style w:type="character" w:customStyle="1" w:styleId="24">
    <w:name w:val="fontstyle11"/>
    <w:basedOn w:val="17"/>
    <w:qFormat/>
    <w:uiPriority w:val="0"/>
    <w:rPr>
      <w:rFonts w:ascii="宋体" w:hAnsi="宋体" w:eastAsia="宋体" w:cs="宋体"/>
      <w:color w:val="000000"/>
      <w:sz w:val="28"/>
      <w:szCs w:val="28"/>
    </w:rPr>
  </w:style>
  <w:style w:type="character" w:customStyle="1" w:styleId="25">
    <w:name w:val="fontstyle31"/>
    <w:basedOn w:val="17"/>
    <w:qFormat/>
    <w:uiPriority w:val="0"/>
    <w:rPr>
      <w:rFonts w:ascii="E-BZ" w:hAnsi="E-BZ" w:eastAsia="E-BZ" w:cs="E-BZ"/>
      <w:color w:val="000000"/>
      <w:sz w:val="30"/>
      <w:szCs w:val="30"/>
    </w:rPr>
  </w:style>
  <w:style w:type="character" w:customStyle="1" w:styleId="26">
    <w:name w:val="fontstyle21"/>
    <w:basedOn w:val="17"/>
    <w:qFormat/>
    <w:uiPriority w:val="0"/>
    <w:rPr>
      <w:rFonts w:ascii="TimesNewRomanPSMT" w:hAnsi="TimesNewRomanPSMT" w:eastAsia="TimesNewRomanPSMT" w:cs="TimesNewRomanPSMT"/>
      <w:color w:val="000000"/>
      <w:sz w:val="32"/>
      <w:szCs w:val="32"/>
    </w:rPr>
  </w:style>
  <w:style w:type="character" w:customStyle="1" w:styleId="27">
    <w:name w:val="font91"/>
    <w:qFormat/>
    <w:uiPriority w:val="0"/>
    <w:rPr>
      <w:rFonts w:ascii="方正仿宋_GBK" w:hAnsi="方正仿宋_GBK" w:eastAsia="方正仿宋_GBK" w:cs="方正仿宋_GBK"/>
      <w:color w:val="000000"/>
      <w:sz w:val="28"/>
      <w:szCs w:val="28"/>
      <w:u w:val="none"/>
    </w:rPr>
  </w:style>
  <w:style w:type="paragraph" w:customStyle="1" w:styleId="28">
    <w:name w:val="BodyText"/>
    <w:basedOn w:val="1"/>
    <w:next w:val="29"/>
    <w:qFormat/>
    <w:uiPriority w:val="0"/>
    <w:pPr>
      <w:jc w:val="center"/>
      <w:textAlignment w:val="baseline"/>
    </w:pPr>
    <w:rPr>
      <w:rFonts w:ascii="Calibri" w:hAnsi="Calibri"/>
      <w:sz w:val="36"/>
    </w:rPr>
  </w:style>
  <w:style w:type="paragraph" w:customStyle="1" w:styleId="29">
    <w:name w:val="UserStyle_0"/>
    <w:qFormat/>
    <w:uiPriority w:val="0"/>
    <w:pPr>
      <w:spacing w:after="160" w:line="278" w:lineRule="auto"/>
      <w:textAlignment w:val="baseline"/>
    </w:pPr>
    <w:rPr>
      <w:rFonts w:ascii="Helvetica" w:hAnsi="Helvetica" w:eastAsia="Helvetica" w:cs="Times New Roman"/>
      <w:color w:val="000000"/>
      <w:sz w:val="22"/>
      <w:szCs w:val="22"/>
      <w:lang w:val="en-US" w:eastAsia="zh-CN" w:bidi="ar-SA"/>
    </w:rPr>
  </w:style>
  <w:style w:type="character" w:customStyle="1" w:styleId="30">
    <w:name w:val="页脚 Char"/>
    <w:basedOn w:val="17"/>
    <w:link w:val="12"/>
    <w:qFormat/>
    <w:uiPriority w:val="99"/>
    <w:rPr>
      <w:rFonts w:eastAsia="方正仿宋_GBK" w:cs="Arial"/>
      <w:kern w:val="2"/>
      <w:sz w:val="18"/>
      <w:szCs w:val="22"/>
    </w:rPr>
  </w:style>
  <w:style w:type="character" w:customStyle="1" w:styleId="31">
    <w:name w:val="批注框文本 Char"/>
    <w:basedOn w:val="17"/>
    <w:link w:val="11"/>
    <w:qFormat/>
    <w:uiPriority w:val="0"/>
    <w:rPr>
      <w:rFonts w:eastAsia="方正仿宋_GBK"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12581</Words>
  <Characters>13227</Characters>
  <Lines>106</Lines>
  <Paragraphs>29</Paragraphs>
  <TotalTime>15</TotalTime>
  <ScaleCrop>false</ScaleCrop>
  <LinksUpToDate>false</LinksUpToDate>
  <CharactersWithSpaces>13228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2022-11-30T11:20:00Z</dcterms:created>
  <dc:creator>YAL-AL00</dc:creator>
  <cp:lastModifiedBy>NTKO</cp:lastModifiedBy>
  <cp:lastPrinted>2026-01-14T11:07:00Z</cp:lastPrinted>
  <dcterms:modified xsi:type="dcterms:W3CDTF">2026-03-09T06:37:27Z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9F00DD91076D46088961B5476D14C3CA_13</vt:lpwstr>
  </property>
  <property fmtid="{D5CDD505-2E9C-101B-9397-08002B2CF9AE}" pid="3" name="KSOProductBuildVer">
    <vt:lpwstr>2052-11.1.0.14309</vt:lpwstr>
  </property>
  <property fmtid="{D5CDD505-2E9C-101B-9397-08002B2CF9AE}" pid="4" name="KSOTemplateDocerSaveRecord">
    <vt:lpwstr>eyJoZGlkIjoiZjVlMjNkZjUxYzJkOWQ2ZTFhZGY1YmZjMjkwOGIzN2IiLCJ1c2VySWQiOiIxMDE4ODM3NDk5In0=</vt:lpwstr>
  </property>
</Properties>
</file>