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0" w:firstLineChars="0"/>
        <w:jc w:val="both"/>
        <w:rPr>
          <w:rFonts w:eastAsia="方正小标宋_GBK"/>
          <w:sz w:val="44"/>
          <w:szCs w:val="44"/>
        </w:rPr>
      </w:pPr>
      <w:r>
        <w:rPr>
          <w:rFonts w:ascii="宋体" w:hAnsi="宋体" w:eastAsia="宋体" w:cs="宋体"/>
          <w:kern w:val="0"/>
          <w:sz w:val="24"/>
          <w:szCs w:val="24"/>
        </w:rPr>
        <mc:AlternateContent>
          <mc:Choice Requires="wps">
            <w:drawing>
              <wp:anchor distT="45720" distB="45720" distL="114300" distR="114300" simplePos="0" relativeHeight="251659264" behindDoc="0" locked="0" layoutInCell="1" allowOverlap="1">
                <wp:simplePos x="0" y="0"/>
                <wp:positionH relativeFrom="column">
                  <wp:posOffset>4845050</wp:posOffset>
                </wp:positionH>
                <wp:positionV relativeFrom="paragraph">
                  <wp:posOffset>81915</wp:posOffset>
                </wp:positionV>
                <wp:extent cx="1005840" cy="222885"/>
                <wp:effectExtent l="0" t="0" r="3810"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05840" cy="222885"/>
                        </a:xfrm>
                        <a:prstGeom prst="rect">
                          <a:avLst/>
                        </a:prstGeom>
                        <a:solidFill>
                          <a:srgbClr val="FFFFFF"/>
                        </a:solidFill>
                        <a:ln>
                          <a:noFill/>
                        </a:ln>
                      </wps:spPr>
                      <wps:txbx>
                        <w:txbxContent>
                          <w:p>
                            <w:pPr>
                              <w:ind w:firstLine="420"/>
                              <w:rPr>
                                <w:rFonts w:asciiTheme="minorHAnsi" w:eastAsiaTheme="minorEastAsia"/>
                                <w:sz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1.5pt;margin-top:6.45pt;height:17.55pt;width:79.2pt;z-index:251659264;mso-width-relative:page;mso-height-relative:page;" fillcolor="#FFFFFF" filled="t" stroked="f" coordsize="21600,21600" o:gfxdata="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IE/qQ/XAAAACQEAAA8AAAAAAAAAAQAgAAAAOAAAAGRy&#10;cy9kb3ducmV2LnhtbFBLAQIUABQAAAAIAIdO4kDy+SqxKQIAAD4EAAAOAAAAAAAAAAEAIAAAADwB&#10;AABkcnMvZTJvRG9jLnhtbFBLBQYAAAAABgAGAFkBAADXBQAAAAA=&#10;">
                <v:fill on="t" focussize="0,0"/>
                <v:stroke on="f"/>
                <v:imagedata o:title=""/>
                <o:lock v:ext="edit" aspectratio="f"/>
                <v:textbox>
                  <w:txbxContent>
                    <w:p>
                      <w:pPr>
                        <w:ind w:firstLine="420"/>
                        <w:rPr>
                          <w:rFonts w:asciiTheme="minorHAnsi" w:eastAsiaTheme="minorEastAsia"/>
                          <w:sz w:val="21"/>
                        </w:rPr>
                      </w:pPr>
                    </w:p>
                  </w:txbxContent>
                </v:textbox>
              </v:shape>
            </w:pict>
          </mc:Fallback>
        </mc:AlternateContent>
      </w:r>
    </w:p>
    <w:p>
      <w:pPr>
        <w:spacing w:after="0"/>
        <w:ind w:firstLine="0" w:firstLineChars="0"/>
        <w:jc w:val="center"/>
        <w:rPr>
          <w:rFonts w:eastAsia="方正小标宋_GBK"/>
          <w:sz w:val="44"/>
          <w:szCs w:val="44"/>
        </w:rPr>
      </w:pPr>
      <w:r>
        <w:rPr>
          <w:rFonts w:hint="eastAsia" w:eastAsia="方正小标宋_GBK"/>
          <w:sz w:val="44"/>
          <w:szCs w:val="44"/>
        </w:rPr>
        <w:t>关于重庆市大渡口区</w:t>
      </w:r>
      <w:r>
        <w:rPr>
          <w:rFonts w:eastAsia="方正小标宋_GBK" w:cs="Times New Roman"/>
          <w:sz w:val="44"/>
          <w:szCs w:val="44"/>
        </w:rPr>
        <w:t>2024</w:t>
      </w:r>
      <w:r>
        <w:rPr>
          <w:rFonts w:hint="eastAsia" w:eastAsia="方正小标宋_GBK"/>
          <w:sz w:val="44"/>
          <w:szCs w:val="44"/>
        </w:rPr>
        <w:t>年预算</w:t>
      </w:r>
    </w:p>
    <w:p>
      <w:pPr>
        <w:spacing w:after="0"/>
        <w:ind w:firstLine="0" w:firstLineChars="0"/>
        <w:jc w:val="center"/>
        <w:rPr>
          <w:rFonts w:eastAsia="方正小标宋_GBK"/>
          <w:sz w:val="44"/>
          <w:szCs w:val="44"/>
        </w:rPr>
      </w:pPr>
      <w:r>
        <w:rPr>
          <w:rFonts w:hint="eastAsia" w:eastAsia="方正小标宋_GBK"/>
          <w:sz w:val="44"/>
          <w:szCs w:val="44"/>
        </w:rPr>
        <w:t>执行情况和</w:t>
      </w:r>
      <w:r>
        <w:rPr>
          <w:rFonts w:eastAsia="方正小标宋_GBK" w:cs="Times New Roman"/>
          <w:sz w:val="44"/>
          <w:szCs w:val="44"/>
        </w:rPr>
        <w:t>2025</w:t>
      </w:r>
      <w:r>
        <w:rPr>
          <w:rFonts w:hint="eastAsia" w:eastAsia="方正小标宋_GBK"/>
          <w:sz w:val="44"/>
          <w:szCs w:val="44"/>
        </w:rPr>
        <w:t>年预算草案的报告</w:t>
      </w:r>
    </w:p>
    <w:p>
      <w:pPr>
        <w:spacing w:after="0"/>
        <w:ind w:firstLine="0" w:firstLineChars="0"/>
        <w:jc w:val="center"/>
        <w:rPr>
          <w:rFonts w:eastAsia="方正楷体_GBK"/>
          <w:szCs w:val="32"/>
        </w:rPr>
      </w:pPr>
    </w:p>
    <w:p>
      <w:pPr>
        <w:spacing w:after="0"/>
        <w:ind w:firstLine="0" w:firstLineChars="0"/>
        <w:jc w:val="center"/>
        <w:rPr>
          <w:rFonts w:eastAsia="方正楷体_GBK" w:cs="宋体"/>
          <w:kern w:val="0"/>
          <w:szCs w:val="32"/>
        </w:rPr>
      </w:pPr>
      <w:r>
        <w:rPr>
          <w:rFonts w:hint="eastAsia" w:eastAsia="方正楷体_GBK" w:cs="方正楷体_GBK"/>
          <w:szCs w:val="32"/>
        </w:rPr>
        <w:t>重庆市大渡口区财政局</w:t>
      </w:r>
    </w:p>
    <w:p>
      <w:pPr>
        <w:spacing w:after="0"/>
        <w:ind w:firstLine="0" w:firstLineChars="0"/>
        <w:jc w:val="center"/>
        <w:rPr>
          <w:rFonts w:eastAsia="方正楷体_GBK"/>
          <w:szCs w:val="32"/>
        </w:rPr>
      </w:pPr>
    </w:p>
    <w:p>
      <w:pPr>
        <w:spacing w:after="0"/>
        <w:ind w:firstLine="0" w:firstLineChars="0"/>
        <w:rPr>
          <w:rFonts w:cs="Times New Roman"/>
          <w:szCs w:val="32"/>
        </w:rPr>
      </w:pPr>
      <w:r>
        <w:rPr>
          <w:rFonts w:cs="Times New Roman"/>
          <w:szCs w:val="32"/>
        </w:rPr>
        <w:t>各位代表：</w:t>
      </w:r>
    </w:p>
    <w:p>
      <w:pPr>
        <w:spacing w:after="0"/>
        <w:ind w:firstLine="640"/>
      </w:pPr>
      <w:r>
        <w:t>受重庆市大渡口区人民政府委托，现将大渡口区</w:t>
      </w:r>
      <w:r>
        <w:rPr>
          <w:rFonts w:cs="Times New Roman"/>
        </w:rPr>
        <w:t>2024</w:t>
      </w:r>
      <w:r>
        <w:t>年预算执行情况和</w:t>
      </w:r>
      <w:r>
        <w:rPr>
          <w:rFonts w:cs="Times New Roman"/>
        </w:rPr>
        <w:t>2025</w:t>
      </w:r>
      <w:r>
        <w:t>年预算草案的报告提请大会审查，并请</w:t>
      </w:r>
      <w:r>
        <w:rPr>
          <w:rFonts w:hint="eastAsia"/>
        </w:rPr>
        <w:t>各位</w:t>
      </w:r>
      <w:r>
        <w:t>政协委员提出意见。</w:t>
      </w:r>
    </w:p>
    <w:p>
      <w:pPr>
        <w:spacing w:after="0"/>
        <w:ind w:firstLine="640"/>
      </w:pPr>
      <w:r>
        <w:rPr>
          <w:rFonts w:hint="eastAsia" w:ascii="方正黑体_GBK" w:hAnsi="方正黑体_GBK" w:eastAsia="方正黑体_GBK" w:cs="方正黑体_GBK"/>
        </w:rPr>
        <w:t>一、</w:t>
      </w:r>
      <w:r>
        <w:rPr>
          <w:rFonts w:eastAsia="方正黑体_GBK" w:cs="Times New Roman"/>
          <w:szCs w:val="32"/>
        </w:rPr>
        <w:t>2024年预算执行情况</w:t>
      </w:r>
    </w:p>
    <w:p>
      <w:pPr>
        <w:spacing w:after="0"/>
        <w:ind w:firstLine="640"/>
      </w:pPr>
      <w:r>
        <w:rPr>
          <w:rFonts w:cs="Times New Roman"/>
        </w:rPr>
        <w:t>2024</w:t>
      </w:r>
      <w:r>
        <w:rPr>
          <w:rFonts w:hint="eastAsia"/>
        </w:rPr>
        <w:t>年，是实现</w:t>
      </w:r>
      <w:r>
        <w:rPr>
          <w:rFonts w:hint="eastAsia" w:ascii="方正仿宋_GBK"/>
        </w:rPr>
        <w:t>“</w:t>
      </w:r>
      <w:r>
        <w:rPr>
          <w:rFonts w:hint="eastAsia"/>
        </w:rPr>
        <w:t>十四五</w:t>
      </w:r>
      <w:r>
        <w:rPr>
          <w:rFonts w:hint="eastAsia" w:ascii="方正仿宋_GBK"/>
        </w:rPr>
        <w:t>”</w:t>
      </w:r>
      <w:r>
        <w:rPr>
          <w:rFonts w:hint="eastAsia"/>
        </w:rPr>
        <w:t>规划目标任务的关键一年</w:t>
      </w:r>
      <w:r>
        <w:t>。一年来，</w:t>
      </w:r>
      <w:r>
        <w:rPr>
          <w:rFonts w:hint="eastAsia"/>
        </w:rPr>
        <w:t>面对外部复杂因素影响和转型发展困难挑战，</w:t>
      </w:r>
      <w:r>
        <w:t>全区财政工作</w:t>
      </w:r>
      <w:r>
        <w:rPr>
          <w:rFonts w:hint="eastAsia"/>
        </w:rPr>
        <w:t>坚持</w:t>
      </w:r>
      <w:r>
        <w:t>以习近平新时代中国特色社会主义思想为</w:t>
      </w:r>
      <w:r>
        <w:rPr>
          <w:rFonts w:hint="eastAsia"/>
        </w:rPr>
        <w:t>指导</w:t>
      </w:r>
      <w:r>
        <w:t>，</w:t>
      </w:r>
      <w:r>
        <w:rPr>
          <w:rFonts w:hint="eastAsia"/>
        </w:rPr>
        <w:t>全面贯彻落实党的二十大和二十届二中、三中全会精神，深入贯彻习近平总书记视察重庆重要讲话重要指示精神，</w:t>
      </w:r>
      <w:r>
        <w:t>在区委的坚强领导下，在区人大</w:t>
      </w:r>
      <w:r>
        <w:rPr>
          <w:rFonts w:hint="eastAsia"/>
        </w:rPr>
        <w:t>及其常委会</w:t>
      </w:r>
      <w:r>
        <w:t>、区政协的监督支持下，</w:t>
      </w:r>
      <w:r>
        <w:rPr>
          <w:rFonts w:hint="eastAsia"/>
        </w:rPr>
        <w:t>坚持稳中求进工作总基调，完整准确全面贯彻新发展理念，聚焦高质量发展首要任务，认真落实</w:t>
      </w:r>
      <w:r>
        <w:rPr>
          <w:rFonts w:hint="eastAsia" w:ascii="方正仿宋_GBK"/>
        </w:rPr>
        <w:t>“</w:t>
      </w:r>
      <w:r>
        <w:rPr>
          <w:rFonts w:hint="eastAsia"/>
        </w:rPr>
        <w:t>积极的财政政策适度加力、提质增效</w:t>
      </w:r>
      <w:r>
        <w:rPr>
          <w:rFonts w:hint="eastAsia" w:ascii="方正仿宋_GBK"/>
        </w:rPr>
        <w:t>”</w:t>
      </w:r>
      <w:r>
        <w:rPr>
          <w:rFonts w:hint="eastAsia"/>
        </w:rPr>
        <w:t>要求，坚持依法理财、科学理财、为民理财，有效发挥财政职能作用，财政运行总体平稳，为区域经济社会高质量发展奠定财力基础。</w:t>
      </w:r>
    </w:p>
    <w:p>
      <w:pPr>
        <w:spacing w:after="0"/>
        <w:ind w:firstLine="640"/>
        <w:rPr>
          <w:rFonts w:eastAsia="方正楷体_GBK" w:cs="方正楷体_GBK"/>
          <w:szCs w:val="32"/>
        </w:rPr>
      </w:pPr>
      <w:r>
        <w:rPr>
          <w:rFonts w:hint="eastAsia" w:eastAsia="方正楷体_GBK" w:cs="方正楷体_GBK"/>
          <w:szCs w:val="32"/>
        </w:rPr>
        <w:t>（一）一般公共预算执行情况</w:t>
      </w:r>
    </w:p>
    <w:p>
      <w:pPr>
        <w:spacing w:after="0"/>
        <w:ind w:firstLine="643"/>
        <w:rPr>
          <w:rFonts w:cs="Times New Roman"/>
          <w:szCs w:val="32"/>
        </w:rPr>
      </w:pPr>
      <w:r>
        <w:rPr>
          <w:rFonts w:eastAsia="仿宋" w:cs="Times New Roman"/>
          <w:b/>
          <w:bCs/>
          <w:szCs w:val="32"/>
        </w:rPr>
        <w:t>1.</w:t>
      </w:r>
      <w:r>
        <w:rPr>
          <w:rFonts w:cs="Times New Roman"/>
          <w:b/>
          <w:bCs/>
          <w:szCs w:val="32"/>
        </w:rPr>
        <w:t>收入执行情况。</w:t>
      </w:r>
      <w:r>
        <w:rPr>
          <w:rFonts w:cs="Times New Roman"/>
          <w:szCs w:val="32"/>
        </w:rPr>
        <w:t>收入总计578,849万元，具体组成：本级收入201,385万元，完成预算的100.2%，同比</w:t>
      </w:r>
      <w:r>
        <w:rPr>
          <w:rFonts w:hint="eastAsia" w:cs="Times New Roman"/>
          <w:szCs w:val="32"/>
        </w:rPr>
        <w:t>增长</w:t>
      </w:r>
      <w:r>
        <w:rPr>
          <w:rFonts w:cs="Times New Roman"/>
          <w:szCs w:val="32"/>
        </w:rPr>
        <w:t>0.4%；上级补助收入163,329万元；调入资金22</w:t>
      </w:r>
      <w:r>
        <w:rPr>
          <w:rFonts w:hint="eastAsia" w:cs="Times New Roman"/>
          <w:szCs w:val="32"/>
        </w:rPr>
        <w:t>,</w:t>
      </w:r>
      <w:r>
        <w:rPr>
          <w:rFonts w:cs="Times New Roman"/>
          <w:szCs w:val="32"/>
        </w:rPr>
        <w:t>880万元；债务转贷收入92,500万元；动用预算稳定调节基金65</w:t>
      </w:r>
      <w:r>
        <w:rPr>
          <w:rFonts w:hint="eastAsia" w:cs="Times New Roman"/>
          <w:szCs w:val="32"/>
        </w:rPr>
        <w:t>,</w:t>
      </w:r>
      <w:r>
        <w:rPr>
          <w:rFonts w:cs="Times New Roman"/>
          <w:szCs w:val="32"/>
        </w:rPr>
        <w:t>328万元；上年结转33</w:t>
      </w:r>
      <w:r>
        <w:rPr>
          <w:rFonts w:hint="eastAsia" w:cs="Times New Roman"/>
          <w:szCs w:val="32"/>
        </w:rPr>
        <w:t>,</w:t>
      </w:r>
      <w:r>
        <w:rPr>
          <w:rFonts w:cs="Times New Roman"/>
          <w:szCs w:val="32"/>
        </w:rPr>
        <w:t>427万元。</w:t>
      </w:r>
    </w:p>
    <w:p>
      <w:pPr>
        <w:spacing w:after="0"/>
        <w:ind w:firstLine="643"/>
        <w:rPr>
          <w:rFonts w:cs="Times New Roman"/>
          <w:szCs w:val="32"/>
        </w:rPr>
      </w:pPr>
      <w:r>
        <w:rPr>
          <w:rFonts w:eastAsia="仿宋" w:cs="Times New Roman"/>
          <w:b/>
          <w:bCs/>
          <w:szCs w:val="32"/>
        </w:rPr>
        <w:t>2.</w:t>
      </w:r>
      <w:r>
        <w:rPr>
          <w:rFonts w:cs="Times New Roman"/>
          <w:b/>
          <w:bCs/>
          <w:szCs w:val="32"/>
        </w:rPr>
        <w:t>支出执行情况。</w:t>
      </w:r>
      <w:r>
        <w:rPr>
          <w:rFonts w:cs="Times New Roman"/>
          <w:szCs w:val="32"/>
        </w:rPr>
        <w:t>支出总计578,849万元，具体组成：本级支出393,215万元，完成预算的93.6%；上解上级支出26,274万元；债务还本支出86,900万元；安排预算稳定调节基金39,088万元；结转下年33,372万元。</w:t>
      </w:r>
    </w:p>
    <w:p>
      <w:pPr>
        <w:ind w:firstLine="0" w:firstLineChars="0"/>
        <w:jc w:val="center"/>
        <w:rPr>
          <w:rFonts w:eastAsia="方正黑体_GBK" w:cs="方正黑体_GBK"/>
          <w:szCs w:val="32"/>
        </w:rPr>
      </w:pPr>
      <w:r>
        <w:rPr>
          <w:rFonts w:eastAsia="方正黑体_GBK" w:cs="Times New Roman"/>
          <w:szCs w:val="32"/>
        </w:rPr>
        <w:t>2024</w:t>
      </w:r>
      <w:r>
        <w:rPr>
          <w:rFonts w:hint="eastAsia" w:eastAsia="方正黑体_GBK" w:cs="方正黑体_GBK"/>
          <w:szCs w:val="32"/>
        </w:rPr>
        <w:t>年全区一般公共预算收支平衡表</w:t>
      </w:r>
    </w:p>
    <w:p>
      <w:pPr>
        <w:spacing w:line="240" w:lineRule="auto"/>
        <w:ind w:firstLine="0" w:firstLineChars="0"/>
        <w:jc w:val="right"/>
        <w:rPr>
          <w:rFonts w:eastAsiaTheme="minorEastAsia" w:cstheme="minorEastAsia"/>
          <w:sz w:val="21"/>
          <w:szCs w:val="21"/>
        </w:rPr>
      </w:pPr>
      <w:r>
        <w:rPr>
          <w:rFonts w:hint="eastAsia" w:eastAsiaTheme="minorEastAsia" w:cstheme="minorEastAsia"/>
          <w:sz w:val="21"/>
          <w:szCs w:val="21"/>
        </w:rPr>
        <w:t>单位：万元</w:t>
      </w:r>
    </w:p>
    <w:tbl>
      <w:tblPr>
        <w:tblStyle w:val="15"/>
        <w:tblpPr w:leftFromText="180" w:rightFromText="180" w:vertAnchor="text" w:horzAnchor="page" w:tblpXSpec="center" w:tblpY="87"/>
        <w:tblOverlap w:val="never"/>
        <w:tblW w:w="9099" w:type="dxa"/>
        <w:tblInd w:w="0" w:type="dxa"/>
        <w:tblLayout w:type="fixed"/>
        <w:tblCellMar>
          <w:top w:w="0" w:type="dxa"/>
          <w:left w:w="0" w:type="dxa"/>
          <w:bottom w:w="0" w:type="dxa"/>
          <w:right w:w="0" w:type="dxa"/>
        </w:tblCellMar>
      </w:tblPr>
      <w:tblGrid>
        <w:gridCol w:w="2885"/>
        <w:gridCol w:w="1648"/>
        <w:gridCol w:w="2975"/>
        <w:gridCol w:w="1591"/>
      </w:tblGrid>
      <w:tr>
        <w:trPr>
          <w:trHeight w:val="412" w:hRule="exact"/>
          <w:tblHeader/>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收    入</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执行数</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支    出</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执行数</w:t>
            </w: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578,849</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578,849</w:t>
            </w: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一、本级收入</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201,385</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一、本级支出</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393,215</w:t>
            </w: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税收收入</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120,316</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380"/>
              <w:rPr>
                <w:sz w:val="19"/>
                <w:szCs w:val="19"/>
              </w:rPr>
            </w:pP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非税收入</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81,069</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380"/>
              <w:rPr>
                <w:sz w:val="19"/>
                <w:szCs w:val="19"/>
              </w:rPr>
            </w:pP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二、转移性收入</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377,464</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二、转移性支出</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185,634</w:t>
            </w: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上级补助收入</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163,329</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上解上级支出</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26,274</w:t>
            </w: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调入资金</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22</w:t>
            </w:r>
            <w:r>
              <w:rPr>
                <w:rFonts w:hint="eastAsia"/>
                <w:sz w:val="22"/>
              </w:rPr>
              <w:t>,</w:t>
            </w:r>
            <w:r>
              <w:rPr>
                <w:sz w:val="22"/>
              </w:rPr>
              <w:t>880</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调出资金</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债务转贷收入</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92,500</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债务还本支出</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86,900</w:t>
            </w: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动用预算稳定调节基金</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65,328</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安排预算稳定调节基金</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39,088</w:t>
            </w:r>
          </w:p>
        </w:tc>
      </w:tr>
      <w:tr>
        <w:trPr>
          <w:trHeight w:val="412" w:hRule="exact"/>
        </w:trPr>
        <w:tc>
          <w:tcPr>
            <w:tcW w:w="2885"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上年结转</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33,427</w:t>
            </w:r>
          </w:p>
        </w:tc>
        <w:tc>
          <w:tcPr>
            <w:tcW w:w="297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结转下年</w:t>
            </w:r>
          </w:p>
        </w:tc>
        <w:tc>
          <w:tcPr>
            <w:tcW w:w="159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33,372</w:t>
            </w:r>
          </w:p>
        </w:tc>
      </w:tr>
    </w:tbl>
    <w:p>
      <w:pPr>
        <w:spacing w:after="0"/>
        <w:ind w:firstLine="640"/>
        <w:rPr>
          <w:rFonts w:cs="Times New Roman"/>
          <w:szCs w:val="32"/>
          <w:lang w:bidi="ar"/>
        </w:rPr>
      </w:pPr>
      <w:r>
        <w:rPr>
          <w:rFonts w:cs="Times New Roman"/>
          <w:szCs w:val="32"/>
          <w:lang w:bidi="ar"/>
        </w:rPr>
        <w:t>——一般公共服务支出</w:t>
      </w:r>
      <w:r>
        <w:rPr>
          <w:rFonts w:eastAsia="宋体" w:cs="Times New Roman"/>
          <w:szCs w:val="32"/>
          <w:lang w:bidi="ar"/>
        </w:rPr>
        <w:t>50,319</w:t>
      </w:r>
      <w:r>
        <w:rPr>
          <w:rFonts w:cs="Times New Roman"/>
          <w:szCs w:val="32"/>
          <w:lang w:bidi="ar"/>
        </w:rPr>
        <w:t>万元。主要用于：保障党政机关、人大、政协</w:t>
      </w:r>
      <w:r>
        <w:rPr>
          <w:rFonts w:hint="eastAsia" w:cs="Times New Roman"/>
          <w:szCs w:val="32"/>
          <w:lang w:bidi="ar"/>
        </w:rPr>
        <w:t>、</w:t>
      </w:r>
      <w:r>
        <w:rPr>
          <w:rFonts w:cs="Times New Roman"/>
          <w:szCs w:val="32"/>
          <w:lang w:bidi="ar"/>
        </w:rPr>
        <w:t>民主党派</w:t>
      </w:r>
      <w:r>
        <w:rPr>
          <w:rFonts w:hint="eastAsia" w:cs="Times New Roman"/>
          <w:szCs w:val="32"/>
          <w:lang w:bidi="ar"/>
        </w:rPr>
        <w:t>和</w:t>
      </w:r>
      <w:r>
        <w:rPr>
          <w:rFonts w:cs="Times New Roman"/>
          <w:szCs w:val="32"/>
          <w:lang w:bidi="ar"/>
        </w:rPr>
        <w:t>群团组织正常运转及履行职能。大力推进党的建设，加强自身内部管理和干部队伍建设。支持全面深化改革，提升监察监督能力，加强督查协调、政务公开，提高依法履职能力和公共服务水平。</w:t>
      </w:r>
    </w:p>
    <w:p>
      <w:pPr>
        <w:spacing w:after="0"/>
        <w:ind w:firstLine="640"/>
        <w:rPr>
          <w:rFonts w:cs="Times New Roman"/>
          <w:szCs w:val="32"/>
        </w:rPr>
      </w:pPr>
      <w:r>
        <w:rPr>
          <w:rFonts w:cs="Times New Roman"/>
          <w:szCs w:val="32"/>
          <w:lang w:bidi="ar"/>
        </w:rPr>
        <w:t>——公共安全支出33,986万元。主要用于：保障公安、司法等单位正常运转及履行职能。严厉打击违法犯罪活动，支持执法办案、应急处置、基础装备、信息化建设等，支持社会治安防控体系建设、</w:t>
      </w:r>
      <w:r>
        <w:rPr>
          <w:rFonts w:hint="eastAsia" w:ascii="方正仿宋_GBK" w:hAnsi="方正仿宋_GBK" w:cs="方正仿宋_GBK"/>
          <w:szCs w:val="32"/>
          <w:lang w:bidi="ar"/>
        </w:rPr>
        <w:t>“大综合一体化”行政执法改革</w:t>
      </w:r>
      <w:r>
        <w:rPr>
          <w:rFonts w:ascii="方正仿宋_GBK" w:hAnsi="方正仿宋_GBK" w:cs="方正仿宋_GBK"/>
          <w:szCs w:val="32"/>
          <w:lang w:bidi="ar"/>
        </w:rPr>
        <w:t>，</w:t>
      </w:r>
      <w:r>
        <w:rPr>
          <w:rFonts w:cs="Times New Roman"/>
          <w:szCs w:val="32"/>
          <w:lang w:bidi="ar"/>
        </w:rPr>
        <w:t>保障</w:t>
      </w:r>
      <w:r>
        <w:rPr>
          <w:rFonts w:hint="eastAsia" w:ascii="方正仿宋_GBK" w:hAnsi="方正仿宋_GBK" w:cs="方正仿宋_GBK"/>
          <w:szCs w:val="32"/>
          <w:lang w:bidi="ar"/>
        </w:rPr>
        <w:t>实施“雪亮工程”，</w:t>
      </w:r>
      <w:r>
        <w:rPr>
          <w:rFonts w:cs="Times New Roman"/>
          <w:szCs w:val="32"/>
          <w:lang w:bidi="ar"/>
        </w:rPr>
        <w:t>常态化推进扫黑除恶工作。支持创新打造新型接处警模式，持续推行战训巡合一，组</w:t>
      </w:r>
      <w:r>
        <w:rPr>
          <w:rFonts w:hint="eastAsia" w:ascii="方正仿宋_GBK" w:hAnsi="方正仿宋_GBK" w:cs="方正仿宋_GBK"/>
          <w:szCs w:val="32"/>
          <w:lang w:bidi="ar"/>
        </w:rPr>
        <w:t>建“</w:t>
      </w:r>
      <w:r>
        <w:rPr>
          <w:rFonts w:cs="Times New Roman"/>
          <w:szCs w:val="32"/>
          <w:lang w:bidi="ar"/>
        </w:rPr>
        <w:t>政务110</w:t>
      </w:r>
      <w:r>
        <w:rPr>
          <w:rFonts w:hint="eastAsia" w:ascii="方正仿宋_GBK" w:hAnsi="方正仿宋_GBK" w:cs="方正仿宋_GBK"/>
          <w:szCs w:val="32"/>
          <w:lang w:bidi="ar"/>
        </w:rPr>
        <w:t>”队</w:t>
      </w:r>
      <w:r>
        <w:rPr>
          <w:rFonts w:cs="Times New Roman"/>
          <w:szCs w:val="32"/>
          <w:lang w:bidi="ar"/>
        </w:rPr>
        <w:t>伍，推</w:t>
      </w:r>
      <w:r>
        <w:rPr>
          <w:rFonts w:hint="eastAsia" w:ascii="方正仿宋_GBK" w:hAnsi="方正仿宋_GBK" w:cs="方正仿宋_GBK"/>
          <w:szCs w:val="32"/>
          <w:lang w:bidi="ar"/>
        </w:rPr>
        <w:t>动“</w:t>
      </w:r>
      <w:r>
        <w:rPr>
          <w:rFonts w:cs="Times New Roman"/>
          <w:szCs w:val="32"/>
          <w:lang w:bidi="ar"/>
        </w:rPr>
        <w:t>7×24</w:t>
      </w:r>
      <w:r>
        <w:rPr>
          <w:rFonts w:hint="eastAsia" w:ascii="方正仿宋_GBK" w:hAnsi="方正仿宋_GBK" w:cs="方正仿宋_GBK"/>
          <w:szCs w:val="32"/>
          <w:lang w:bidi="ar"/>
        </w:rPr>
        <w:t>”小</w:t>
      </w:r>
      <w:r>
        <w:rPr>
          <w:rFonts w:cs="Times New Roman"/>
          <w:szCs w:val="32"/>
          <w:lang w:bidi="ar"/>
        </w:rPr>
        <w:t>时实体化运行，维护社会安全稳定和公平正义。</w:t>
      </w:r>
    </w:p>
    <w:p>
      <w:pPr>
        <w:spacing w:after="0"/>
        <w:ind w:firstLine="640"/>
        <w:rPr>
          <w:rFonts w:cs="Times New Roman"/>
          <w:szCs w:val="32"/>
        </w:rPr>
      </w:pPr>
      <w:r>
        <w:rPr>
          <w:rFonts w:cs="Times New Roman"/>
          <w:szCs w:val="32"/>
          <w:lang w:bidi="ar"/>
        </w:rPr>
        <w:t>——教育支出95,632万元。主要用于：保障教委、学校等单位正常运转及履行职能。</w:t>
      </w:r>
      <w:r>
        <w:rPr>
          <w:rFonts w:hint="eastAsia" w:ascii="方正仿宋_GBK" w:hAnsi="方正仿宋_GBK" w:cs="方正仿宋_GBK"/>
          <w:szCs w:val="32"/>
          <w:lang w:bidi="ar"/>
        </w:rPr>
        <w:t>持续强化</w:t>
      </w:r>
      <w:r>
        <w:rPr>
          <w:rFonts w:cs="Times New Roman"/>
          <w:szCs w:val="32"/>
          <w:lang w:bidi="ar"/>
        </w:rPr>
        <w:t>义务教育经费保障，精准实施各级各类教育资助政策。提高生均公用经费标准，保障学校基础设施建设投入，改善学校办学条件。优化区域教育资源配置，支持</w:t>
      </w:r>
      <w:r>
        <w:rPr>
          <w:rFonts w:hint="eastAsia" w:cs="Times New Roman"/>
          <w:szCs w:val="32"/>
          <w:lang w:bidi="ar"/>
        </w:rPr>
        <w:t>西大附中实现首届招生并成立教育集团</w:t>
      </w:r>
      <w:r>
        <w:rPr>
          <w:rFonts w:cs="Times New Roman"/>
          <w:szCs w:val="32"/>
          <w:lang w:bidi="ar"/>
        </w:rPr>
        <w:t>，加强义务教育学校薄弱环节改善与能力提升，强化教育强区经费保障，促进教育事业优质均衡发展。</w:t>
      </w:r>
    </w:p>
    <w:p>
      <w:pPr>
        <w:spacing w:after="0"/>
        <w:ind w:firstLine="640"/>
        <w:rPr>
          <w:rFonts w:cs="Times New Roman"/>
          <w:szCs w:val="32"/>
          <w:lang w:bidi="ar"/>
        </w:rPr>
      </w:pPr>
      <w:r>
        <w:rPr>
          <w:rFonts w:cs="Times New Roman"/>
          <w:szCs w:val="32"/>
          <w:lang w:bidi="ar"/>
        </w:rPr>
        <w:t>——科学技术支出7,141万元。主要用于：保障科技等单位正常运转及履行职能。加大多元化科技投入，全面提升科技自主创新能力，</w:t>
      </w:r>
      <w:r>
        <w:rPr>
          <w:rFonts w:hint="eastAsia" w:cs="Times New Roman"/>
          <w:szCs w:val="32"/>
          <w:lang w:bidi="ar"/>
        </w:rPr>
        <w:t>超进度完成市级</w:t>
      </w:r>
      <w:r>
        <w:rPr>
          <w:rFonts w:cs="Times New Roman"/>
          <w:szCs w:val="32"/>
          <w:lang w:bidi="ar"/>
        </w:rPr>
        <w:t>高新技术企业和科技型企</w:t>
      </w:r>
      <w:r>
        <w:rPr>
          <w:rFonts w:hint="eastAsia" w:ascii="方正仿宋_GBK" w:hAnsi="方正仿宋_GBK" w:cs="方正仿宋_GBK"/>
          <w:szCs w:val="32"/>
          <w:lang w:bidi="ar"/>
        </w:rPr>
        <w:t>业“双倍增”</w:t>
      </w:r>
      <w:r>
        <w:rPr>
          <w:rFonts w:cs="Times New Roman"/>
          <w:szCs w:val="32"/>
          <w:lang w:bidi="ar"/>
        </w:rPr>
        <w:t>任务。加强创新技术攻关、科技成果转化，落实科技创新扶持政策，兑现科技奖励资金，支持基层科普行动，稳步提升全区科技创新能力。</w:t>
      </w:r>
    </w:p>
    <w:p>
      <w:pPr>
        <w:spacing w:after="0"/>
        <w:ind w:firstLine="640"/>
        <w:rPr>
          <w:rFonts w:cs="Times New Roman"/>
          <w:szCs w:val="32"/>
        </w:rPr>
      </w:pPr>
      <w:r>
        <w:rPr>
          <w:rFonts w:cs="Times New Roman"/>
          <w:szCs w:val="32"/>
          <w:lang w:bidi="ar"/>
        </w:rPr>
        <w:t>——文化旅游体育与传媒支出6,088万元。主要用于：保障文旅、融媒体中心等单位正常运转及履行职能。支持完善现代公共文化服务体系，提高基本公共文化服务覆盖面。支持开展第四次全国文物普查，加强文物保护利用和非物质文化遗产保护传承。落</w:t>
      </w:r>
      <w:r>
        <w:rPr>
          <w:rFonts w:hint="eastAsia" w:ascii="方正仿宋_GBK" w:hAnsi="方正仿宋_GBK" w:cs="方正仿宋_GBK"/>
          <w:szCs w:val="32"/>
          <w:lang w:bidi="ar"/>
        </w:rPr>
        <w:t>实“三馆一站”免</w:t>
      </w:r>
      <w:r>
        <w:rPr>
          <w:rFonts w:cs="Times New Roman"/>
          <w:szCs w:val="32"/>
          <w:lang w:bidi="ar"/>
        </w:rPr>
        <w:t>费开放，提高公共文化场馆免费开放服务水平。支持成功举办重庆（大渡口）体育旅游节、</w:t>
      </w:r>
      <w:r>
        <w:rPr>
          <w:rFonts w:ascii="1Times New Roman" w:hAnsi="1Times New Roman"/>
          <w:color w:val="000000"/>
          <w:szCs w:val="32"/>
        </w:rPr>
        <w:t>李雪芮杯羽毛球</w:t>
      </w:r>
      <w:r>
        <w:rPr>
          <w:rFonts w:cs="Times New Roman"/>
          <w:szCs w:val="32"/>
          <w:lang w:bidi="ar"/>
        </w:rPr>
        <w:t>公开赛</w:t>
      </w:r>
      <w:r>
        <w:rPr>
          <w:rFonts w:hint="eastAsia" w:cs="Times New Roman"/>
          <w:szCs w:val="32"/>
          <w:lang w:bidi="ar"/>
        </w:rPr>
        <w:t>、</w:t>
      </w:r>
      <w:r>
        <w:rPr>
          <w:rFonts w:cs="Times New Roman"/>
          <w:szCs w:val="32"/>
          <w:lang w:bidi="ar"/>
        </w:rPr>
        <w:t>智跑重庆定向赛等赛事，促进文体产业高质量发展。</w:t>
      </w:r>
    </w:p>
    <w:p>
      <w:pPr>
        <w:autoSpaceDE w:val="0"/>
        <w:spacing w:after="0"/>
        <w:ind w:firstLine="640"/>
        <w:rPr>
          <w:rFonts w:cs="Times New Roman"/>
          <w:szCs w:val="32"/>
          <w:lang w:bidi="ar"/>
        </w:rPr>
      </w:pPr>
      <w:r>
        <w:rPr>
          <w:rFonts w:cs="Times New Roman"/>
          <w:szCs w:val="32"/>
          <w:lang w:bidi="ar"/>
        </w:rPr>
        <w:t>——社会保障和就业支出52,717万元。主要用于：保障人社、民政、退役军人事务等单位正常运转及履行职能。持续</w:t>
      </w:r>
      <w:r>
        <w:rPr>
          <w:rFonts w:hint="eastAsia" w:ascii="方正仿宋_GBK" w:hAnsi="方正仿宋_GBK" w:cs="方正仿宋_GBK"/>
          <w:szCs w:val="32"/>
          <w:lang w:bidi="ar"/>
        </w:rPr>
        <w:t>做优“义渡就业列车”服务品牌，支持做好高校毕业生、下岗失业人员等重点群体就业帮扶工作，</w:t>
      </w:r>
      <w:r>
        <w:rPr>
          <w:rFonts w:cs="Times New Roman"/>
          <w:szCs w:val="32"/>
          <w:lang w:bidi="ar"/>
        </w:rPr>
        <w:t>推动稳住就业基本盘。落实各项优抚安置政策，支</w:t>
      </w:r>
      <w:r>
        <w:rPr>
          <w:rFonts w:hint="eastAsia" w:ascii="方正仿宋_GBK" w:hAnsi="方正仿宋_GBK" w:cs="方正仿宋_GBK"/>
          <w:szCs w:val="32"/>
          <w:lang w:bidi="ar"/>
        </w:rPr>
        <w:t>持全国双拥模</w:t>
      </w:r>
      <w:r>
        <w:rPr>
          <w:rFonts w:cs="Times New Roman"/>
          <w:szCs w:val="32"/>
          <w:lang w:bidi="ar"/>
        </w:rPr>
        <w:t>范城</w:t>
      </w:r>
      <w:r>
        <w:rPr>
          <w:rFonts w:hint="eastAsia" w:cs="Times New Roman"/>
          <w:szCs w:val="32"/>
          <w:lang w:bidi="ar"/>
        </w:rPr>
        <w:t>创建</w:t>
      </w:r>
      <w:r>
        <w:rPr>
          <w:rFonts w:cs="Times New Roman"/>
          <w:szCs w:val="32"/>
          <w:lang w:bidi="ar"/>
        </w:rPr>
        <w:t>。支持养老服务体系建设，提升民政、优抚、残疾对象保障水平，城乡低保、特困补助标准分别提高到750元/人·</w:t>
      </w:r>
      <w:r>
        <w:rPr>
          <w:rFonts w:hint="eastAsia" w:cs="Times New Roman"/>
          <w:szCs w:val="32"/>
          <w:lang w:bidi="ar"/>
        </w:rPr>
        <w:t>月</w:t>
      </w:r>
      <w:r>
        <w:rPr>
          <w:rFonts w:cs="Times New Roman"/>
          <w:szCs w:val="32"/>
          <w:lang w:bidi="ar"/>
        </w:rPr>
        <w:t>、975元/人·</w:t>
      </w:r>
      <w:r>
        <w:rPr>
          <w:rFonts w:hint="eastAsia" w:cs="Times New Roman"/>
          <w:szCs w:val="32"/>
          <w:lang w:bidi="ar"/>
        </w:rPr>
        <w:t>月</w:t>
      </w:r>
      <w:r>
        <w:rPr>
          <w:rFonts w:cs="Times New Roman"/>
          <w:szCs w:val="32"/>
          <w:lang w:bidi="ar"/>
        </w:rPr>
        <w:t>。</w:t>
      </w:r>
    </w:p>
    <w:p>
      <w:pPr>
        <w:autoSpaceDE w:val="0"/>
        <w:spacing w:after="0"/>
        <w:ind w:firstLine="640"/>
        <w:rPr>
          <w:rFonts w:cs="Times New Roman"/>
          <w:szCs w:val="32"/>
          <w:lang w:bidi="ar"/>
        </w:rPr>
      </w:pPr>
      <w:r>
        <w:rPr>
          <w:rFonts w:cs="Times New Roman"/>
          <w:szCs w:val="32"/>
          <w:lang w:bidi="ar"/>
        </w:rPr>
        <w:t>——卫生健康支出26,363万元。主要用于：保障</w:t>
      </w:r>
      <w:r>
        <w:rPr>
          <w:rFonts w:hint="eastAsia" w:cs="Times New Roman"/>
          <w:szCs w:val="32"/>
          <w:lang w:bidi="ar"/>
        </w:rPr>
        <w:t>卫生健康</w:t>
      </w:r>
      <w:r>
        <w:rPr>
          <w:rFonts w:cs="Times New Roman"/>
          <w:szCs w:val="32"/>
          <w:lang w:bidi="ar"/>
        </w:rPr>
        <w:t>、医保、医院及社区卫生服务中心等单位正常运转及履行职能。聚焦医养结合、医疗卫生领域设备更新、病房改造等项目</w:t>
      </w:r>
      <w:r>
        <w:rPr>
          <w:rFonts w:hint="eastAsia" w:cs="Times New Roman"/>
          <w:szCs w:val="32"/>
          <w:lang w:bidi="ar"/>
        </w:rPr>
        <w:t>，</w:t>
      </w:r>
      <w:r>
        <w:rPr>
          <w:rFonts w:cs="Times New Roman"/>
          <w:szCs w:val="32"/>
          <w:lang w:bidi="ar"/>
        </w:rPr>
        <w:t>支持加强公立医院、基层医疗卫生机构能力建设和卫生健康人才培养。全面落实计划生育家庭扶助及奖励政策，城乡居民医保补助提高到670</w:t>
      </w:r>
      <w:bookmarkStart w:id="0" w:name="OLE_LINK1"/>
      <w:r>
        <w:rPr>
          <w:rFonts w:cs="Times New Roman"/>
          <w:szCs w:val="32"/>
          <w:lang w:bidi="ar"/>
        </w:rPr>
        <w:t>元/人·年</w:t>
      </w:r>
      <w:bookmarkEnd w:id="0"/>
      <w:r>
        <w:rPr>
          <w:rFonts w:cs="Times New Roman"/>
          <w:szCs w:val="32"/>
          <w:lang w:bidi="ar"/>
        </w:rPr>
        <w:t>，基本公卫财政支出标准提高到94元/人·年。落实公立医院财政补助政策及乡村医生待遇保障政策，持续推进门诊统筹改革及药品耗材集采，提高公共卫生服务能力。</w:t>
      </w:r>
    </w:p>
    <w:p>
      <w:pPr>
        <w:spacing w:after="0"/>
        <w:ind w:firstLine="640"/>
        <w:rPr>
          <w:rFonts w:eastAsia="仿宋" w:cs="Times New Roman"/>
          <w:szCs w:val="32"/>
          <w:lang w:bidi="ar"/>
        </w:rPr>
      </w:pPr>
      <w:r>
        <w:rPr>
          <w:rFonts w:cs="Times New Roman"/>
          <w:szCs w:val="32"/>
          <w:lang w:bidi="ar"/>
        </w:rPr>
        <w:t>——节能环保支出7,833万元。主要用于：</w:t>
      </w:r>
      <w:r>
        <w:rPr>
          <w:rFonts w:hint="eastAsia" w:ascii="方正仿宋_GBK" w:hAnsi="方正仿宋_GBK" w:cs="方正仿宋_GBK"/>
          <w:szCs w:val="32"/>
          <w:lang w:bidi="ar"/>
        </w:rPr>
        <w:t>保障生态环境等单位正常运转及履行职能。统筹实施环境污染防治、生态保护修复、绿色低碳发展和市容秩序整治，</w:t>
      </w:r>
      <w:r>
        <w:rPr>
          <w:rFonts w:ascii="方正仿宋_GBK" w:hAnsi="方正仿宋_GBK" w:cs="方正仿宋_GBK"/>
          <w:szCs w:val="32"/>
          <w:lang w:bidi="ar"/>
        </w:rPr>
        <w:t>果断高效</w:t>
      </w:r>
      <w:r>
        <w:rPr>
          <w:rFonts w:hint="eastAsia" w:ascii="方正仿宋_GBK" w:hAnsi="方正仿宋_GBK" w:cs="方正仿宋_GBK"/>
          <w:szCs w:val="32"/>
          <w:lang w:bidi="ar"/>
        </w:rPr>
        <w:t>处置“</w:t>
      </w:r>
      <w:r>
        <w:rPr>
          <w:rFonts w:eastAsia="仿宋" w:cs="Times New Roman"/>
          <w:szCs w:val="32"/>
          <w:lang w:bidi="ar"/>
        </w:rPr>
        <w:t>5.29</w:t>
      </w:r>
      <w:r>
        <w:rPr>
          <w:rFonts w:hint="eastAsia" w:ascii="方正仿宋_GBK" w:hAnsi="方正仿宋_GBK" w:cs="方正仿宋_GBK"/>
          <w:szCs w:val="32"/>
          <w:lang w:bidi="ar"/>
        </w:rPr>
        <w:t>”重油泄露污染事件</w:t>
      </w:r>
      <w:r>
        <w:rPr>
          <w:rFonts w:ascii="方正仿宋_GBK" w:hAnsi="方正仿宋_GBK" w:cs="方正仿宋_GBK"/>
          <w:szCs w:val="32"/>
          <w:lang w:bidi="ar"/>
        </w:rPr>
        <w:t>，</w:t>
      </w:r>
      <w:r>
        <w:rPr>
          <w:rFonts w:hint="eastAsia" w:ascii="方正仿宋_GBK" w:hAnsi="方正仿宋_GBK" w:cs="方正仿宋_GBK"/>
          <w:szCs w:val="32"/>
          <w:lang w:bidi="ar"/>
        </w:rPr>
        <w:t>重点支持</w:t>
      </w:r>
      <w:r>
        <w:rPr>
          <w:rFonts w:ascii="方正仿宋_GBK" w:hAnsi="方正仿宋_GBK" w:cs="方正仿宋_GBK"/>
          <w:szCs w:val="32"/>
          <w:lang w:bidi="ar"/>
        </w:rPr>
        <w:t>西大附中土污治理、居民楼公共烟道颗粒物集中治理等，确保中央环保督</w:t>
      </w:r>
      <w:r>
        <w:rPr>
          <w:rFonts w:hint="eastAsia" w:ascii="方正仿宋_GBK" w:hAnsi="方正仿宋_GBK" w:cs="方正仿宋_GBK"/>
          <w:szCs w:val="32"/>
          <w:lang w:eastAsia="zh-CN" w:bidi="ar"/>
        </w:rPr>
        <w:t>察</w:t>
      </w:r>
      <w:r>
        <w:rPr>
          <w:rFonts w:ascii="方正仿宋_GBK" w:hAnsi="方正仿宋_GBK" w:cs="方正仿宋_GBK"/>
          <w:szCs w:val="32"/>
          <w:lang w:bidi="ar"/>
        </w:rPr>
        <w:t>、市级环保督</w:t>
      </w:r>
      <w:r>
        <w:rPr>
          <w:rFonts w:hint="eastAsia" w:ascii="方正仿宋_GBK" w:hAnsi="方正仿宋_GBK" w:cs="方正仿宋_GBK"/>
          <w:szCs w:val="32"/>
          <w:lang w:eastAsia="zh-CN" w:bidi="ar"/>
        </w:rPr>
        <w:t>察</w:t>
      </w:r>
      <w:r>
        <w:rPr>
          <w:rFonts w:ascii="方正仿宋_GBK" w:hAnsi="方正仿宋_GBK" w:cs="方正仿宋_GBK"/>
          <w:szCs w:val="32"/>
          <w:lang w:bidi="ar"/>
        </w:rPr>
        <w:t>问题整改落实</w:t>
      </w:r>
      <w:r>
        <w:rPr>
          <w:rFonts w:hint="eastAsia" w:ascii="方正仿宋_GBK" w:hAnsi="方正仿宋_GBK" w:cs="方正仿宋_GBK"/>
          <w:szCs w:val="32"/>
          <w:lang w:bidi="ar"/>
        </w:rPr>
        <w:t>，筑牢全区生态保护屏障。</w:t>
      </w:r>
    </w:p>
    <w:p>
      <w:pPr>
        <w:spacing w:after="0"/>
        <w:ind w:firstLine="640"/>
        <w:rPr>
          <w:rFonts w:ascii="方正仿宋_GBK" w:hAnsi="方正仿宋_GBK" w:cs="方正仿宋_GBK"/>
          <w:szCs w:val="32"/>
          <w:lang w:bidi="ar"/>
        </w:rPr>
      </w:pPr>
      <w:r>
        <w:rPr>
          <w:rFonts w:cs="Times New Roman"/>
          <w:szCs w:val="32"/>
          <w:lang w:bidi="ar"/>
        </w:rPr>
        <w:t>——城乡社区支出29,505万元。主要用于：</w:t>
      </w:r>
      <w:r>
        <w:rPr>
          <w:rFonts w:hint="eastAsia" w:ascii="方正仿宋_GBK" w:hAnsi="方正仿宋_GBK" w:cs="方正仿宋_GBK"/>
          <w:szCs w:val="32"/>
          <w:lang w:bidi="ar"/>
        </w:rPr>
        <w:t>保障住建、城市管理等单位正常运转及履行职能。支持公园、绿地、道路</w:t>
      </w:r>
      <w:r>
        <w:rPr>
          <w:rFonts w:ascii="方正仿宋_GBK" w:hAnsi="方正仿宋_GBK" w:cs="方正仿宋_GBK"/>
          <w:szCs w:val="32"/>
          <w:lang w:bidi="ar"/>
        </w:rPr>
        <w:t>、桥梁</w:t>
      </w:r>
      <w:r>
        <w:rPr>
          <w:rFonts w:hint="eastAsia" w:ascii="方正仿宋_GBK" w:hAnsi="方正仿宋_GBK" w:cs="方正仿宋_GBK"/>
          <w:szCs w:val="32"/>
          <w:lang w:bidi="ar"/>
        </w:rPr>
        <w:t>等市政设施维修维护、老旧小区及燃气管道更新改造、城市排水设施</w:t>
      </w:r>
      <w:r>
        <w:rPr>
          <w:rFonts w:ascii="方正仿宋_GBK" w:hAnsi="方正仿宋_GBK" w:cs="方正仿宋_GBK"/>
          <w:szCs w:val="32"/>
          <w:lang w:bidi="ar"/>
        </w:rPr>
        <w:t>应急抢险及日常</w:t>
      </w:r>
      <w:r>
        <w:rPr>
          <w:rFonts w:hint="eastAsia" w:ascii="方正仿宋_GBK" w:hAnsi="方正仿宋_GBK" w:cs="方正仿宋_GBK"/>
          <w:szCs w:val="32"/>
          <w:lang w:bidi="ar"/>
        </w:rPr>
        <w:t>管护、实施垃圾分类收运，</w:t>
      </w:r>
      <w:r>
        <w:rPr>
          <w:rFonts w:ascii="方正仿宋_GBK" w:hAnsi="方正仿宋_GBK" w:cs="方正仿宋_GBK"/>
          <w:szCs w:val="32"/>
          <w:lang w:bidi="ar"/>
        </w:rPr>
        <w:t>重点支持城区绿色照明改造、停车泊位</w:t>
      </w:r>
      <w:r>
        <w:rPr>
          <w:rFonts w:hint="eastAsia" w:ascii="方正仿宋_GBK" w:hAnsi="方正仿宋_GBK" w:cs="方正仿宋_GBK"/>
          <w:szCs w:val="32"/>
          <w:lang w:bidi="ar"/>
        </w:rPr>
        <w:t>及</w:t>
      </w:r>
      <w:r>
        <w:rPr>
          <w:rFonts w:ascii="方正仿宋_GBK" w:hAnsi="方正仿宋_GBK" w:cs="方正仿宋_GBK"/>
          <w:szCs w:val="32"/>
          <w:lang w:bidi="ar"/>
        </w:rPr>
        <w:t>重钢五六厂片区道路整治</w:t>
      </w:r>
      <w:r>
        <w:rPr>
          <w:rFonts w:hint="eastAsia" w:ascii="方正仿宋_GBK" w:hAnsi="方正仿宋_GBK" w:cs="方正仿宋_GBK"/>
          <w:szCs w:val="32"/>
          <w:lang w:bidi="ar"/>
        </w:rPr>
        <w:t>等重点项目建设</w:t>
      </w:r>
      <w:r>
        <w:rPr>
          <w:rFonts w:ascii="方正仿宋_GBK" w:hAnsi="方正仿宋_GBK" w:cs="方正仿宋_GBK"/>
          <w:szCs w:val="32"/>
          <w:lang w:bidi="ar"/>
        </w:rPr>
        <w:t>。</w:t>
      </w:r>
    </w:p>
    <w:p>
      <w:pPr>
        <w:spacing w:after="0"/>
        <w:ind w:firstLine="640"/>
        <w:rPr>
          <w:rFonts w:cs="Times New Roman"/>
          <w:szCs w:val="32"/>
          <w:lang w:bidi="ar"/>
        </w:rPr>
      </w:pPr>
      <w:r>
        <w:rPr>
          <w:rFonts w:cs="Times New Roman"/>
          <w:szCs w:val="32"/>
          <w:lang w:bidi="ar"/>
        </w:rPr>
        <w:t>——</w:t>
      </w:r>
      <w:r>
        <w:rPr>
          <w:rFonts w:ascii="方正仿宋_GBK" w:hAnsi="方正仿宋_GBK" w:cs="方正仿宋_GBK"/>
          <w:szCs w:val="32"/>
          <w:lang w:bidi="ar"/>
        </w:rPr>
        <w:t>农林水支出</w:t>
      </w:r>
      <w:r>
        <w:rPr>
          <w:rFonts w:cs="Times New Roman"/>
          <w:szCs w:val="32"/>
          <w:lang w:bidi="ar"/>
        </w:rPr>
        <w:t>16,371万元。</w:t>
      </w:r>
      <w:r>
        <w:rPr>
          <w:rFonts w:hint="eastAsia" w:ascii="方正仿宋_GBK" w:hAnsi="方正仿宋_GBK" w:cs="方正仿宋_GBK"/>
          <w:szCs w:val="32"/>
          <w:lang w:bidi="ar"/>
        </w:rPr>
        <w:t>主要用于</w:t>
      </w:r>
      <w:r>
        <w:rPr>
          <w:rFonts w:cs="Times New Roman"/>
          <w:szCs w:val="32"/>
          <w:lang w:bidi="ar"/>
        </w:rPr>
        <w:t>：保障</w:t>
      </w:r>
      <w:r>
        <w:rPr>
          <w:rFonts w:hint="eastAsia" w:ascii="方正仿宋_GBK" w:hAnsi="方正仿宋_GBK" w:cs="方正仿宋_GBK"/>
          <w:szCs w:val="32"/>
          <w:lang w:bidi="ar"/>
        </w:rPr>
        <w:t>农业农村等单位正常运转及履行职能。支持农业产业发展，开展森林防火防虫、国土绿化、林地调查、水旱灾害防御、河道清理及河长定期巡</w:t>
      </w:r>
      <w:r>
        <w:rPr>
          <w:rFonts w:cs="Times New Roman"/>
          <w:szCs w:val="32"/>
          <w:lang w:bidi="ar"/>
        </w:rPr>
        <w:t>查、农业</w:t>
      </w:r>
      <w:r>
        <w:rPr>
          <w:rFonts w:hint="eastAsia" w:ascii="方正仿宋_GBK" w:hAnsi="方正仿宋_GBK" w:cs="方正仿宋_GBK"/>
          <w:szCs w:val="32"/>
          <w:lang w:bidi="ar"/>
        </w:rPr>
        <w:t>综合执法。支持农业优势特色产业发展，强化品牌农业建设，</w:t>
      </w:r>
      <w:r>
        <w:rPr>
          <w:rFonts w:cs="Times New Roman"/>
          <w:szCs w:val="32"/>
          <w:lang w:bidi="ar"/>
        </w:rPr>
        <w:t>加快推进巴渝和美乡村建设。</w:t>
      </w:r>
    </w:p>
    <w:p>
      <w:pPr>
        <w:spacing w:after="0"/>
        <w:ind w:firstLine="640"/>
        <w:rPr>
          <w:rFonts w:cs="Times New Roman"/>
          <w:szCs w:val="32"/>
          <w:lang w:bidi="ar"/>
        </w:rPr>
      </w:pPr>
      <w:r>
        <w:rPr>
          <w:rFonts w:cs="Times New Roman"/>
          <w:szCs w:val="32"/>
          <w:lang w:bidi="ar"/>
        </w:rPr>
        <w:t>——交通运输支出2,393万元。主要用于：保障</w:t>
      </w:r>
      <w:r>
        <w:rPr>
          <w:rFonts w:hint="eastAsia" w:cs="Times New Roman"/>
          <w:szCs w:val="32"/>
          <w:lang w:bidi="ar"/>
        </w:rPr>
        <w:t>交通运输</w:t>
      </w:r>
      <w:r>
        <w:rPr>
          <w:rFonts w:cs="Times New Roman"/>
          <w:szCs w:val="32"/>
          <w:lang w:bidi="ar"/>
        </w:rPr>
        <w:t>等单位正常运转及</w:t>
      </w:r>
      <w:r>
        <w:rPr>
          <w:rFonts w:hint="eastAsia" w:ascii="方正仿宋_GBK" w:hAnsi="方正仿宋_GBK" w:cs="方正仿宋_GBK"/>
          <w:szCs w:val="32"/>
          <w:lang w:bidi="ar"/>
        </w:rPr>
        <w:t>履行职能</w:t>
      </w:r>
      <w:r>
        <w:rPr>
          <w:rFonts w:cs="Times New Roman"/>
          <w:szCs w:val="32"/>
          <w:lang w:bidi="ar"/>
        </w:rPr>
        <w:t>。重点保</w:t>
      </w:r>
      <w:r>
        <w:rPr>
          <w:rFonts w:hint="eastAsia" w:cs="Times New Roman"/>
          <w:szCs w:val="32"/>
          <w:lang w:bidi="ar"/>
        </w:rPr>
        <w:t>障</w:t>
      </w:r>
      <w:r>
        <w:rPr>
          <w:rFonts w:hint="eastAsia" w:ascii="方正仿宋_GBK" w:hAnsi="方正仿宋_GBK" w:cs="方正仿宋_GBK"/>
          <w:szCs w:val="32"/>
          <w:lang w:bidi="ar"/>
        </w:rPr>
        <w:t>“</w:t>
      </w:r>
      <w:r>
        <w:rPr>
          <w:rFonts w:hint="eastAsia" w:cs="Times New Roman"/>
          <w:szCs w:val="32"/>
          <w:lang w:bidi="ar"/>
        </w:rPr>
        <w:t>畅行交通</w:t>
      </w:r>
      <w:r>
        <w:rPr>
          <w:rFonts w:hint="eastAsia" w:ascii="方正仿宋_GBK" w:hAnsi="方正仿宋_GBK" w:cs="方正仿宋_GBK"/>
          <w:szCs w:val="32"/>
          <w:lang w:bidi="ar"/>
        </w:rPr>
        <w:t>”</w:t>
      </w:r>
      <w:r>
        <w:rPr>
          <w:rFonts w:hint="eastAsia" w:cs="Times New Roman"/>
          <w:szCs w:val="32"/>
          <w:lang w:bidi="ar"/>
        </w:rPr>
        <w:t>打造，全面提升公路、铁路、水路</w:t>
      </w:r>
      <w:r>
        <w:rPr>
          <w:rFonts w:hint="eastAsia" w:ascii="方正仿宋_GBK" w:hAnsi="方正仿宋_GBK" w:cs="方正仿宋_GBK"/>
          <w:szCs w:val="32"/>
          <w:lang w:bidi="ar"/>
        </w:rPr>
        <w:t>“</w:t>
      </w:r>
      <w:r>
        <w:rPr>
          <w:rFonts w:hint="eastAsia" w:cs="Times New Roman"/>
          <w:szCs w:val="32"/>
          <w:lang w:bidi="ar"/>
        </w:rPr>
        <w:t>三位一体</w:t>
      </w:r>
      <w:r>
        <w:rPr>
          <w:rFonts w:hint="eastAsia" w:ascii="方正仿宋_GBK" w:hAnsi="方正仿宋_GBK" w:cs="方正仿宋_GBK"/>
          <w:szCs w:val="32"/>
          <w:lang w:bidi="ar"/>
        </w:rPr>
        <w:t>”</w:t>
      </w:r>
      <w:r>
        <w:rPr>
          <w:rFonts w:hint="eastAsia" w:cs="Times New Roman"/>
          <w:szCs w:val="32"/>
          <w:lang w:bidi="ar"/>
        </w:rPr>
        <w:t>交通</w:t>
      </w:r>
      <w:r>
        <w:rPr>
          <w:rFonts w:cs="Times New Roman"/>
          <w:szCs w:val="32"/>
          <w:lang w:bidi="ar"/>
        </w:rPr>
        <w:t>服务能力，</w:t>
      </w:r>
      <w:r>
        <w:rPr>
          <w:rFonts w:hint="eastAsia" w:cs="Times New Roman"/>
          <w:szCs w:val="32"/>
          <w:lang w:bidi="ar"/>
        </w:rPr>
        <w:t>陶家隧道、双山隧道至五台山立交改造工程等对外大交通</w:t>
      </w:r>
      <w:r>
        <w:rPr>
          <w:rFonts w:hint="eastAsia" w:ascii="1Times New Roman" w:hAnsi="1Times New Roman"/>
          <w:color w:val="000000"/>
          <w:kern w:val="0"/>
          <w:szCs w:val="32"/>
        </w:rPr>
        <w:t>提速</w:t>
      </w:r>
      <w:r>
        <w:rPr>
          <w:rFonts w:hint="eastAsia" w:cs="Times New Roman"/>
          <w:szCs w:val="32"/>
          <w:lang w:bidi="ar"/>
        </w:rPr>
        <w:t>建设，成渝铁路改造项目扎实推进，</w:t>
      </w:r>
      <w:r>
        <w:rPr>
          <w:rFonts w:hint="eastAsia" w:ascii="方正仿宋_GBK" w:cs="Times New Roman"/>
          <w:szCs w:val="32"/>
          <w:lang w:bidi="ar"/>
        </w:rPr>
        <w:t>“</w:t>
      </w:r>
      <w:r>
        <w:rPr>
          <w:rFonts w:hint="eastAsia" w:cs="Times New Roman"/>
          <w:szCs w:val="32"/>
          <w:lang w:bidi="ar"/>
        </w:rPr>
        <w:t>九纵九横</w:t>
      </w:r>
      <w:r>
        <w:rPr>
          <w:rFonts w:hint="eastAsia" w:ascii="方正仿宋_GBK" w:cs="Times New Roman"/>
          <w:szCs w:val="32"/>
          <w:lang w:bidi="ar"/>
        </w:rPr>
        <w:t>”</w:t>
      </w:r>
      <w:r>
        <w:rPr>
          <w:rFonts w:hint="eastAsia" w:cs="Times New Roman"/>
          <w:szCs w:val="32"/>
          <w:lang w:bidi="ar"/>
        </w:rPr>
        <w:t>骨架路网基本成型</w:t>
      </w:r>
      <w:r>
        <w:rPr>
          <w:rFonts w:cs="Times New Roman"/>
          <w:szCs w:val="32"/>
          <w:lang w:bidi="ar"/>
        </w:rPr>
        <w:t>。强化交通执法和行业污染防治，落实小巷公交营运补贴及农村客运保险，维护交通运输行业安全稳定。</w:t>
      </w:r>
    </w:p>
    <w:p>
      <w:pPr>
        <w:spacing w:after="0"/>
        <w:ind w:firstLine="640"/>
        <w:rPr>
          <w:rFonts w:cs="Times New Roman"/>
          <w:szCs w:val="32"/>
          <w:lang w:bidi="ar"/>
        </w:rPr>
      </w:pPr>
      <w:r>
        <w:rPr>
          <w:rFonts w:cs="Times New Roman"/>
          <w:szCs w:val="32"/>
          <w:lang w:bidi="ar"/>
        </w:rPr>
        <w:t>——资源勘探信息等支出10,553万元。主要用于：提升智能产业及新兴产业服务能力建设，支持企业产业链核心环节投资项目、技术创新、重大技术装备攻关及创新示范智能工厂建设。助力重庆小面品牌推广，支持食品及农产品行业创新生态体系建设、先进制造业和现代服务业发展、大规模设备更新改造。</w:t>
      </w:r>
    </w:p>
    <w:p>
      <w:pPr>
        <w:spacing w:after="0"/>
        <w:ind w:firstLine="640"/>
        <w:rPr>
          <w:rFonts w:cs="Times New Roman"/>
          <w:szCs w:val="32"/>
          <w:lang w:bidi="ar"/>
        </w:rPr>
      </w:pPr>
      <w:r>
        <w:rPr>
          <w:rFonts w:cs="Times New Roman"/>
          <w:szCs w:val="32"/>
          <w:lang w:bidi="ar"/>
        </w:rPr>
        <w:t>——商业服务业支出412万元。主要用于：开展商贸行业规划编制，支持企业出海拓展市场、外贸转型升级，</w:t>
      </w:r>
      <w:r>
        <w:rPr>
          <w:rFonts w:hint="eastAsia" w:cs="Times New Roman"/>
          <w:szCs w:val="32"/>
          <w:lang w:bidi="ar"/>
        </w:rPr>
        <w:t>助力</w:t>
      </w:r>
      <w:r>
        <w:rPr>
          <w:rFonts w:cs="Times New Roman"/>
          <w:szCs w:val="32"/>
          <w:lang w:bidi="ar"/>
        </w:rPr>
        <w:t>小面产业成功出海。</w:t>
      </w:r>
      <w:r>
        <w:rPr>
          <w:rFonts w:hint="eastAsia" w:cs="Times New Roman"/>
          <w:szCs w:val="32"/>
          <w:lang w:bidi="ar"/>
        </w:rPr>
        <w:t>重庆小面入选国家级</w:t>
      </w:r>
      <w:r>
        <w:rPr>
          <w:rFonts w:hint="eastAsia" w:ascii="方正仿宋_GBK" w:cs="Times New Roman"/>
          <w:szCs w:val="32"/>
          <w:lang w:bidi="ar"/>
        </w:rPr>
        <w:t>“</w:t>
      </w:r>
      <w:r>
        <w:rPr>
          <w:rFonts w:hint="eastAsia" w:cs="Times New Roman"/>
          <w:szCs w:val="32"/>
          <w:lang w:bidi="ar"/>
        </w:rPr>
        <w:t>重点地方特色食品产业集群</w:t>
      </w:r>
      <w:r>
        <w:rPr>
          <w:rFonts w:hint="eastAsia" w:ascii="方正仿宋_GBK" w:cs="Times New Roman"/>
          <w:szCs w:val="32"/>
          <w:lang w:bidi="ar"/>
        </w:rPr>
        <w:t>”“</w:t>
      </w:r>
      <w:r>
        <w:rPr>
          <w:rFonts w:hint="eastAsia" w:cs="Times New Roman"/>
          <w:szCs w:val="32"/>
          <w:lang w:bidi="ar"/>
        </w:rPr>
        <w:t>农业优势特色产业集群</w:t>
      </w:r>
      <w:r>
        <w:rPr>
          <w:rFonts w:hint="eastAsia" w:ascii="方正仿宋_GBK" w:cs="Times New Roman"/>
          <w:szCs w:val="32"/>
          <w:lang w:bidi="ar"/>
        </w:rPr>
        <w:t>”</w:t>
      </w:r>
      <w:r>
        <w:rPr>
          <w:rFonts w:hint="eastAsia" w:cs="Times New Roman"/>
          <w:szCs w:val="32"/>
          <w:lang w:bidi="ar"/>
        </w:rPr>
        <w:t>。支持创建市级优质类</w:t>
      </w:r>
      <w:r>
        <w:rPr>
          <w:rFonts w:hint="eastAsia" w:ascii="方正仿宋_GBK" w:cs="Times New Roman"/>
          <w:szCs w:val="32"/>
          <w:lang w:bidi="ar"/>
        </w:rPr>
        <w:t>“</w:t>
      </w:r>
      <w:r>
        <w:rPr>
          <w:rFonts w:cs="Times New Roman"/>
          <w:szCs w:val="32"/>
          <w:lang w:bidi="ar"/>
        </w:rPr>
        <w:t>一刻钟便民生活圈</w:t>
      </w:r>
      <w:r>
        <w:rPr>
          <w:rFonts w:hint="eastAsia" w:ascii="方正仿宋_GBK" w:cs="Times New Roman"/>
          <w:szCs w:val="32"/>
          <w:lang w:bidi="ar"/>
        </w:rPr>
        <w:t>”</w:t>
      </w:r>
      <w:r>
        <w:rPr>
          <w:rFonts w:cs="Times New Roman"/>
          <w:szCs w:val="32"/>
          <w:lang w:bidi="ar"/>
        </w:rPr>
        <w:t>3</w:t>
      </w:r>
      <w:r>
        <w:rPr>
          <w:rFonts w:hint="eastAsia" w:cs="Times New Roman"/>
          <w:szCs w:val="32"/>
          <w:lang w:bidi="ar"/>
        </w:rPr>
        <w:t>个。</w:t>
      </w:r>
      <w:r>
        <w:rPr>
          <w:rFonts w:cs="Times New Roman"/>
          <w:szCs w:val="32"/>
          <w:lang w:bidi="ar"/>
        </w:rPr>
        <w:t>助力中交公元时光等商业设施升级改造，促进</w:t>
      </w:r>
      <w:r>
        <w:rPr>
          <w:rFonts w:hint="eastAsia" w:cs="Times New Roman"/>
          <w:szCs w:val="32"/>
          <w:lang w:bidi="ar"/>
        </w:rPr>
        <w:t>区</w:t>
      </w:r>
      <w:r>
        <w:rPr>
          <w:rFonts w:cs="Times New Roman"/>
          <w:szCs w:val="32"/>
          <w:lang w:bidi="ar"/>
        </w:rPr>
        <w:t>域商业扩容提质发展。</w:t>
      </w:r>
    </w:p>
    <w:p>
      <w:pPr>
        <w:spacing w:after="0"/>
        <w:ind w:firstLine="640"/>
        <w:rPr>
          <w:rFonts w:cs="Times New Roman"/>
          <w:szCs w:val="32"/>
          <w:lang w:bidi="ar"/>
        </w:rPr>
      </w:pPr>
      <w:r>
        <w:rPr>
          <w:rFonts w:cs="Times New Roman"/>
          <w:szCs w:val="32"/>
          <w:lang w:bidi="ar"/>
        </w:rPr>
        <w:t>——自然资源海洋气象支出1,673万元。主要用于：保障自然资源等公益服务事业方面支出。支持金鳌片区农田灌溉与排水工程建设、耕地保护及地力提升、罗家槽</w:t>
      </w:r>
      <w:r>
        <w:rPr>
          <w:rFonts w:hint="eastAsia" w:cs="Times New Roman"/>
          <w:szCs w:val="32"/>
          <w:lang w:bidi="ar"/>
        </w:rPr>
        <w:t>等</w:t>
      </w:r>
      <w:r>
        <w:rPr>
          <w:rFonts w:cs="Times New Roman"/>
          <w:szCs w:val="32"/>
          <w:lang w:bidi="ar"/>
        </w:rPr>
        <w:t>石灰石矿山生态保护修复，支持永久基本农田管护，保障粮食安全，提升自然资源管理能力。</w:t>
      </w:r>
    </w:p>
    <w:p>
      <w:pPr>
        <w:spacing w:after="0"/>
        <w:ind w:firstLine="640"/>
        <w:rPr>
          <w:rFonts w:cs="Times New Roman"/>
          <w:szCs w:val="32"/>
          <w:lang w:bidi="ar"/>
        </w:rPr>
      </w:pPr>
      <w:r>
        <w:rPr>
          <w:rFonts w:cs="Times New Roman"/>
          <w:szCs w:val="32"/>
          <w:lang w:bidi="ar"/>
        </w:rPr>
        <w:t>——住房保障支出17,568万元。主要用于：</w:t>
      </w:r>
      <w:r>
        <w:rPr>
          <w:rFonts w:hint="eastAsia" w:cs="Times New Roman"/>
          <w:szCs w:val="32"/>
          <w:lang w:bidi="ar"/>
        </w:rPr>
        <w:t>保障</w:t>
      </w:r>
      <w:r>
        <w:rPr>
          <w:rFonts w:cs="Times New Roman"/>
          <w:szCs w:val="32"/>
          <w:lang w:bidi="ar"/>
        </w:rPr>
        <w:t>老旧小区改造</w:t>
      </w:r>
      <w:r>
        <w:rPr>
          <w:rFonts w:hint="eastAsia" w:cs="Times New Roman"/>
          <w:szCs w:val="32"/>
          <w:lang w:bidi="ar"/>
        </w:rPr>
        <w:t>、</w:t>
      </w:r>
      <w:r>
        <w:rPr>
          <w:rFonts w:cs="Times New Roman"/>
          <w:szCs w:val="32"/>
          <w:lang w:bidi="ar"/>
        </w:rPr>
        <w:t>保障性住房建设等方面支出。落实购房补贴政策，支持住房租赁市场发展，实施配售型保障性住房建设，确保房地产领域风险可控</w:t>
      </w:r>
      <w:r>
        <w:rPr>
          <w:rFonts w:hint="eastAsia" w:cs="Times New Roman"/>
          <w:szCs w:val="32"/>
          <w:lang w:bidi="ar"/>
        </w:rPr>
        <w:t>。</w:t>
      </w:r>
      <w:r>
        <w:rPr>
          <w:rFonts w:cs="Times New Roman"/>
          <w:szCs w:val="32"/>
          <w:lang w:bidi="ar"/>
        </w:rPr>
        <w:t>开展跃进村、茄子溪等</w:t>
      </w:r>
      <w:r>
        <w:rPr>
          <w:rFonts w:hint="eastAsia" w:cs="Times New Roman"/>
          <w:szCs w:val="32"/>
          <w:lang w:bidi="ar"/>
        </w:rPr>
        <w:t>片区</w:t>
      </w:r>
      <w:r>
        <w:rPr>
          <w:rFonts w:cs="Times New Roman"/>
          <w:szCs w:val="32"/>
          <w:lang w:bidi="ar"/>
        </w:rPr>
        <w:t>雨污管网综合整治</w:t>
      </w:r>
      <w:r>
        <w:rPr>
          <w:rFonts w:hint="eastAsia" w:cs="Times New Roman"/>
          <w:szCs w:val="32"/>
          <w:lang w:bidi="ar"/>
        </w:rPr>
        <w:t>，</w:t>
      </w:r>
      <w:r>
        <w:rPr>
          <w:rFonts w:cs="Times New Roman"/>
          <w:szCs w:val="32"/>
          <w:lang w:bidi="ar"/>
        </w:rPr>
        <w:t>支持</w:t>
      </w:r>
      <w:r>
        <w:rPr>
          <w:rFonts w:hint="eastAsia" w:cs="Times New Roman"/>
          <w:szCs w:val="32"/>
          <w:lang w:bidi="ar"/>
        </w:rPr>
        <w:t>推进五一互助、民新民乐片区城中村改造。</w:t>
      </w:r>
    </w:p>
    <w:p>
      <w:pPr>
        <w:spacing w:after="0"/>
        <w:ind w:firstLine="640"/>
        <w:rPr>
          <w:rFonts w:eastAsia="方正楷体_GBK" w:cs="方正楷体_GBK"/>
          <w:szCs w:val="32"/>
        </w:rPr>
      </w:pPr>
      <w:r>
        <w:rPr>
          <w:rFonts w:hint="eastAsia" w:eastAsia="方正楷体_GBK" w:cs="方正楷体_GBK"/>
          <w:szCs w:val="32"/>
        </w:rPr>
        <w:t>（二）政府性基金预算执行情况</w:t>
      </w:r>
    </w:p>
    <w:p>
      <w:pPr>
        <w:spacing w:after="0"/>
        <w:ind w:firstLine="643"/>
        <w:rPr>
          <w:rFonts w:cs="Times New Roman"/>
          <w:szCs w:val="32"/>
        </w:rPr>
      </w:pPr>
      <w:r>
        <w:rPr>
          <w:rFonts w:cs="Times New Roman"/>
          <w:b/>
          <w:bCs/>
          <w:szCs w:val="32"/>
        </w:rPr>
        <w:t>1.收入执行情况。</w:t>
      </w:r>
      <w:r>
        <w:rPr>
          <w:rFonts w:cs="Times New Roman"/>
          <w:szCs w:val="32"/>
        </w:rPr>
        <w:t>收入总计732</w:t>
      </w:r>
      <w:r>
        <w:rPr>
          <w:rFonts w:hint="eastAsia" w:cs="Times New Roman"/>
          <w:szCs w:val="32"/>
        </w:rPr>
        <w:t>,</w:t>
      </w:r>
      <w:r>
        <w:rPr>
          <w:rFonts w:cs="Times New Roman"/>
          <w:szCs w:val="32"/>
        </w:rPr>
        <w:t>033万元，具体组成：本级收入37万元</w:t>
      </w:r>
      <w:r>
        <w:rPr>
          <w:rFonts w:hint="eastAsia" w:cs="Times New Roman"/>
          <w:szCs w:val="32"/>
        </w:rPr>
        <w:t>；</w:t>
      </w:r>
      <w:r>
        <w:rPr>
          <w:rFonts w:cs="Times New Roman"/>
          <w:szCs w:val="32"/>
        </w:rPr>
        <w:t>上级补助收入541,156万元；债务转贷收入164,700万元；上年结转26</w:t>
      </w:r>
      <w:r>
        <w:rPr>
          <w:rFonts w:hint="eastAsia" w:cs="Times New Roman"/>
          <w:szCs w:val="32"/>
        </w:rPr>
        <w:t>,</w:t>
      </w:r>
      <w:r>
        <w:rPr>
          <w:rFonts w:cs="Times New Roman"/>
          <w:szCs w:val="32"/>
        </w:rPr>
        <w:t>140万元。</w:t>
      </w:r>
    </w:p>
    <w:p>
      <w:pPr>
        <w:spacing w:after="0"/>
        <w:ind w:firstLine="643"/>
        <w:rPr>
          <w:rFonts w:cs="Times New Roman"/>
          <w:szCs w:val="32"/>
        </w:rPr>
      </w:pPr>
      <w:r>
        <w:rPr>
          <w:rFonts w:cs="Times New Roman"/>
          <w:b/>
          <w:bCs/>
          <w:szCs w:val="32"/>
        </w:rPr>
        <w:t>2.支出执行情况。</w:t>
      </w:r>
      <w:r>
        <w:rPr>
          <w:rFonts w:cs="Times New Roman"/>
          <w:szCs w:val="32"/>
        </w:rPr>
        <w:t>支出总计732</w:t>
      </w:r>
      <w:r>
        <w:rPr>
          <w:rFonts w:hint="eastAsia" w:cs="Times New Roman"/>
          <w:szCs w:val="32"/>
        </w:rPr>
        <w:t>,</w:t>
      </w:r>
      <w:r>
        <w:rPr>
          <w:rFonts w:cs="Times New Roman"/>
          <w:szCs w:val="32"/>
        </w:rPr>
        <w:t>033万元，具体组成：本级支出579</w:t>
      </w:r>
      <w:r>
        <w:rPr>
          <w:rFonts w:hint="eastAsia" w:cs="Times New Roman"/>
          <w:szCs w:val="32"/>
        </w:rPr>
        <w:t>,</w:t>
      </w:r>
      <w:r>
        <w:rPr>
          <w:rFonts w:cs="Times New Roman"/>
          <w:szCs w:val="32"/>
        </w:rPr>
        <w:t>547万元；上解上级支出134万元；调出资金21,970万元；</w:t>
      </w:r>
      <w:r>
        <w:rPr>
          <w:rFonts w:hint="eastAsia" w:cs="Times New Roman"/>
          <w:szCs w:val="32"/>
        </w:rPr>
        <w:t>债务还本支出</w:t>
      </w:r>
      <w:r>
        <w:rPr>
          <w:rFonts w:cs="Times New Roman"/>
          <w:szCs w:val="32"/>
        </w:rPr>
        <w:t>109</w:t>
      </w:r>
      <w:r>
        <w:rPr>
          <w:rFonts w:hint="eastAsia" w:cs="Times New Roman"/>
          <w:szCs w:val="32"/>
        </w:rPr>
        <w:t>,</w:t>
      </w:r>
      <w:r>
        <w:rPr>
          <w:rFonts w:cs="Times New Roman"/>
          <w:szCs w:val="32"/>
        </w:rPr>
        <w:t>000</w:t>
      </w:r>
      <w:r>
        <w:rPr>
          <w:rFonts w:hint="eastAsia" w:cs="Times New Roman"/>
          <w:szCs w:val="32"/>
        </w:rPr>
        <w:t>万元；</w:t>
      </w:r>
      <w:r>
        <w:rPr>
          <w:rFonts w:cs="Times New Roman"/>
          <w:szCs w:val="32"/>
        </w:rPr>
        <w:t>结转下年21</w:t>
      </w:r>
      <w:r>
        <w:rPr>
          <w:rFonts w:hint="eastAsia" w:cs="Times New Roman"/>
          <w:szCs w:val="32"/>
        </w:rPr>
        <w:t>,</w:t>
      </w:r>
      <w:r>
        <w:rPr>
          <w:rFonts w:cs="Times New Roman"/>
          <w:szCs w:val="32"/>
        </w:rPr>
        <w:t>382万元。</w:t>
      </w:r>
    </w:p>
    <w:p>
      <w:pPr>
        <w:pStyle w:val="7"/>
        <w:spacing w:after="0"/>
        <w:ind w:firstLine="640"/>
        <w:jc w:val="center"/>
        <w:rPr>
          <w:rFonts w:eastAsia="方正黑体_GBK" w:cs="方正黑体_GBK"/>
        </w:rPr>
      </w:pPr>
      <w:r>
        <w:rPr>
          <w:rFonts w:eastAsia="方正黑体_GBK"/>
        </w:rPr>
        <w:t>2024</w:t>
      </w:r>
      <w:r>
        <w:rPr>
          <w:rFonts w:hint="eastAsia" w:eastAsia="方正黑体_GBK" w:cs="方正黑体_GBK"/>
        </w:rPr>
        <w:t>年全区政府性基金预算收支平衡表</w:t>
      </w:r>
    </w:p>
    <w:p>
      <w:pPr>
        <w:pStyle w:val="7"/>
        <w:spacing w:after="0" w:line="240" w:lineRule="auto"/>
        <w:ind w:firstLine="420"/>
        <w:jc w:val="right"/>
        <w:rPr>
          <w:rFonts w:eastAsiaTheme="minorEastAsia" w:cstheme="minorEastAsia"/>
          <w:sz w:val="21"/>
          <w:szCs w:val="21"/>
        </w:rPr>
      </w:pPr>
      <w:r>
        <w:rPr>
          <w:rFonts w:hint="eastAsia" w:eastAsiaTheme="minorEastAsia" w:cstheme="minorEastAsia"/>
          <w:sz w:val="21"/>
          <w:szCs w:val="21"/>
        </w:rPr>
        <w:t>单位：万元</w:t>
      </w:r>
    </w:p>
    <w:tbl>
      <w:tblPr>
        <w:tblStyle w:val="15"/>
        <w:tblW w:w="8963" w:type="dxa"/>
        <w:jc w:val="center"/>
        <w:tblLayout w:type="fixed"/>
        <w:tblCellMar>
          <w:top w:w="0" w:type="dxa"/>
          <w:left w:w="0" w:type="dxa"/>
          <w:bottom w:w="0" w:type="dxa"/>
          <w:right w:w="0" w:type="dxa"/>
        </w:tblCellMar>
      </w:tblPr>
      <w:tblGrid>
        <w:gridCol w:w="3021"/>
        <w:gridCol w:w="1453"/>
        <w:gridCol w:w="3053"/>
        <w:gridCol w:w="1436"/>
      </w:tblGrid>
      <w:tr>
        <w:tblPrEx>
          <w:tblCellMar>
            <w:top w:w="0" w:type="dxa"/>
            <w:left w:w="0" w:type="dxa"/>
            <w:bottom w:w="0" w:type="dxa"/>
            <w:right w:w="0" w:type="dxa"/>
          </w:tblCellMar>
        </w:tblPrEx>
        <w:trPr>
          <w:trHeight w:val="531" w:hRule="exact"/>
          <w:tblHeader/>
          <w:jc w:val="center"/>
        </w:trPr>
        <w:tc>
          <w:tcPr>
            <w:tcW w:w="3021"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收    入</w:t>
            </w:r>
          </w:p>
        </w:tc>
        <w:tc>
          <w:tcPr>
            <w:tcW w:w="14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执行数</w:t>
            </w:r>
          </w:p>
        </w:tc>
        <w:tc>
          <w:tcPr>
            <w:tcW w:w="30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支    出</w:t>
            </w:r>
          </w:p>
        </w:tc>
        <w:tc>
          <w:tcPr>
            <w:tcW w:w="1436"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执行数</w:t>
            </w:r>
          </w:p>
        </w:tc>
      </w:tr>
      <w:tr>
        <w:tblPrEx>
          <w:tblCellMar>
            <w:top w:w="0" w:type="dxa"/>
            <w:left w:w="0" w:type="dxa"/>
            <w:bottom w:w="0" w:type="dxa"/>
            <w:right w:w="0" w:type="dxa"/>
          </w:tblCellMar>
        </w:tblPrEx>
        <w:trPr>
          <w:trHeight w:val="531" w:hRule="exact"/>
          <w:jc w:val="center"/>
        </w:trPr>
        <w:tc>
          <w:tcPr>
            <w:tcW w:w="3021"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4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2"/>
              <w:jc w:val="right"/>
              <w:rPr>
                <w:sz w:val="22"/>
              </w:rPr>
            </w:pPr>
            <w:r>
              <w:rPr>
                <w:rFonts w:eastAsia="宋体"/>
                <w:b/>
                <w:bCs/>
                <w:sz w:val="22"/>
                <w:lang w:bidi="ar"/>
              </w:rPr>
              <w:t>732,033</w:t>
            </w:r>
          </w:p>
        </w:tc>
        <w:tc>
          <w:tcPr>
            <w:tcW w:w="30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436"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widowControl/>
              <w:ind w:firstLine="442"/>
              <w:jc w:val="right"/>
              <w:textAlignment w:val="center"/>
              <w:rPr>
                <w:sz w:val="22"/>
              </w:rPr>
            </w:pPr>
            <w:r>
              <w:rPr>
                <w:rFonts w:eastAsia="宋体" w:cs="Times New Roman"/>
                <w:b/>
                <w:bCs/>
                <w:kern w:val="0"/>
                <w:sz w:val="22"/>
                <w:lang w:bidi="ar"/>
              </w:rPr>
              <w:t>732,033</w:t>
            </w:r>
          </w:p>
        </w:tc>
      </w:tr>
      <w:tr>
        <w:tblPrEx>
          <w:tblCellMar>
            <w:top w:w="0" w:type="dxa"/>
            <w:left w:w="0" w:type="dxa"/>
            <w:bottom w:w="0" w:type="dxa"/>
            <w:right w:w="0" w:type="dxa"/>
          </w:tblCellMar>
        </w:tblPrEx>
        <w:trPr>
          <w:trHeight w:val="531" w:hRule="exact"/>
          <w:jc w:val="center"/>
        </w:trPr>
        <w:tc>
          <w:tcPr>
            <w:tcW w:w="3021"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一、本级收入</w:t>
            </w:r>
          </w:p>
        </w:tc>
        <w:tc>
          <w:tcPr>
            <w:tcW w:w="14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37</w:t>
            </w:r>
          </w:p>
        </w:tc>
        <w:tc>
          <w:tcPr>
            <w:tcW w:w="30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一、本级支出</w:t>
            </w:r>
          </w:p>
        </w:tc>
        <w:tc>
          <w:tcPr>
            <w:tcW w:w="1436"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widowControl/>
              <w:ind w:firstLine="440"/>
              <w:jc w:val="right"/>
              <w:textAlignment w:val="center"/>
              <w:rPr>
                <w:sz w:val="22"/>
              </w:rPr>
            </w:pPr>
            <w:r>
              <w:rPr>
                <w:rFonts w:eastAsia="宋体" w:cs="Times New Roman"/>
                <w:kern w:val="0"/>
                <w:sz w:val="22"/>
                <w:lang w:bidi="ar"/>
              </w:rPr>
              <w:t>579,547</w:t>
            </w:r>
          </w:p>
        </w:tc>
      </w:tr>
      <w:tr>
        <w:trPr>
          <w:trHeight w:val="531" w:hRule="exact"/>
          <w:jc w:val="center"/>
        </w:trPr>
        <w:tc>
          <w:tcPr>
            <w:tcW w:w="3021"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二、转移性收入</w:t>
            </w:r>
          </w:p>
        </w:tc>
        <w:tc>
          <w:tcPr>
            <w:tcW w:w="14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widowControl/>
              <w:ind w:firstLine="440"/>
              <w:jc w:val="right"/>
              <w:textAlignment w:val="center"/>
              <w:rPr>
                <w:rFonts w:eastAsia="宋体" w:cs="Times New Roman"/>
                <w:sz w:val="22"/>
              </w:rPr>
            </w:pPr>
            <w:r>
              <w:rPr>
                <w:rFonts w:eastAsia="宋体" w:cs="Times New Roman"/>
                <w:kern w:val="0"/>
                <w:sz w:val="22"/>
                <w:lang w:bidi="ar"/>
              </w:rPr>
              <w:t>731,996</w:t>
            </w:r>
          </w:p>
        </w:tc>
        <w:tc>
          <w:tcPr>
            <w:tcW w:w="30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二、转移性支出</w:t>
            </w:r>
          </w:p>
        </w:tc>
        <w:tc>
          <w:tcPr>
            <w:tcW w:w="1436"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widowControl/>
              <w:ind w:firstLine="440"/>
              <w:jc w:val="right"/>
              <w:textAlignment w:val="center"/>
              <w:rPr>
                <w:rFonts w:eastAsia="宋体" w:cs="Times New Roman"/>
                <w:sz w:val="22"/>
              </w:rPr>
            </w:pPr>
            <w:r>
              <w:rPr>
                <w:rFonts w:eastAsia="宋体" w:cs="Times New Roman"/>
                <w:kern w:val="0"/>
                <w:sz w:val="22"/>
                <w:lang w:bidi="ar"/>
              </w:rPr>
              <w:t>152,486</w:t>
            </w:r>
          </w:p>
        </w:tc>
      </w:tr>
      <w:tr>
        <w:tblPrEx>
          <w:tblCellMar>
            <w:top w:w="0" w:type="dxa"/>
            <w:left w:w="0" w:type="dxa"/>
            <w:bottom w:w="0" w:type="dxa"/>
            <w:right w:w="0" w:type="dxa"/>
          </w:tblCellMar>
        </w:tblPrEx>
        <w:trPr>
          <w:trHeight w:val="531" w:hRule="exact"/>
          <w:jc w:val="center"/>
        </w:trPr>
        <w:tc>
          <w:tcPr>
            <w:tcW w:w="3021"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上级补助收入</w:t>
            </w:r>
          </w:p>
        </w:tc>
        <w:tc>
          <w:tcPr>
            <w:tcW w:w="14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541,156</w:t>
            </w:r>
          </w:p>
        </w:tc>
        <w:tc>
          <w:tcPr>
            <w:tcW w:w="30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上解上级支出</w:t>
            </w:r>
          </w:p>
        </w:tc>
        <w:tc>
          <w:tcPr>
            <w:tcW w:w="1436"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134</w:t>
            </w:r>
          </w:p>
        </w:tc>
      </w:tr>
      <w:tr>
        <w:tblPrEx>
          <w:tblCellMar>
            <w:top w:w="0" w:type="dxa"/>
            <w:left w:w="0" w:type="dxa"/>
            <w:bottom w:w="0" w:type="dxa"/>
            <w:right w:w="0" w:type="dxa"/>
          </w:tblCellMar>
        </w:tblPrEx>
        <w:trPr>
          <w:trHeight w:val="531" w:hRule="exact"/>
          <w:jc w:val="center"/>
        </w:trPr>
        <w:tc>
          <w:tcPr>
            <w:tcW w:w="3021"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调入资金</w:t>
            </w:r>
          </w:p>
        </w:tc>
        <w:tc>
          <w:tcPr>
            <w:tcW w:w="14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p>
        </w:tc>
        <w:tc>
          <w:tcPr>
            <w:tcW w:w="30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调出资金</w:t>
            </w:r>
          </w:p>
        </w:tc>
        <w:tc>
          <w:tcPr>
            <w:tcW w:w="1436"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21</w:t>
            </w:r>
            <w:r>
              <w:rPr>
                <w:rFonts w:hint="eastAsia"/>
                <w:sz w:val="22"/>
              </w:rPr>
              <w:t>,</w:t>
            </w:r>
            <w:r>
              <w:rPr>
                <w:sz w:val="22"/>
              </w:rPr>
              <w:t>970</w:t>
            </w:r>
          </w:p>
        </w:tc>
      </w:tr>
      <w:tr>
        <w:tblPrEx>
          <w:tblCellMar>
            <w:top w:w="0" w:type="dxa"/>
            <w:left w:w="0" w:type="dxa"/>
            <w:bottom w:w="0" w:type="dxa"/>
            <w:right w:w="0" w:type="dxa"/>
          </w:tblCellMar>
        </w:tblPrEx>
        <w:trPr>
          <w:trHeight w:val="531" w:hRule="exact"/>
          <w:jc w:val="center"/>
        </w:trPr>
        <w:tc>
          <w:tcPr>
            <w:tcW w:w="3021"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债务转贷收入</w:t>
            </w:r>
          </w:p>
        </w:tc>
        <w:tc>
          <w:tcPr>
            <w:tcW w:w="14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164</w:t>
            </w:r>
            <w:r>
              <w:rPr>
                <w:rFonts w:hint="eastAsia"/>
                <w:sz w:val="22"/>
              </w:rPr>
              <w:t>,</w:t>
            </w:r>
            <w:r>
              <w:rPr>
                <w:sz w:val="22"/>
              </w:rPr>
              <w:t>700</w:t>
            </w:r>
          </w:p>
        </w:tc>
        <w:tc>
          <w:tcPr>
            <w:tcW w:w="30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债务还本支出</w:t>
            </w:r>
          </w:p>
        </w:tc>
        <w:tc>
          <w:tcPr>
            <w:tcW w:w="1436"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widowControl/>
              <w:ind w:firstLine="440"/>
              <w:jc w:val="right"/>
              <w:textAlignment w:val="center"/>
              <w:rPr>
                <w:rFonts w:eastAsia="宋体" w:cs="Times New Roman"/>
                <w:sz w:val="22"/>
              </w:rPr>
            </w:pPr>
            <w:r>
              <w:rPr>
                <w:rFonts w:eastAsia="宋体" w:cs="Times New Roman"/>
                <w:kern w:val="0"/>
                <w:sz w:val="22"/>
                <w:lang w:bidi="ar"/>
              </w:rPr>
              <w:t>109,000</w:t>
            </w:r>
          </w:p>
        </w:tc>
      </w:tr>
      <w:tr>
        <w:trPr>
          <w:trHeight w:val="531" w:hRule="exact"/>
          <w:jc w:val="center"/>
        </w:trPr>
        <w:tc>
          <w:tcPr>
            <w:tcW w:w="3021"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上年结转</w:t>
            </w:r>
          </w:p>
        </w:tc>
        <w:tc>
          <w:tcPr>
            <w:tcW w:w="14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r>
              <w:rPr>
                <w:sz w:val="22"/>
              </w:rPr>
              <w:t>26</w:t>
            </w:r>
            <w:r>
              <w:rPr>
                <w:rFonts w:hint="eastAsia"/>
                <w:sz w:val="22"/>
              </w:rPr>
              <w:t>,</w:t>
            </w:r>
            <w:r>
              <w:rPr>
                <w:sz w:val="22"/>
              </w:rPr>
              <w:t>140</w:t>
            </w:r>
          </w:p>
          <w:p>
            <w:pPr>
              <w:pStyle w:val="13"/>
              <w:spacing w:beforeAutospacing="0" w:afterAutospacing="0" w:line="400" w:lineRule="exact"/>
              <w:ind w:firstLine="440"/>
              <w:jc w:val="right"/>
              <w:rPr>
                <w:sz w:val="22"/>
              </w:rPr>
            </w:pPr>
          </w:p>
        </w:tc>
        <w:tc>
          <w:tcPr>
            <w:tcW w:w="3053"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结转下年</w:t>
            </w:r>
          </w:p>
        </w:tc>
        <w:tc>
          <w:tcPr>
            <w:tcW w:w="1436"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widowControl/>
              <w:ind w:firstLine="440"/>
              <w:jc w:val="right"/>
              <w:textAlignment w:val="center"/>
              <w:rPr>
                <w:rFonts w:eastAsia="宋体" w:cs="Times New Roman"/>
                <w:sz w:val="22"/>
              </w:rPr>
            </w:pPr>
            <w:r>
              <w:rPr>
                <w:rFonts w:eastAsia="宋体" w:cs="Times New Roman"/>
                <w:kern w:val="0"/>
                <w:sz w:val="22"/>
                <w:lang w:bidi="ar"/>
              </w:rPr>
              <w:t>21,382</w:t>
            </w:r>
          </w:p>
        </w:tc>
      </w:tr>
    </w:tbl>
    <w:p>
      <w:pPr>
        <w:spacing w:after="0"/>
        <w:ind w:firstLine="640"/>
        <w:rPr>
          <w:rFonts w:cs="Times New Roman"/>
          <w:szCs w:val="32"/>
        </w:rPr>
      </w:pPr>
      <w:r>
        <w:rPr>
          <w:rFonts w:cs="Times New Roman"/>
          <w:szCs w:val="32"/>
        </w:rPr>
        <w:t>政府性基金</w:t>
      </w:r>
      <w:r>
        <w:rPr>
          <w:rFonts w:hint="eastAsia" w:cs="Times New Roman"/>
          <w:szCs w:val="32"/>
        </w:rPr>
        <w:t>预算本级</w:t>
      </w:r>
      <w:r>
        <w:rPr>
          <w:rFonts w:cs="Times New Roman"/>
          <w:szCs w:val="32"/>
        </w:rPr>
        <w:t>支出主要方向：</w:t>
      </w:r>
    </w:p>
    <w:p>
      <w:pPr>
        <w:spacing w:after="0"/>
        <w:ind w:firstLine="640"/>
        <w:rPr>
          <w:rFonts w:cs="Times New Roman"/>
          <w:szCs w:val="32"/>
          <w:lang w:bidi="ar"/>
        </w:rPr>
      </w:pPr>
      <w:r>
        <w:rPr>
          <w:rFonts w:cs="Times New Roman"/>
          <w:szCs w:val="32"/>
          <w:lang w:bidi="ar"/>
        </w:rPr>
        <w:t>——城乡社区支出500,716万元。主要用于：稳步推进征地拆迁</w:t>
      </w:r>
      <w:r>
        <w:rPr>
          <w:rFonts w:hint="eastAsia" w:cs="Times New Roman"/>
          <w:szCs w:val="32"/>
          <w:lang w:bidi="ar"/>
        </w:rPr>
        <w:t>、</w:t>
      </w:r>
      <w:r>
        <w:rPr>
          <w:rFonts w:cs="Times New Roman"/>
          <w:szCs w:val="32"/>
          <w:lang w:bidi="ar"/>
        </w:rPr>
        <w:t>基础设施建设</w:t>
      </w:r>
      <w:r>
        <w:rPr>
          <w:rFonts w:hint="eastAsia" w:cs="Times New Roman"/>
          <w:szCs w:val="32"/>
          <w:lang w:bidi="ar"/>
        </w:rPr>
        <w:t>及存量债务化解</w:t>
      </w:r>
      <w:r>
        <w:rPr>
          <w:rFonts w:cs="Times New Roman"/>
          <w:szCs w:val="32"/>
          <w:lang w:bidi="ar"/>
        </w:rPr>
        <w:t>工作。推进市区共建项目、全民健身运动中心、万吨冷库等征地拆迁。支持农村公路养护、白居寺公园修建、排水管网整治、地质灾害防治，支持西大附中、义渡小学、茄子溪中学、实验小学、武警营地等项目建设。</w:t>
      </w:r>
    </w:p>
    <w:p>
      <w:pPr>
        <w:spacing w:after="0"/>
        <w:ind w:firstLine="640"/>
        <w:rPr>
          <w:rFonts w:eastAsia="仿宋" w:cs="Times New Roman"/>
          <w:szCs w:val="32"/>
        </w:rPr>
      </w:pPr>
      <w:r>
        <w:rPr>
          <w:rFonts w:cs="Times New Roman"/>
          <w:szCs w:val="32"/>
          <w:lang w:bidi="ar"/>
        </w:rPr>
        <w:t>——其他支出78,831万元。主要用于：支持存量政府投资项目收尾及偿还政府专项债券利息。支持养老服务业发展、产教融合基地建设、城镇老旧小区改造及配套基础设施建设。支持公共医疗卫生体系提升建设工程，助力区中医院新建工程顺利完工并通过主体验收，促进医疗服务业发展。</w:t>
      </w:r>
    </w:p>
    <w:p>
      <w:pPr>
        <w:spacing w:after="0"/>
        <w:ind w:firstLine="640"/>
        <w:rPr>
          <w:rFonts w:eastAsia="方正楷体_GBK" w:cs="方正楷体_GBK"/>
          <w:szCs w:val="32"/>
        </w:rPr>
      </w:pPr>
      <w:r>
        <w:rPr>
          <w:rFonts w:hint="eastAsia" w:eastAsia="方正楷体_GBK" w:cs="方正楷体_GBK"/>
          <w:szCs w:val="32"/>
        </w:rPr>
        <w:t>（三）国有资本经营预算执行情况</w:t>
      </w:r>
    </w:p>
    <w:p>
      <w:pPr>
        <w:spacing w:after="0"/>
        <w:ind w:firstLine="643"/>
        <w:rPr>
          <w:rFonts w:cs="Times New Roman"/>
          <w:szCs w:val="32"/>
        </w:rPr>
      </w:pPr>
      <w:r>
        <w:rPr>
          <w:rFonts w:cs="Times New Roman"/>
          <w:b/>
          <w:bCs/>
          <w:szCs w:val="32"/>
        </w:rPr>
        <w:t>1.收入执行情况。</w:t>
      </w:r>
      <w:r>
        <w:rPr>
          <w:rFonts w:cs="Times New Roman"/>
          <w:szCs w:val="32"/>
        </w:rPr>
        <w:t>收入总计25</w:t>
      </w:r>
      <w:r>
        <w:rPr>
          <w:rFonts w:hint="eastAsia" w:cs="Times New Roman"/>
          <w:szCs w:val="32"/>
        </w:rPr>
        <w:t>,</w:t>
      </w:r>
      <w:r>
        <w:rPr>
          <w:rFonts w:cs="Times New Roman"/>
          <w:szCs w:val="32"/>
        </w:rPr>
        <w:t>614万元，具体组成：本级收入25</w:t>
      </w:r>
      <w:r>
        <w:rPr>
          <w:rFonts w:hint="eastAsia" w:cs="Times New Roman"/>
          <w:szCs w:val="32"/>
        </w:rPr>
        <w:t>,</w:t>
      </w:r>
      <w:r>
        <w:rPr>
          <w:rFonts w:cs="Times New Roman"/>
          <w:szCs w:val="32"/>
        </w:rPr>
        <w:t>383万元，完成预算的100%；上级补助收入231万元。</w:t>
      </w:r>
    </w:p>
    <w:p>
      <w:pPr>
        <w:spacing w:after="0"/>
        <w:ind w:firstLine="643"/>
        <w:rPr>
          <w:rFonts w:cs="Times New Roman"/>
          <w:szCs w:val="32"/>
        </w:rPr>
      </w:pPr>
      <w:r>
        <w:rPr>
          <w:rFonts w:cs="Times New Roman"/>
          <w:b/>
          <w:bCs/>
          <w:szCs w:val="32"/>
        </w:rPr>
        <w:t>2.支出执行情况。</w:t>
      </w:r>
      <w:r>
        <w:rPr>
          <w:rFonts w:cs="Times New Roman"/>
          <w:szCs w:val="32"/>
        </w:rPr>
        <w:t>支出总计25</w:t>
      </w:r>
      <w:r>
        <w:rPr>
          <w:rFonts w:hint="eastAsia" w:cs="Times New Roman"/>
          <w:szCs w:val="32"/>
        </w:rPr>
        <w:t>,</w:t>
      </w:r>
      <w:r>
        <w:rPr>
          <w:rFonts w:cs="Times New Roman"/>
          <w:szCs w:val="32"/>
        </w:rPr>
        <w:t>614万元，具体组成：本级支出24</w:t>
      </w:r>
      <w:r>
        <w:rPr>
          <w:rFonts w:hint="eastAsia" w:cs="Times New Roman"/>
          <w:szCs w:val="32"/>
        </w:rPr>
        <w:t>,</w:t>
      </w:r>
      <w:r>
        <w:rPr>
          <w:rFonts w:cs="Times New Roman"/>
          <w:szCs w:val="32"/>
        </w:rPr>
        <w:t>473万元</w:t>
      </w:r>
      <w:r>
        <w:rPr>
          <w:rFonts w:hint="eastAsia" w:cs="Times New Roman"/>
          <w:szCs w:val="32"/>
        </w:rPr>
        <w:t>，</w:t>
      </w:r>
      <w:r>
        <w:rPr>
          <w:rFonts w:cs="Times New Roman"/>
          <w:szCs w:val="32"/>
        </w:rPr>
        <w:t>调出资金910</w:t>
      </w:r>
      <w:r>
        <w:rPr>
          <w:rFonts w:hint="eastAsia" w:cs="Times New Roman"/>
          <w:szCs w:val="32"/>
        </w:rPr>
        <w:t>万元，</w:t>
      </w:r>
      <w:r>
        <w:rPr>
          <w:rFonts w:cs="Times New Roman"/>
          <w:szCs w:val="32"/>
        </w:rPr>
        <w:t>结转下年231万元。本级支出主要用于国有企业注资。</w:t>
      </w:r>
    </w:p>
    <w:p>
      <w:pPr>
        <w:pStyle w:val="7"/>
        <w:spacing w:after="0"/>
        <w:ind w:firstLine="0" w:firstLineChars="0"/>
        <w:jc w:val="center"/>
        <w:rPr>
          <w:rFonts w:eastAsia="方正黑体_GBK" w:cs="方正黑体_GBK"/>
          <w:szCs w:val="22"/>
        </w:rPr>
      </w:pPr>
      <w:r>
        <w:rPr>
          <w:rFonts w:eastAsia="方正黑体_GBK"/>
          <w:szCs w:val="22"/>
        </w:rPr>
        <w:t>2024</w:t>
      </w:r>
      <w:r>
        <w:rPr>
          <w:rFonts w:hint="eastAsia" w:eastAsia="方正黑体_GBK" w:cs="方正黑体_GBK"/>
          <w:szCs w:val="22"/>
        </w:rPr>
        <w:t>年全区国有资本经营预算收支平衡表</w:t>
      </w:r>
    </w:p>
    <w:p>
      <w:pPr>
        <w:pStyle w:val="7"/>
        <w:spacing w:after="0" w:line="240" w:lineRule="auto"/>
        <w:ind w:firstLine="420"/>
        <w:jc w:val="right"/>
        <w:rPr>
          <w:rFonts w:eastAsiaTheme="minorEastAsia" w:cstheme="minorEastAsia"/>
          <w:sz w:val="21"/>
          <w:szCs w:val="21"/>
        </w:rPr>
      </w:pPr>
      <w:r>
        <w:rPr>
          <w:rFonts w:hint="eastAsia" w:eastAsiaTheme="minorEastAsia" w:cstheme="minorEastAsia"/>
          <w:sz w:val="21"/>
          <w:szCs w:val="21"/>
        </w:rPr>
        <w:t>单位：万元</w:t>
      </w:r>
    </w:p>
    <w:tbl>
      <w:tblPr>
        <w:tblStyle w:val="15"/>
        <w:tblW w:w="8955" w:type="dxa"/>
        <w:jc w:val="center"/>
        <w:tblLayout w:type="fixed"/>
        <w:tblCellMar>
          <w:top w:w="0" w:type="dxa"/>
          <w:left w:w="0" w:type="dxa"/>
          <w:bottom w:w="0" w:type="dxa"/>
          <w:right w:w="0" w:type="dxa"/>
        </w:tblCellMar>
      </w:tblPr>
      <w:tblGrid>
        <w:gridCol w:w="3012"/>
        <w:gridCol w:w="1457"/>
        <w:gridCol w:w="3045"/>
        <w:gridCol w:w="1441"/>
      </w:tblGrid>
      <w:tr>
        <w:tblPrEx>
          <w:tblCellMar>
            <w:top w:w="0" w:type="dxa"/>
            <w:left w:w="0" w:type="dxa"/>
            <w:bottom w:w="0" w:type="dxa"/>
            <w:right w:w="0" w:type="dxa"/>
          </w:tblCellMar>
        </w:tblPrEx>
        <w:trPr>
          <w:trHeight w:val="482" w:hRule="exact"/>
          <w:tblHeader/>
          <w:jc w:val="center"/>
        </w:trPr>
        <w:tc>
          <w:tcPr>
            <w:tcW w:w="301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收    入</w:t>
            </w:r>
          </w:p>
        </w:tc>
        <w:tc>
          <w:tcPr>
            <w:tcW w:w="1457"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执行数</w:t>
            </w:r>
          </w:p>
        </w:tc>
        <w:tc>
          <w:tcPr>
            <w:tcW w:w="304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支    出</w:t>
            </w:r>
          </w:p>
        </w:tc>
        <w:tc>
          <w:tcPr>
            <w:tcW w:w="144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执行数</w:t>
            </w:r>
          </w:p>
        </w:tc>
      </w:tr>
      <w:tr>
        <w:tblPrEx>
          <w:tblCellMar>
            <w:top w:w="0" w:type="dxa"/>
            <w:left w:w="0" w:type="dxa"/>
            <w:bottom w:w="0" w:type="dxa"/>
            <w:right w:w="0" w:type="dxa"/>
          </w:tblCellMar>
        </w:tblPrEx>
        <w:trPr>
          <w:trHeight w:val="482" w:hRule="exact"/>
          <w:jc w:val="center"/>
        </w:trPr>
        <w:tc>
          <w:tcPr>
            <w:tcW w:w="301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457"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2"/>
              <w:jc w:val="right"/>
              <w:rPr>
                <w:b/>
                <w:bCs/>
                <w:sz w:val="22"/>
              </w:rPr>
            </w:pPr>
            <w:r>
              <w:rPr>
                <w:b/>
                <w:bCs/>
                <w:sz w:val="22"/>
              </w:rPr>
              <w:t>25</w:t>
            </w:r>
            <w:r>
              <w:rPr>
                <w:rFonts w:hint="eastAsia"/>
                <w:b/>
                <w:bCs/>
                <w:sz w:val="22"/>
              </w:rPr>
              <w:t>,</w:t>
            </w:r>
            <w:r>
              <w:rPr>
                <w:b/>
                <w:bCs/>
                <w:sz w:val="22"/>
              </w:rPr>
              <w:t>614</w:t>
            </w:r>
          </w:p>
        </w:tc>
        <w:tc>
          <w:tcPr>
            <w:tcW w:w="304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b/>
                <w:bCs/>
                <w:sz w:val="19"/>
                <w:szCs w:val="19"/>
              </w:rPr>
            </w:pPr>
            <w:r>
              <w:rPr>
                <w:rStyle w:val="17"/>
                <w:rFonts w:hint="eastAsia" w:eastAsia="宋体" w:cs="宋体"/>
                <w:bCs/>
                <w:sz w:val="22"/>
              </w:rPr>
              <w:t>总    计</w:t>
            </w:r>
          </w:p>
        </w:tc>
        <w:tc>
          <w:tcPr>
            <w:tcW w:w="144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2"/>
              <w:jc w:val="right"/>
              <w:rPr>
                <w:b/>
                <w:bCs/>
                <w:sz w:val="22"/>
              </w:rPr>
            </w:pPr>
            <w:r>
              <w:rPr>
                <w:b/>
                <w:bCs/>
                <w:sz w:val="22"/>
              </w:rPr>
              <w:t>25,614</w:t>
            </w:r>
          </w:p>
        </w:tc>
      </w:tr>
      <w:tr>
        <w:tblPrEx>
          <w:tblCellMar>
            <w:top w:w="0" w:type="dxa"/>
            <w:left w:w="0" w:type="dxa"/>
            <w:bottom w:w="0" w:type="dxa"/>
            <w:right w:w="0" w:type="dxa"/>
          </w:tblCellMar>
        </w:tblPrEx>
        <w:trPr>
          <w:trHeight w:val="482" w:hRule="exact"/>
          <w:jc w:val="center"/>
        </w:trPr>
        <w:tc>
          <w:tcPr>
            <w:tcW w:w="301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一、本级收入</w:t>
            </w:r>
          </w:p>
        </w:tc>
        <w:tc>
          <w:tcPr>
            <w:tcW w:w="1457"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widowControl/>
              <w:ind w:firstLine="440"/>
              <w:jc w:val="right"/>
              <w:textAlignment w:val="center"/>
              <w:rPr>
                <w:rFonts w:eastAsia="宋体" w:cs="Times New Roman"/>
                <w:sz w:val="22"/>
              </w:rPr>
            </w:pPr>
            <w:r>
              <w:rPr>
                <w:rFonts w:eastAsia="宋体" w:cs="Times New Roman"/>
                <w:kern w:val="0"/>
                <w:sz w:val="22"/>
                <w:lang w:bidi="ar"/>
              </w:rPr>
              <w:t>25,383</w:t>
            </w:r>
          </w:p>
        </w:tc>
        <w:tc>
          <w:tcPr>
            <w:tcW w:w="304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一、本级支出</w:t>
            </w:r>
          </w:p>
        </w:tc>
        <w:tc>
          <w:tcPr>
            <w:tcW w:w="144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24,473</w:t>
            </w:r>
          </w:p>
        </w:tc>
      </w:tr>
      <w:tr>
        <w:tblPrEx>
          <w:tblCellMar>
            <w:top w:w="0" w:type="dxa"/>
            <w:left w:w="0" w:type="dxa"/>
            <w:bottom w:w="0" w:type="dxa"/>
            <w:right w:w="0" w:type="dxa"/>
          </w:tblCellMar>
        </w:tblPrEx>
        <w:trPr>
          <w:trHeight w:val="482" w:hRule="exact"/>
          <w:jc w:val="center"/>
        </w:trPr>
        <w:tc>
          <w:tcPr>
            <w:tcW w:w="301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二、转移性收入</w:t>
            </w:r>
          </w:p>
        </w:tc>
        <w:tc>
          <w:tcPr>
            <w:tcW w:w="1457"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widowControl/>
              <w:ind w:firstLine="440"/>
              <w:jc w:val="right"/>
              <w:textAlignment w:val="center"/>
              <w:rPr>
                <w:rFonts w:eastAsia="宋体" w:cs="Times New Roman"/>
                <w:sz w:val="22"/>
              </w:rPr>
            </w:pPr>
            <w:r>
              <w:rPr>
                <w:rFonts w:eastAsia="宋体" w:cs="Times New Roman"/>
                <w:kern w:val="0"/>
                <w:sz w:val="22"/>
                <w:lang w:bidi="ar"/>
              </w:rPr>
              <w:t>231</w:t>
            </w:r>
          </w:p>
        </w:tc>
        <w:tc>
          <w:tcPr>
            <w:tcW w:w="304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二、转移性支出</w:t>
            </w:r>
          </w:p>
        </w:tc>
        <w:tc>
          <w:tcPr>
            <w:tcW w:w="1441"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440"/>
              <w:jc w:val="right"/>
              <w:rPr>
                <w:sz w:val="22"/>
              </w:rPr>
            </w:pPr>
            <w:r>
              <w:rPr>
                <w:sz w:val="22"/>
              </w:rPr>
              <w:t>1,141</w:t>
            </w:r>
          </w:p>
        </w:tc>
      </w:tr>
      <w:tr>
        <w:tblPrEx>
          <w:tblCellMar>
            <w:top w:w="0" w:type="dxa"/>
            <w:left w:w="0" w:type="dxa"/>
            <w:bottom w:w="0" w:type="dxa"/>
            <w:right w:w="0" w:type="dxa"/>
          </w:tblCellMar>
        </w:tblPrEx>
        <w:trPr>
          <w:trHeight w:val="482" w:hRule="exact"/>
          <w:jc w:val="center"/>
        </w:trPr>
        <w:tc>
          <w:tcPr>
            <w:tcW w:w="301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上级补助收入</w:t>
            </w:r>
          </w:p>
        </w:tc>
        <w:tc>
          <w:tcPr>
            <w:tcW w:w="1457"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widowControl/>
              <w:ind w:firstLine="440"/>
              <w:jc w:val="right"/>
              <w:textAlignment w:val="center"/>
              <w:rPr>
                <w:rFonts w:eastAsia="宋体" w:cs="Times New Roman"/>
                <w:sz w:val="22"/>
              </w:rPr>
            </w:pPr>
            <w:r>
              <w:rPr>
                <w:rFonts w:eastAsia="宋体" w:cs="Times New Roman"/>
                <w:kern w:val="0"/>
                <w:sz w:val="22"/>
                <w:lang w:bidi="ar"/>
              </w:rPr>
              <w:t>231</w:t>
            </w:r>
          </w:p>
        </w:tc>
        <w:tc>
          <w:tcPr>
            <w:tcW w:w="304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调出资金</w:t>
            </w:r>
          </w:p>
        </w:tc>
        <w:tc>
          <w:tcPr>
            <w:tcW w:w="1441" w:type="dxa"/>
            <w:tcBorders>
              <w:top w:val="single" w:color="000000" w:sz="6" w:space="0"/>
              <w:left w:val="single" w:color="000000" w:sz="6" w:space="0"/>
              <w:bottom w:val="single" w:color="000000" w:sz="6" w:space="0"/>
              <w:right w:val="nil"/>
            </w:tcBorders>
            <w:shd w:val="clear" w:color="auto" w:fill="auto"/>
            <w:tcMar>
              <w:left w:w="115" w:type="dxa"/>
            </w:tcMar>
            <w:vAlign w:val="bottom"/>
          </w:tcPr>
          <w:p>
            <w:pPr>
              <w:pStyle w:val="13"/>
              <w:spacing w:beforeAutospacing="0" w:afterAutospacing="0" w:line="400" w:lineRule="exact"/>
              <w:ind w:firstLine="440"/>
              <w:jc w:val="right"/>
              <w:rPr>
                <w:sz w:val="22"/>
              </w:rPr>
            </w:pPr>
            <w:r>
              <w:rPr>
                <w:sz w:val="22"/>
              </w:rPr>
              <w:t>910</w:t>
            </w:r>
          </w:p>
        </w:tc>
      </w:tr>
      <w:tr>
        <w:tblPrEx>
          <w:tblCellMar>
            <w:top w:w="0" w:type="dxa"/>
            <w:left w:w="0" w:type="dxa"/>
            <w:bottom w:w="0" w:type="dxa"/>
            <w:right w:w="0" w:type="dxa"/>
          </w:tblCellMar>
        </w:tblPrEx>
        <w:trPr>
          <w:trHeight w:val="482" w:hRule="exact"/>
          <w:jc w:val="center"/>
        </w:trPr>
        <w:tc>
          <w:tcPr>
            <w:tcW w:w="301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上年结转</w:t>
            </w:r>
          </w:p>
        </w:tc>
        <w:tc>
          <w:tcPr>
            <w:tcW w:w="1457"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jc w:val="right"/>
              <w:rPr>
                <w:sz w:val="22"/>
              </w:rPr>
            </w:pPr>
          </w:p>
        </w:tc>
        <w:tc>
          <w:tcPr>
            <w:tcW w:w="304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结转下年</w:t>
            </w:r>
          </w:p>
        </w:tc>
        <w:tc>
          <w:tcPr>
            <w:tcW w:w="1441" w:type="dxa"/>
            <w:tcBorders>
              <w:top w:val="single" w:color="000000" w:sz="6" w:space="0"/>
              <w:left w:val="single" w:color="000000" w:sz="6" w:space="0"/>
              <w:bottom w:val="single" w:color="000000" w:sz="6" w:space="0"/>
              <w:right w:val="nil"/>
            </w:tcBorders>
            <w:shd w:val="clear" w:color="auto" w:fill="auto"/>
            <w:tcMar>
              <w:left w:w="115" w:type="dxa"/>
            </w:tcMar>
            <w:vAlign w:val="bottom"/>
          </w:tcPr>
          <w:p>
            <w:pPr>
              <w:pStyle w:val="13"/>
              <w:spacing w:beforeAutospacing="0" w:afterAutospacing="0" w:line="400" w:lineRule="exact"/>
              <w:ind w:firstLine="440"/>
              <w:jc w:val="right"/>
              <w:rPr>
                <w:sz w:val="22"/>
              </w:rPr>
            </w:pPr>
            <w:r>
              <w:rPr>
                <w:sz w:val="22"/>
              </w:rPr>
              <w:t>231</w:t>
            </w:r>
          </w:p>
        </w:tc>
      </w:tr>
    </w:tbl>
    <w:p>
      <w:pPr>
        <w:pStyle w:val="7"/>
        <w:spacing w:after="0"/>
        <w:ind w:firstLine="640"/>
        <w:rPr>
          <w:rFonts w:eastAsia="方正楷体_GBK" w:cs="方正楷体_GBK"/>
          <w:szCs w:val="32"/>
        </w:rPr>
      </w:pPr>
      <w:r>
        <w:rPr>
          <w:rFonts w:hint="eastAsia" w:eastAsia="方正楷体_GBK" w:cs="方正楷体_GBK"/>
          <w:szCs w:val="32"/>
        </w:rPr>
        <w:t>（四）地方政府债务限额及余额情况</w:t>
      </w:r>
    </w:p>
    <w:p>
      <w:pPr>
        <w:pStyle w:val="7"/>
        <w:spacing w:after="0"/>
        <w:ind w:firstLine="643"/>
        <w:rPr>
          <w:rFonts w:eastAsia="方正仿宋_GBK"/>
          <w:szCs w:val="32"/>
        </w:rPr>
      </w:pPr>
      <w:r>
        <w:rPr>
          <w:rFonts w:eastAsia="方正仿宋_GBK"/>
          <w:b/>
          <w:bCs/>
          <w:szCs w:val="32"/>
        </w:rPr>
        <w:t>1.举</w:t>
      </w:r>
      <w:r>
        <w:rPr>
          <w:rFonts w:hint="eastAsia" w:eastAsia="方正仿宋_GBK"/>
          <w:b/>
          <w:bCs/>
          <w:szCs w:val="32"/>
        </w:rPr>
        <w:t>借</w:t>
      </w:r>
      <w:r>
        <w:rPr>
          <w:rFonts w:eastAsia="方正仿宋_GBK"/>
          <w:b/>
          <w:bCs/>
          <w:szCs w:val="32"/>
        </w:rPr>
        <w:t>规模和结构。</w:t>
      </w:r>
      <w:r>
        <w:rPr>
          <w:rFonts w:eastAsia="方正仿宋_GBK"/>
          <w:szCs w:val="32"/>
        </w:rPr>
        <w:t>2024</w:t>
      </w:r>
      <w:r>
        <w:rPr>
          <w:rFonts w:hint="eastAsia" w:eastAsia="方正仿宋_GBK"/>
          <w:szCs w:val="32"/>
        </w:rPr>
        <w:t>年，全区政府债务限额</w:t>
      </w:r>
      <w:r>
        <w:rPr>
          <w:rFonts w:eastAsia="方正仿宋_GBK"/>
          <w:szCs w:val="32"/>
        </w:rPr>
        <w:t>139</w:t>
      </w:r>
      <w:r>
        <w:rPr>
          <w:rFonts w:hint="eastAsia" w:eastAsia="方正仿宋_GBK"/>
          <w:szCs w:val="32"/>
        </w:rPr>
        <w:t>.</w:t>
      </w:r>
      <w:r>
        <w:rPr>
          <w:rFonts w:eastAsia="方正仿宋_GBK"/>
          <w:szCs w:val="32"/>
        </w:rPr>
        <w:t>33</w:t>
      </w:r>
      <w:r>
        <w:rPr>
          <w:rFonts w:hint="eastAsia" w:eastAsia="方正仿宋_GBK"/>
          <w:szCs w:val="32"/>
        </w:rPr>
        <w:t>亿元，其中：一般债务限额</w:t>
      </w:r>
      <w:r>
        <w:rPr>
          <w:rFonts w:eastAsia="方正仿宋_GBK"/>
          <w:szCs w:val="32"/>
        </w:rPr>
        <w:t>77</w:t>
      </w:r>
      <w:r>
        <w:rPr>
          <w:rFonts w:hint="eastAsia" w:eastAsia="方正仿宋_GBK"/>
          <w:szCs w:val="32"/>
        </w:rPr>
        <w:t>.</w:t>
      </w:r>
      <w:r>
        <w:rPr>
          <w:rFonts w:eastAsia="方正仿宋_GBK"/>
          <w:szCs w:val="32"/>
        </w:rPr>
        <w:t>17</w:t>
      </w:r>
      <w:r>
        <w:rPr>
          <w:rFonts w:hint="eastAsia" w:eastAsia="方正仿宋_GBK"/>
          <w:szCs w:val="32"/>
        </w:rPr>
        <w:t>亿元，专项债务限额</w:t>
      </w:r>
      <w:r>
        <w:rPr>
          <w:rFonts w:eastAsia="方正仿宋_GBK"/>
          <w:szCs w:val="32"/>
        </w:rPr>
        <w:t>62</w:t>
      </w:r>
      <w:r>
        <w:rPr>
          <w:rFonts w:hint="eastAsia" w:eastAsia="方正仿宋_GBK"/>
          <w:szCs w:val="32"/>
        </w:rPr>
        <w:t>.</w:t>
      </w:r>
      <w:r>
        <w:rPr>
          <w:rFonts w:eastAsia="方正仿宋_GBK"/>
          <w:szCs w:val="32"/>
        </w:rPr>
        <w:t>16</w:t>
      </w:r>
      <w:r>
        <w:rPr>
          <w:rFonts w:hint="eastAsia" w:eastAsia="方正仿宋_GBK"/>
          <w:szCs w:val="32"/>
        </w:rPr>
        <w:t>亿元。全区政府债务余额</w:t>
      </w:r>
      <w:r>
        <w:rPr>
          <w:rFonts w:eastAsia="方正仿宋_GBK"/>
          <w:szCs w:val="32"/>
        </w:rPr>
        <w:t>139</w:t>
      </w:r>
      <w:r>
        <w:rPr>
          <w:rFonts w:hint="eastAsia" w:eastAsia="方正仿宋_GBK"/>
          <w:szCs w:val="32"/>
        </w:rPr>
        <w:t>.</w:t>
      </w:r>
      <w:r>
        <w:rPr>
          <w:rFonts w:eastAsia="方正仿宋_GBK"/>
          <w:szCs w:val="32"/>
        </w:rPr>
        <w:t>33</w:t>
      </w:r>
      <w:r>
        <w:rPr>
          <w:rFonts w:hint="eastAsia" w:eastAsia="方正仿宋_GBK"/>
          <w:szCs w:val="32"/>
        </w:rPr>
        <w:t>亿元，其中：一般债务余额</w:t>
      </w:r>
      <w:r>
        <w:rPr>
          <w:rFonts w:eastAsia="方正仿宋_GBK"/>
          <w:szCs w:val="32"/>
        </w:rPr>
        <w:t>77</w:t>
      </w:r>
      <w:r>
        <w:rPr>
          <w:rFonts w:hint="eastAsia" w:eastAsia="方正仿宋_GBK"/>
          <w:szCs w:val="32"/>
        </w:rPr>
        <w:t>.</w:t>
      </w:r>
      <w:r>
        <w:rPr>
          <w:rFonts w:eastAsia="方正仿宋_GBK"/>
          <w:szCs w:val="32"/>
        </w:rPr>
        <w:t>17</w:t>
      </w:r>
      <w:r>
        <w:rPr>
          <w:rFonts w:hint="eastAsia" w:eastAsia="方正仿宋_GBK"/>
          <w:szCs w:val="32"/>
        </w:rPr>
        <w:t>亿元，专项债务余额</w:t>
      </w:r>
      <w:r>
        <w:rPr>
          <w:rFonts w:eastAsia="方正仿宋_GBK"/>
          <w:szCs w:val="32"/>
        </w:rPr>
        <w:t>62</w:t>
      </w:r>
      <w:r>
        <w:rPr>
          <w:rFonts w:hint="eastAsia" w:eastAsia="方正仿宋_GBK"/>
          <w:szCs w:val="32"/>
        </w:rPr>
        <w:t>.</w:t>
      </w:r>
      <w:r>
        <w:rPr>
          <w:rFonts w:eastAsia="方正仿宋_GBK"/>
          <w:szCs w:val="32"/>
        </w:rPr>
        <w:t>16</w:t>
      </w:r>
      <w:r>
        <w:rPr>
          <w:rFonts w:hint="eastAsia" w:eastAsia="方正仿宋_GBK"/>
          <w:szCs w:val="32"/>
        </w:rPr>
        <w:t>亿元，政府债务余额控制在核定限额之内。按照财政部政府债务风险评估办法计算，全区</w:t>
      </w:r>
      <w:r>
        <w:rPr>
          <w:rFonts w:eastAsia="方正仿宋_GBK"/>
          <w:szCs w:val="32"/>
        </w:rPr>
        <w:t>2024</w:t>
      </w:r>
      <w:r>
        <w:rPr>
          <w:rFonts w:hint="eastAsia" w:eastAsia="方正仿宋_GBK"/>
          <w:szCs w:val="32"/>
        </w:rPr>
        <w:t>年政府债务率为</w:t>
      </w:r>
      <w:r>
        <w:rPr>
          <w:rFonts w:eastAsia="方正仿宋_GBK"/>
          <w:szCs w:val="32"/>
        </w:rPr>
        <w:t>140</w:t>
      </w:r>
      <w:r>
        <w:rPr>
          <w:rFonts w:hint="eastAsia" w:eastAsia="方正仿宋_GBK"/>
          <w:szCs w:val="32"/>
        </w:rPr>
        <w:t>.</w:t>
      </w:r>
      <w:r>
        <w:rPr>
          <w:rFonts w:eastAsia="方正仿宋_GBK"/>
          <w:szCs w:val="32"/>
        </w:rPr>
        <w:t>75</w:t>
      </w:r>
      <w:r>
        <w:rPr>
          <w:rFonts w:hint="eastAsia" w:eastAsia="方正仿宋_GBK"/>
          <w:szCs w:val="32"/>
        </w:rPr>
        <w:t>%，风险总体可控。</w:t>
      </w:r>
    </w:p>
    <w:p>
      <w:pPr>
        <w:pStyle w:val="7"/>
        <w:spacing w:after="0"/>
        <w:ind w:firstLine="643"/>
        <w:rPr>
          <w:rFonts w:eastAsia="方正仿宋_GBK"/>
          <w:szCs w:val="32"/>
        </w:rPr>
      </w:pPr>
      <w:r>
        <w:rPr>
          <w:rFonts w:eastAsia="方正仿宋_GBK"/>
          <w:b/>
          <w:bCs/>
          <w:szCs w:val="32"/>
        </w:rPr>
        <w:t>2.使用情况。</w:t>
      </w:r>
      <w:r>
        <w:rPr>
          <w:rFonts w:eastAsia="方正仿宋_GBK"/>
          <w:szCs w:val="32"/>
        </w:rPr>
        <w:t>2024</w:t>
      </w:r>
      <w:r>
        <w:rPr>
          <w:rFonts w:hint="eastAsia" w:eastAsia="方正仿宋_GBK"/>
          <w:szCs w:val="32"/>
        </w:rPr>
        <w:t>年，全区争取到政府债券</w:t>
      </w:r>
      <w:r>
        <w:rPr>
          <w:rFonts w:eastAsia="方正仿宋_GBK"/>
          <w:szCs w:val="32"/>
        </w:rPr>
        <w:t>25</w:t>
      </w:r>
      <w:r>
        <w:rPr>
          <w:rFonts w:hint="eastAsia" w:eastAsia="方正仿宋_GBK"/>
          <w:szCs w:val="32"/>
        </w:rPr>
        <w:t>.</w:t>
      </w:r>
      <w:r>
        <w:rPr>
          <w:rFonts w:eastAsia="方正仿宋_GBK"/>
          <w:szCs w:val="32"/>
        </w:rPr>
        <w:t>72</w:t>
      </w:r>
      <w:r>
        <w:rPr>
          <w:rFonts w:hint="eastAsia" w:eastAsia="方正仿宋_GBK"/>
          <w:szCs w:val="32"/>
        </w:rPr>
        <w:t>亿元。其中：新增债券</w:t>
      </w:r>
      <w:r>
        <w:rPr>
          <w:rFonts w:eastAsia="方正仿宋_GBK"/>
          <w:szCs w:val="32"/>
        </w:rPr>
        <w:t>2.44</w:t>
      </w:r>
      <w:r>
        <w:rPr>
          <w:rFonts w:hint="eastAsia" w:eastAsia="方正仿宋_GBK"/>
          <w:szCs w:val="32"/>
        </w:rPr>
        <w:t>亿元，再融资债券</w:t>
      </w:r>
      <w:r>
        <w:rPr>
          <w:rFonts w:eastAsia="方正仿宋_GBK"/>
          <w:szCs w:val="32"/>
        </w:rPr>
        <w:t>18</w:t>
      </w:r>
      <w:r>
        <w:rPr>
          <w:rFonts w:hint="eastAsia" w:eastAsia="方正仿宋_GBK"/>
          <w:szCs w:val="32"/>
        </w:rPr>
        <w:t>.</w:t>
      </w:r>
      <w:r>
        <w:rPr>
          <w:rFonts w:eastAsia="方正仿宋_GBK"/>
          <w:szCs w:val="32"/>
        </w:rPr>
        <w:t>81</w:t>
      </w:r>
      <w:r>
        <w:rPr>
          <w:rFonts w:hint="eastAsia" w:eastAsia="方正仿宋_GBK"/>
          <w:szCs w:val="32"/>
        </w:rPr>
        <w:t>亿元，用于存量政府投资项目收尾的专项债券</w:t>
      </w:r>
      <w:r>
        <w:rPr>
          <w:rFonts w:eastAsia="方正仿宋_GBK"/>
          <w:szCs w:val="32"/>
        </w:rPr>
        <w:t>4</w:t>
      </w:r>
      <w:r>
        <w:rPr>
          <w:rFonts w:hint="eastAsia" w:eastAsia="方正仿宋_GBK"/>
          <w:szCs w:val="32"/>
        </w:rPr>
        <w:t>.</w:t>
      </w:r>
      <w:r>
        <w:rPr>
          <w:rFonts w:eastAsia="方正仿宋_GBK"/>
          <w:szCs w:val="32"/>
        </w:rPr>
        <w:t>47</w:t>
      </w:r>
      <w:r>
        <w:rPr>
          <w:rFonts w:hint="eastAsia" w:eastAsia="方正仿宋_GBK"/>
          <w:szCs w:val="32"/>
        </w:rPr>
        <w:t>亿元。新增债券主要用于：支持西大附中、育才雪芮学校、自启学校、实验小学、育才小</w:t>
      </w:r>
      <w:r>
        <w:rPr>
          <w:rFonts w:hint="eastAsia" w:ascii="方正仿宋_GBK" w:hAnsi="方正仿宋_GBK" w:eastAsia="方正仿宋_GBK" w:cs="方正仿宋_GBK"/>
          <w:szCs w:val="32"/>
        </w:rPr>
        <w:t>学（双山校区）</w:t>
      </w:r>
      <w:r>
        <w:rPr>
          <w:rFonts w:hint="eastAsia" w:eastAsia="方正仿宋_GBK"/>
          <w:szCs w:val="32"/>
        </w:rPr>
        <w:t>、茄子溪中学等项目建设，推进产教融合基地项目、中医院新建工程、翠柏小区和柏华小区等老旧小区改造及配套基础设施建设。</w:t>
      </w:r>
    </w:p>
    <w:p>
      <w:pPr>
        <w:pStyle w:val="7"/>
        <w:spacing w:after="0"/>
        <w:ind w:firstLine="643"/>
        <w:rPr>
          <w:rFonts w:eastAsia="黑体"/>
          <w:szCs w:val="32"/>
        </w:rPr>
      </w:pPr>
      <w:r>
        <w:rPr>
          <w:rFonts w:eastAsia="方正仿宋_GBK"/>
          <w:b/>
          <w:bCs/>
          <w:szCs w:val="32"/>
        </w:rPr>
        <w:t>3.</w:t>
      </w:r>
      <w:r>
        <w:rPr>
          <w:rFonts w:hint="eastAsia" w:eastAsia="方正仿宋_GBK"/>
          <w:b/>
          <w:bCs/>
          <w:szCs w:val="32"/>
        </w:rPr>
        <w:t>偿还情况</w:t>
      </w:r>
      <w:r>
        <w:rPr>
          <w:rFonts w:eastAsia="方正仿宋_GBK"/>
          <w:b/>
          <w:bCs/>
          <w:szCs w:val="32"/>
        </w:rPr>
        <w:t>。</w:t>
      </w:r>
      <w:r>
        <w:rPr>
          <w:rFonts w:eastAsia="方正仿宋_GBK"/>
          <w:szCs w:val="32"/>
        </w:rPr>
        <w:t>2024</w:t>
      </w:r>
      <w:r>
        <w:rPr>
          <w:rFonts w:hint="eastAsia" w:eastAsia="方正仿宋_GBK"/>
          <w:szCs w:val="32"/>
        </w:rPr>
        <w:t>年，全区政府债务还本付息付费支出</w:t>
      </w:r>
      <w:r>
        <w:rPr>
          <w:rFonts w:eastAsia="方正仿宋_GBK"/>
          <w:szCs w:val="32"/>
        </w:rPr>
        <w:t>12</w:t>
      </w:r>
      <w:r>
        <w:rPr>
          <w:rFonts w:hint="eastAsia" w:eastAsia="方正仿宋_GBK"/>
          <w:szCs w:val="32"/>
        </w:rPr>
        <w:t>.</w:t>
      </w:r>
      <w:r>
        <w:rPr>
          <w:rFonts w:eastAsia="方正仿宋_GBK"/>
          <w:szCs w:val="32"/>
        </w:rPr>
        <w:t>09</w:t>
      </w:r>
      <w:r>
        <w:rPr>
          <w:rFonts w:hint="eastAsia" w:eastAsia="方正仿宋_GBK"/>
          <w:szCs w:val="32"/>
        </w:rPr>
        <w:t>亿元。</w:t>
      </w:r>
    </w:p>
    <w:p>
      <w:pPr>
        <w:spacing w:after="0"/>
        <w:ind w:firstLine="640"/>
        <w:rPr>
          <w:rFonts w:eastAsia="黑体" w:cs="Times New Roman"/>
          <w:szCs w:val="32"/>
        </w:rPr>
      </w:pPr>
      <w:r>
        <w:rPr>
          <w:rFonts w:hint="eastAsia" w:eastAsia="黑体" w:cs="Times New Roman"/>
          <w:szCs w:val="32"/>
        </w:rPr>
        <w:t>二、</w:t>
      </w:r>
      <w:r>
        <w:rPr>
          <w:rFonts w:eastAsia="黑体" w:cs="Times New Roman"/>
          <w:szCs w:val="32"/>
        </w:rPr>
        <w:t>2024年财政重点工作</w:t>
      </w:r>
    </w:p>
    <w:p>
      <w:pPr>
        <w:spacing w:after="0"/>
        <w:ind w:firstLine="640"/>
        <w:rPr>
          <w:rFonts w:ascii="方正仿宋_GBK" w:hAnsi="方正仿宋_GBK" w:cs="方正仿宋_GBK"/>
          <w:color w:val="0000FF"/>
        </w:rPr>
      </w:pPr>
      <w:r>
        <w:rPr>
          <w:rFonts w:cs="Times New Roman"/>
        </w:rPr>
        <w:t>2024年，</w:t>
      </w:r>
      <w:r>
        <w:rPr>
          <w:rFonts w:hint="eastAsia" w:ascii="方正仿宋_GBK" w:hAnsi="方正仿宋_GBK" w:cs="方正仿宋_GBK"/>
        </w:rPr>
        <w:t>全区财政工作牢记殷殷嘱托，全面贯彻落实党的二十届三中全会精神，突出稳进增效、除险固安、改革突破、惠民强企工作导向，持续推动财政各项改革，更好发挥财政政策导向引领和财政资金聚焦保障作用，有效应对各类风险挑战，改革攻坚蹄疾步稳、民生保障扎实有力、社会大局和谐稳定，为全力推动经济发展实现新突破、社会事业取得新成效提供财力保障。</w:t>
      </w:r>
    </w:p>
    <w:p>
      <w:pPr>
        <w:spacing w:after="0"/>
        <w:ind w:firstLine="640"/>
        <w:rPr>
          <w:rFonts w:ascii="方正楷体_GBK" w:hAnsi="方正楷体_GBK" w:eastAsia="方正楷体_GBK" w:cs="方正楷体_GBK"/>
        </w:rPr>
      </w:pPr>
      <w:r>
        <w:rPr>
          <w:rFonts w:hint="eastAsia" w:ascii="方正楷体_GBK" w:hAnsi="方正楷体_GBK" w:eastAsia="方正楷体_GBK" w:cs="方正楷体_GBK"/>
        </w:rPr>
        <w:t>（一）主要政策落实及重点工作开展情况</w:t>
      </w:r>
    </w:p>
    <w:p>
      <w:pPr>
        <w:spacing w:after="0"/>
        <w:ind w:firstLine="643"/>
      </w:pPr>
      <w:r>
        <w:rPr>
          <w:rFonts w:hint="eastAsia" w:ascii="方正楷体_GBK" w:hAnsi="方正楷体_GBK" w:eastAsia="方正楷体_GBK" w:cs="方正楷体_GBK"/>
          <w:b/>
          <w:bCs/>
          <w:szCs w:val="32"/>
        </w:rPr>
        <w:t>一是聚</w:t>
      </w:r>
      <w:r>
        <w:rPr>
          <w:rFonts w:ascii="方正楷体_GBK" w:hAnsi="方正楷体_GBK" w:eastAsia="方正楷体_GBK" w:cs="方正楷体_GBK"/>
          <w:b/>
          <w:bCs/>
          <w:szCs w:val="32"/>
        </w:rPr>
        <w:t>智</w:t>
      </w:r>
      <w:r>
        <w:rPr>
          <w:rFonts w:hint="eastAsia" w:ascii="方正楷体_GBK" w:hAnsi="方正楷体_GBK" w:eastAsia="方正楷体_GBK" w:cs="方正楷体_GBK"/>
          <w:b/>
          <w:bCs/>
          <w:szCs w:val="32"/>
        </w:rPr>
        <w:t>稳进增效，全方位夯实财政根基。</w:t>
      </w:r>
      <w:r>
        <w:rPr>
          <w:rFonts w:hint="eastAsia" w:ascii="方正仿宋_GBK" w:hAnsi="方正仿宋_GBK" w:cs="方正仿宋_GBK"/>
          <w:szCs w:val="32"/>
        </w:rPr>
        <w:t>强化财政管理与资源统筹，确保</w:t>
      </w:r>
      <w:r>
        <w:rPr>
          <w:rFonts w:ascii="方正仿宋_GBK" w:hAnsi="方正仿宋_GBK" w:cs="方正仿宋_GBK"/>
          <w:szCs w:val="32"/>
        </w:rPr>
        <w:t>全区财政工作平稳运行</w:t>
      </w:r>
      <w:r>
        <w:rPr>
          <w:rFonts w:hint="eastAsia" w:ascii="方正仿宋_GBK" w:hAnsi="方正仿宋_GBK" w:cs="方正仿宋_GBK"/>
          <w:szCs w:val="32"/>
        </w:rPr>
        <w:t>。</w:t>
      </w:r>
      <w:r>
        <w:rPr>
          <w:rFonts w:ascii="方正仿宋_GBK" w:cs="Times New Roman"/>
          <w:b/>
          <w:bCs/>
          <w:szCs w:val="32"/>
        </w:rPr>
        <w:t>税费协征</w:t>
      </w:r>
      <w:r>
        <w:rPr>
          <w:rFonts w:hint="eastAsia" w:ascii="方正仿宋_GBK" w:cs="Times New Roman"/>
          <w:b/>
          <w:bCs/>
          <w:szCs w:val="32"/>
        </w:rPr>
        <w:t>抓收入。</w:t>
      </w:r>
      <w:r>
        <w:rPr>
          <w:rFonts w:hint="eastAsia"/>
          <w:szCs w:val="32"/>
        </w:rPr>
        <w:t>提升支柱行业税收支撑作用，加大</w:t>
      </w:r>
      <w:r>
        <w:rPr>
          <w:szCs w:val="32"/>
        </w:rPr>
        <w:t>重点税源征管</w:t>
      </w:r>
      <w:r>
        <w:rPr>
          <w:rFonts w:hint="eastAsia"/>
          <w:szCs w:val="32"/>
        </w:rPr>
        <w:t>力度</w:t>
      </w:r>
      <w:r>
        <w:rPr>
          <w:szCs w:val="32"/>
        </w:rPr>
        <w:t>，</w:t>
      </w:r>
      <w:r>
        <w:rPr>
          <w:rFonts w:hint="eastAsia" w:cs="Times New Roman"/>
          <w:szCs w:val="32"/>
        </w:rPr>
        <w:t>全年区级</w:t>
      </w:r>
      <w:r>
        <w:rPr>
          <w:rFonts w:cs="Times New Roman"/>
          <w:szCs w:val="32"/>
        </w:rPr>
        <w:t>税收收</w:t>
      </w:r>
      <w:r>
        <w:rPr>
          <w:rFonts w:hint="eastAsia" w:cs="Times New Roman"/>
          <w:szCs w:val="32"/>
        </w:rPr>
        <w:t>入实现</w:t>
      </w:r>
      <w:r>
        <w:rPr>
          <w:rFonts w:cs="Times New Roman"/>
          <w:szCs w:val="32"/>
        </w:rPr>
        <w:t>12亿元，同比增长9</w:t>
      </w:r>
      <w:r>
        <w:rPr>
          <w:rFonts w:hint="eastAsia" w:cs="Times New Roman"/>
          <w:szCs w:val="32"/>
        </w:rPr>
        <w:t>.</w:t>
      </w:r>
      <w:r>
        <w:rPr>
          <w:rFonts w:cs="Times New Roman"/>
          <w:szCs w:val="32"/>
        </w:rPr>
        <w:t>3%</w:t>
      </w:r>
      <w:r>
        <w:rPr>
          <w:rFonts w:hint="eastAsia" w:cs="Times New Roman"/>
          <w:szCs w:val="32"/>
        </w:rPr>
        <w:t>，</w:t>
      </w:r>
      <w:r>
        <w:rPr>
          <w:rFonts w:hint="eastAsia" w:cs="Times New Roman"/>
          <w:szCs w:val="32"/>
          <w:shd w:val="clear" w:color="auto" w:fill="FFFFFF"/>
        </w:rPr>
        <w:t>增幅列中心城区第</w:t>
      </w:r>
      <w:r>
        <w:rPr>
          <w:rFonts w:cs="Times New Roman"/>
          <w:szCs w:val="32"/>
          <w:shd w:val="clear" w:color="auto" w:fill="FFFFFF"/>
        </w:rPr>
        <w:t>1</w:t>
      </w:r>
      <w:r>
        <w:rPr>
          <w:rFonts w:hint="eastAsia" w:cs="Times New Roman"/>
          <w:szCs w:val="32"/>
          <w:shd w:val="clear" w:color="auto" w:fill="FFFFFF"/>
        </w:rPr>
        <w:t>位</w:t>
      </w:r>
      <w:r>
        <w:rPr>
          <w:rFonts w:hint="eastAsia" w:cs="Times New Roman"/>
          <w:szCs w:val="32"/>
        </w:rPr>
        <w:t>；紧盯全年非税目标，打包镇街经营性资产，整合路内停车位，出让滨江文旅项目经营权，全年实现非税收入</w:t>
      </w:r>
      <w:r>
        <w:rPr>
          <w:rFonts w:cs="Times New Roman"/>
          <w:szCs w:val="32"/>
        </w:rPr>
        <w:t>8</w:t>
      </w:r>
      <w:r>
        <w:rPr>
          <w:rFonts w:hint="eastAsia" w:cs="Times New Roman"/>
          <w:szCs w:val="32"/>
        </w:rPr>
        <w:t>.</w:t>
      </w:r>
      <w:r>
        <w:rPr>
          <w:rFonts w:cs="Times New Roman"/>
          <w:szCs w:val="32"/>
        </w:rPr>
        <w:t>1</w:t>
      </w:r>
      <w:r>
        <w:rPr>
          <w:rFonts w:hint="eastAsia" w:cs="Times New Roman"/>
          <w:szCs w:val="32"/>
        </w:rPr>
        <w:t>亿元。</w:t>
      </w:r>
      <w:r>
        <w:rPr>
          <w:rFonts w:ascii="方正仿宋_GBK" w:hAnsi="___WRD_EMBED_SUB_52" w:cs="___WRD_EMBED_SUB_52"/>
          <w:b/>
          <w:bCs/>
          <w:szCs w:val="32"/>
        </w:rPr>
        <w:t>靶向施策争</w:t>
      </w:r>
      <w:r>
        <w:rPr>
          <w:rFonts w:hint="eastAsia" w:ascii="方正仿宋_GBK" w:hAnsi="___WRD_EMBED_SUB_52" w:cs="___WRD_EMBED_SUB_52"/>
          <w:b/>
          <w:bCs/>
          <w:szCs w:val="32"/>
        </w:rPr>
        <w:t>资金。</w:t>
      </w:r>
      <w:r>
        <w:rPr>
          <w:rFonts w:cs="Times New Roman"/>
          <w:szCs w:val="32"/>
        </w:rPr>
        <w:t>依据政策导向与区域发展战略需求</w:t>
      </w:r>
      <w:r>
        <w:rPr>
          <w:rFonts w:hint="eastAsia" w:cs="Times New Roman"/>
          <w:szCs w:val="32"/>
        </w:rPr>
        <w:t>，</w:t>
      </w:r>
      <w:r>
        <w:rPr>
          <w:rFonts w:hint="eastAsia" w:ascii="方正仿宋_GBK" w:hAnsi="方正仿宋_GBK" w:cs="方正仿宋_GBK"/>
          <w:szCs w:val="32"/>
          <w:lang w:bidi="ar"/>
        </w:rPr>
        <w:t>修订《大渡口</w:t>
      </w:r>
      <w:r>
        <w:rPr>
          <w:rFonts w:cs="Times New Roman"/>
          <w:szCs w:val="32"/>
          <w:lang w:bidi="ar"/>
        </w:rPr>
        <w:t>区2024年</w:t>
      </w:r>
      <w:r>
        <w:rPr>
          <w:rFonts w:hint="eastAsia" w:ascii="方正仿宋_GBK" w:hAnsi="方正仿宋_GBK" w:cs="方正仿宋_GBK"/>
          <w:szCs w:val="32"/>
          <w:lang w:bidi="ar"/>
        </w:rPr>
        <w:t>争取上级资金工作考核办法》，梳理</w:t>
      </w:r>
      <w:r>
        <w:rPr>
          <w:rFonts w:cs="Times New Roman"/>
          <w:szCs w:val="32"/>
          <w:lang w:bidi="ar"/>
        </w:rPr>
        <w:t>83项上级</w:t>
      </w:r>
      <w:r>
        <w:rPr>
          <w:rFonts w:hint="eastAsia" w:ascii="方正仿宋_GBK" w:hAnsi="方正仿宋_GBK" w:cs="方正仿宋_GBK"/>
          <w:szCs w:val="32"/>
          <w:lang w:bidi="ar"/>
        </w:rPr>
        <w:t>重点项目资金清单，汇总编制《大渡口</w:t>
      </w:r>
      <w:r>
        <w:rPr>
          <w:rFonts w:hint="eastAsia" w:cs="Times New Roman"/>
          <w:szCs w:val="32"/>
          <w:lang w:bidi="ar"/>
        </w:rPr>
        <w:t>区向上争资指南》。</w:t>
      </w:r>
      <w:r>
        <w:rPr>
          <w:rFonts w:ascii="方正仿宋_GBK" w:hAnsi="方正仿宋_GBK" w:cs="方正仿宋_GBK"/>
          <w:szCs w:val="32"/>
          <w:lang w:bidi="ar"/>
        </w:rPr>
        <w:t>争取到位一般公共预算</w:t>
      </w:r>
      <w:r>
        <w:rPr>
          <w:rFonts w:hint="eastAsia" w:ascii="方正仿宋_GBK" w:hAnsi="方正仿宋_GBK" w:cs="方正仿宋_GBK"/>
          <w:szCs w:val="32"/>
          <w:lang w:bidi="ar"/>
        </w:rPr>
        <w:t>补助</w:t>
      </w:r>
      <w:r>
        <w:rPr>
          <w:rFonts w:ascii="方正仿宋_GBK" w:hAnsi="方正仿宋_GBK" w:cs="方正仿宋_GBK"/>
          <w:szCs w:val="32"/>
          <w:lang w:bidi="ar"/>
        </w:rPr>
        <w:t>资金</w:t>
      </w:r>
      <w:r>
        <w:rPr>
          <w:rFonts w:cs="Times New Roman"/>
          <w:szCs w:val="32"/>
          <w:lang w:bidi="ar"/>
        </w:rPr>
        <w:t>16.3</w:t>
      </w:r>
      <w:r>
        <w:rPr>
          <w:rFonts w:ascii="方正仿宋_GBK" w:hAnsi="方正仿宋_GBK" w:cs="方正仿宋_GBK"/>
          <w:szCs w:val="32"/>
          <w:lang w:bidi="ar"/>
        </w:rPr>
        <w:t>亿元，争资总额创历史新高</w:t>
      </w:r>
      <w:r>
        <w:rPr>
          <w:rFonts w:hint="eastAsia" w:ascii="方正仿宋_GBK" w:hAnsi="方正仿宋_GBK" w:cs="方正仿宋_GBK"/>
          <w:szCs w:val="32"/>
          <w:lang w:bidi="ar"/>
        </w:rPr>
        <w:t>。</w:t>
      </w:r>
      <w:r>
        <w:rPr>
          <w:rFonts w:ascii="方正仿宋_GBK" w:hAnsi="___WRD_EMBED_SUB_52" w:cs="___WRD_EMBED_SUB_52"/>
          <w:b/>
          <w:bCs/>
          <w:szCs w:val="32"/>
        </w:rPr>
        <w:t>多维挖潜</w:t>
      </w:r>
      <w:r>
        <w:rPr>
          <w:rFonts w:hint="eastAsia" w:ascii="方正仿宋_GBK" w:hAnsi="___WRD_EMBED_SUB_52" w:cs="___WRD_EMBED_SUB_52"/>
          <w:b/>
          <w:bCs/>
          <w:szCs w:val="32"/>
        </w:rPr>
        <w:t>助增长。</w:t>
      </w:r>
      <w:r>
        <w:rPr>
          <w:rFonts w:hint="eastAsia" w:cs="Times New Roman"/>
          <w:szCs w:val="32"/>
        </w:rPr>
        <w:t>直面土地出让市场寒冬，积极盘活存量土地资源，全力推动建设用地土地权证办理，盘活存量土地，加大工业用地招商力度，加快土地收入资金回笼速度，土地收入实现</w:t>
      </w:r>
      <w:r>
        <w:rPr>
          <w:rFonts w:cs="Times New Roman"/>
          <w:szCs w:val="32"/>
        </w:rPr>
        <w:t>51</w:t>
      </w:r>
      <w:r>
        <w:rPr>
          <w:rFonts w:hint="eastAsia" w:cs="Times New Roman"/>
          <w:szCs w:val="32"/>
        </w:rPr>
        <w:t>.</w:t>
      </w:r>
      <w:r>
        <w:rPr>
          <w:rFonts w:cs="Times New Roman"/>
          <w:szCs w:val="32"/>
        </w:rPr>
        <w:t>5</w:t>
      </w:r>
      <w:r>
        <w:rPr>
          <w:rFonts w:hint="eastAsia" w:cs="Times New Roman"/>
          <w:szCs w:val="32"/>
        </w:rPr>
        <w:t>亿元。依托国企改革攻坚，促进国有经济布局优化和结构调整，提升国企经营效率，通过开展止损治亏、瘦身健体、提效增能，推进国有资产保值增值，实现</w:t>
      </w:r>
      <w:r>
        <w:rPr>
          <w:rFonts w:cs="Times New Roman"/>
          <w:szCs w:val="32"/>
        </w:rPr>
        <w:t>国有资本经营</w:t>
      </w:r>
      <w:r>
        <w:rPr>
          <w:rFonts w:hint="eastAsia" w:cs="Times New Roman"/>
          <w:szCs w:val="32"/>
        </w:rPr>
        <w:t>预算</w:t>
      </w:r>
      <w:r>
        <w:rPr>
          <w:rFonts w:cs="Times New Roman"/>
          <w:szCs w:val="32"/>
        </w:rPr>
        <w:t>收入2.5亿元。</w:t>
      </w:r>
    </w:p>
    <w:p>
      <w:pPr>
        <w:pStyle w:val="27"/>
        <w:spacing w:after="0"/>
        <w:ind w:firstLine="643"/>
        <w:jc w:val="both"/>
      </w:pPr>
      <w:r>
        <w:rPr>
          <w:rFonts w:hint="eastAsia" w:ascii="方正楷体_GBK" w:hAnsi="方正楷体_GBK" w:eastAsia="方正楷体_GBK" w:cs="方正楷体_GBK"/>
          <w:b/>
          <w:bCs/>
          <w:sz w:val="32"/>
          <w:szCs w:val="32"/>
        </w:rPr>
        <w:t>二是聚</w:t>
      </w:r>
      <w:r>
        <w:rPr>
          <w:rFonts w:ascii="方正楷体_GBK" w:hAnsi="方正楷体_GBK" w:eastAsia="方正楷体_GBK" w:cs="方正楷体_GBK"/>
          <w:b/>
          <w:bCs/>
          <w:sz w:val="32"/>
          <w:szCs w:val="32"/>
        </w:rPr>
        <w:t>焦</w:t>
      </w:r>
      <w:r>
        <w:rPr>
          <w:rFonts w:hint="eastAsia" w:ascii="方正楷体_GBK" w:hAnsi="方正楷体_GBK" w:eastAsia="方正楷体_GBK" w:cs="方正楷体_GBK"/>
          <w:b/>
          <w:bCs/>
          <w:sz w:val="32"/>
          <w:szCs w:val="32"/>
        </w:rPr>
        <w:t>民生为大，</w:t>
      </w:r>
      <w:r>
        <w:rPr>
          <w:rFonts w:ascii="方正楷体_GBK" w:hAnsi="方正楷体_GBK" w:eastAsia="方正楷体_GBK" w:cs="方正楷体_GBK"/>
          <w:b/>
          <w:bCs/>
          <w:sz w:val="32"/>
          <w:szCs w:val="32"/>
        </w:rPr>
        <w:t>全维度</w:t>
      </w:r>
      <w:r>
        <w:rPr>
          <w:rFonts w:hint="eastAsia" w:ascii="方正楷体_GBK" w:hAnsi="方正楷体_GBK" w:eastAsia="方正楷体_GBK" w:cs="方正楷体_GBK"/>
          <w:b/>
          <w:bCs/>
          <w:sz w:val="32"/>
          <w:szCs w:val="32"/>
        </w:rPr>
        <w:t>增进民生福祉。</w:t>
      </w:r>
      <w:r>
        <w:rPr>
          <w:rFonts w:ascii="Times New Roman" w:hAnsi="Times New Roman" w:cs="Times New Roman"/>
          <w:sz w:val="32"/>
          <w:szCs w:val="32"/>
        </w:rPr>
        <w:t>深入践</w:t>
      </w:r>
      <w:r>
        <w:rPr>
          <w:rFonts w:hint="eastAsia" w:ascii="方正仿宋_GBK" w:hAnsi="方正仿宋_GBK" w:cs="方正仿宋_GBK"/>
          <w:sz w:val="32"/>
          <w:szCs w:val="32"/>
        </w:rPr>
        <w:t>行“中国式现代化，民生为大”重</w:t>
      </w:r>
      <w:r>
        <w:rPr>
          <w:rFonts w:ascii="Times New Roman" w:hAnsi="Times New Roman" w:cs="Times New Roman"/>
          <w:sz w:val="32"/>
          <w:szCs w:val="32"/>
        </w:rPr>
        <w:t>要理念，围绕关键领域推进民呼我为。</w:t>
      </w:r>
      <w:r>
        <w:rPr>
          <w:rFonts w:hint="eastAsia" w:ascii="Times New Roman" w:hAnsi="Times New Roman" w:cs="Times New Roman"/>
          <w:b/>
          <w:bCs/>
          <w:sz w:val="32"/>
          <w:szCs w:val="32"/>
        </w:rPr>
        <w:t>夯实基础教育</w:t>
      </w:r>
      <w:r>
        <w:rPr>
          <w:rFonts w:ascii="Times New Roman" w:hAnsi="Times New Roman" w:cs="Times New Roman"/>
          <w:b/>
          <w:bCs/>
          <w:sz w:val="32"/>
          <w:szCs w:val="32"/>
        </w:rPr>
        <w:t>。</w:t>
      </w:r>
      <w:r>
        <w:rPr>
          <w:rFonts w:hint="eastAsia" w:ascii="Times New Roman" w:hAnsi="Times New Roman" w:cs="Times New Roman"/>
          <w:kern w:val="0"/>
          <w:sz w:val="32"/>
          <w:szCs w:val="32"/>
        </w:rPr>
        <w:t>坚</w:t>
      </w:r>
      <w:r>
        <w:rPr>
          <w:rFonts w:ascii="Times New Roman" w:hAnsi="Times New Roman" w:cs="Times New Roman"/>
          <w:kern w:val="0"/>
          <w:sz w:val="32"/>
          <w:szCs w:val="32"/>
        </w:rPr>
        <w:t>定教育优先战略，实现</w:t>
      </w:r>
      <w:r>
        <w:rPr>
          <w:rFonts w:hint="eastAsia" w:ascii="Times New Roman" w:hAnsi="Times New Roman" w:cs="Times New Roman"/>
          <w:kern w:val="0"/>
          <w:sz w:val="32"/>
          <w:szCs w:val="32"/>
        </w:rPr>
        <w:t>一般公共预算教育支出</w:t>
      </w:r>
      <w:r>
        <w:rPr>
          <w:rFonts w:hint="eastAsia" w:ascii="方正仿宋_GBK" w:hAnsi="方正仿宋_GBK" w:cs="方正仿宋_GBK"/>
          <w:kern w:val="0"/>
          <w:sz w:val="32"/>
          <w:szCs w:val="32"/>
        </w:rPr>
        <w:t>“两个只增不减”</w:t>
      </w:r>
      <w:r>
        <w:rPr>
          <w:rFonts w:ascii="方正仿宋_GBK" w:hAnsi="方正仿宋_GBK" w:cs="方正仿宋_GBK"/>
          <w:kern w:val="0"/>
          <w:sz w:val="32"/>
          <w:szCs w:val="32"/>
        </w:rPr>
        <w:t>。</w:t>
      </w:r>
      <w:r>
        <w:rPr>
          <w:rFonts w:hint="eastAsia" w:ascii="Times New Roman" w:hAnsi="Times New Roman" w:cs="Times New Roman"/>
          <w:kern w:val="0"/>
          <w:sz w:val="32"/>
          <w:szCs w:val="32"/>
        </w:rPr>
        <w:t>义务教育阶段及高中</w:t>
      </w:r>
      <w:r>
        <w:rPr>
          <w:rFonts w:ascii="Times New Roman" w:hAnsi="Times New Roman" w:cs="Times New Roman"/>
          <w:kern w:val="0"/>
          <w:sz w:val="32"/>
          <w:szCs w:val="32"/>
        </w:rPr>
        <w:t>生均</w:t>
      </w:r>
      <w:r>
        <w:rPr>
          <w:rFonts w:hint="eastAsia" w:ascii="Times New Roman" w:hAnsi="Times New Roman" w:cs="Times New Roman"/>
          <w:kern w:val="0"/>
          <w:sz w:val="32"/>
          <w:szCs w:val="32"/>
        </w:rPr>
        <w:t>公用经费基准定额提高</w:t>
      </w:r>
      <w:r>
        <w:rPr>
          <w:rFonts w:ascii="Times New Roman" w:hAnsi="Times New Roman" w:cs="Times New Roman"/>
          <w:kern w:val="0"/>
          <w:sz w:val="32"/>
          <w:szCs w:val="32"/>
        </w:rPr>
        <w:t>50</w:t>
      </w:r>
      <w:r>
        <w:rPr>
          <w:rFonts w:hint="eastAsia" w:ascii="Times New Roman" w:hAnsi="Times New Roman" w:cs="Times New Roman"/>
          <w:kern w:val="0"/>
          <w:sz w:val="32"/>
          <w:szCs w:val="32"/>
        </w:rPr>
        <w:t>元/人·年；落实</w:t>
      </w:r>
      <w:r>
        <w:rPr>
          <w:rFonts w:hint="eastAsia" w:ascii="方正仿宋_GBK" w:hAnsi="方正仿宋_GBK" w:cs="方正仿宋_GBK"/>
          <w:kern w:val="0"/>
          <w:sz w:val="32"/>
          <w:szCs w:val="32"/>
        </w:rPr>
        <w:t>“全覆盖”</w:t>
      </w:r>
      <w:r>
        <w:rPr>
          <w:rFonts w:ascii="Times New Roman" w:hAnsi="Times New Roman" w:cs="Times New Roman"/>
          <w:kern w:val="0"/>
          <w:sz w:val="32"/>
          <w:szCs w:val="32"/>
        </w:rPr>
        <w:t>教育资助体系</w:t>
      </w:r>
      <w:r>
        <w:rPr>
          <w:rFonts w:hint="eastAsia" w:ascii="Times New Roman" w:hAnsi="Times New Roman" w:cs="Times New Roman"/>
          <w:kern w:val="0"/>
          <w:sz w:val="32"/>
          <w:szCs w:val="32"/>
        </w:rPr>
        <w:t>，发放资助资金</w:t>
      </w:r>
      <w:r>
        <w:rPr>
          <w:rFonts w:ascii="Times New Roman" w:hAnsi="Times New Roman" w:cs="Times New Roman"/>
          <w:kern w:val="0"/>
          <w:sz w:val="32"/>
          <w:szCs w:val="32"/>
        </w:rPr>
        <w:t>1</w:t>
      </w:r>
      <w:r>
        <w:rPr>
          <w:rFonts w:hint="eastAsia" w:ascii="Times New Roman" w:hAnsi="Times New Roman" w:cs="Times New Roman"/>
          <w:kern w:val="0"/>
          <w:sz w:val="32"/>
          <w:szCs w:val="32"/>
        </w:rPr>
        <w:t>,</w:t>
      </w:r>
      <w:r>
        <w:rPr>
          <w:rFonts w:ascii="Times New Roman" w:hAnsi="Times New Roman" w:cs="Times New Roman"/>
          <w:kern w:val="0"/>
          <w:sz w:val="32"/>
          <w:szCs w:val="32"/>
        </w:rPr>
        <w:t>800</w:t>
      </w:r>
      <w:r>
        <w:rPr>
          <w:rFonts w:hint="eastAsia" w:ascii="Times New Roman" w:hAnsi="Times New Roman" w:cs="Times New Roman"/>
          <w:kern w:val="0"/>
          <w:sz w:val="32"/>
          <w:szCs w:val="32"/>
        </w:rPr>
        <w:t>万元，惠及学生</w:t>
      </w:r>
      <w:r>
        <w:rPr>
          <w:rFonts w:ascii="Times New Roman" w:hAnsi="Times New Roman" w:cs="Times New Roman"/>
          <w:kern w:val="0"/>
          <w:sz w:val="32"/>
          <w:szCs w:val="32"/>
        </w:rPr>
        <w:t>1</w:t>
      </w:r>
      <w:r>
        <w:rPr>
          <w:rFonts w:hint="eastAsia" w:ascii="Times New Roman" w:hAnsi="Times New Roman" w:cs="Times New Roman"/>
          <w:kern w:val="0"/>
          <w:sz w:val="32"/>
          <w:szCs w:val="32"/>
        </w:rPr>
        <w:t>.</w:t>
      </w:r>
      <w:r>
        <w:rPr>
          <w:rFonts w:ascii="Times New Roman" w:hAnsi="Times New Roman" w:cs="Times New Roman"/>
          <w:kern w:val="0"/>
          <w:sz w:val="32"/>
          <w:szCs w:val="32"/>
        </w:rPr>
        <w:t>6</w:t>
      </w:r>
      <w:r>
        <w:rPr>
          <w:rFonts w:hint="eastAsia" w:ascii="Times New Roman" w:hAnsi="Times New Roman" w:cs="Times New Roman"/>
          <w:kern w:val="0"/>
          <w:sz w:val="32"/>
          <w:szCs w:val="32"/>
        </w:rPr>
        <w:t>万人次。扩大公办资源供给，新开办实验幼儿园春草园</w:t>
      </w:r>
      <w:r>
        <w:rPr>
          <w:rFonts w:ascii="Times New Roman" w:hAnsi="Times New Roman" w:cs="Times New Roman"/>
          <w:kern w:val="0"/>
          <w:sz w:val="32"/>
          <w:szCs w:val="32"/>
        </w:rPr>
        <w:t>B</w:t>
      </w:r>
      <w:r>
        <w:rPr>
          <w:rFonts w:hint="eastAsia" w:ascii="Times New Roman" w:hAnsi="Times New Roman" w:cs="Times New Roman"/>
          <w:kern w:val="0"/>
          <w:sz w:val="32"/>
          <w:szCs w:val="32"/>
        </w:rPr>
        <w:t>区、跳磴幼儿园西城首府园</w:t>
      </w:r>
      <w:r>
        <w:rPr>
          <w:rFonts w:ascii="Times New Roman" w:hAnsi="Times New Roman" w:cs="Times New Roman"/>
          <w:kern w:val="0"/>
          <w:sz w:val="32"/>
          <w:szCs w:val="32"/>
        </w:rPr>
        <w:t>公</w:t>
      </w:r>
      <w:r>
        <w:rPr>
          <w:rFonts w:hint="eastAsia" w:ascii="Times New Roman" w:hAnsi="Times New Roman" w:cs="Times New Roman"/>
          <w:kern w:val="0"/>
          <w:sz w:val="32"/>
          <w:szCs w:val="32"/>
        </w:rPr>
        <w:t>办园</w:t>
      </w:r>
      <w:r>
        <w:rPr>
          <w:rFonts w:ascii="Times New Roman" w:hAnsi="Times New Roman" w:cs="Times New Roman"/>
          <w:kern w:val="0"/>
          <w:sz w:val="32"/>
          <w:szCs w:val="32"/>
        </w:rPr>
        <w:t>2</w:t>
      </w:r>
      <w:r>
        <w:rPr>
          <w:rFonts w:hint="eastAsia" w:ascii="Times New Roman" w:hAnsi="Times New Roman" w:cs="Times New Roman"/>
          <w:kern w:val="0"/>
          <w:sz w:val="32"/>
          <w:szCs w:val="32"/>
        </w:rPr>
        <w:t>所；育才雪芮学校和自启学校建成投用，新增义务教育阶段学位</w:t>
      </w:r>
      <w:r>
        <w:rPr>
          <w:rFonts w:ascii="Times New Roman" w:hAnsi="Times New Roman" w:cs="Times New Roman"/>
          <w:kern w:val="0"/>
          <w:sz w:val="32"/>
          <w:szCs w:val="32"/>
        </w:rPr>
        <w:t>3</w:t>
      </w:r>
      <w:r>
        <w:rPr>
          <w:rFonts w:hint="eastAsia" w:ascii="Times New Roman" w:hAnsi="Times New Roman" w:cs="Times New Roman"/>
          <w:kern w:val="0"/>
          <w:sz w:val="32"/>
          <w:szCs w:val="32"/>
        </w:rPr>
        <w:t>,</w:t>
      </w:r>
      <w:r>
        <w:rPr>
          <w:rFonts w:ascii="Times New Roman" w:hAnsi="Times New Roman" w:cs="Times New Roman"/>
          <w:kern w:val="0"/>
          <w:sz w:val="32"/>
          <w:szCs w:val="32"/>
        </w:rPr>
        <w:t>870</w:t>
      </w:r>
      <w:r>
        <w:rPr>
          <w:rFonts w:hint="eastAsia" w:ascii="Times New Roman" w:hAnsi="Times New Roman" w:cs="Times New Roman"/>
          <w:kern w:val="0"/>
          <w:sz w:val="32"/>
          <w:szCs w:val="32"/>
        </w:rPr>
        <w:t>个。</w:t>
      </w:r>
      <w:r>
        <w:rPr>
          <w:rFonts w:hint="eastAsia" w:ascii="Times New Roman" w:hAnsi="Times New Roman" w:cs="Times New Roman"/>
          <w:b/>
          <w:bCs/>
          <w:kern w:val="0"/>
          <w:sz w:val="32"/>
          <w:szCs w:val="32"/>
        </w:rPr>
        <w:t>办好</w:t>
      </w:r>
      <w:r>
        <w:rPr>
          <w:rFonts w:ascii="Times New Roman" w:hAnsi="Times New Roman" w:cs="Times New Roman"/>
          <w:b/>
          <w:bCs/>
          <w:kern w:val="0"/>
          <w:sz w:val="32"/>
          <w:szCs w:val="32"/>
        </w:rPr>
        <w:t>民生实事。</w:t>
      </w:r>
      <w:r>
        <w:rPr>
          <w:rFonts w:hint="eastAsia" w:ascii="Times New Roman" w:hAnsi="Times New Roman" w:cs="Times New Roman"/>
          <w:kern w:val="0"/>
          <w:sz w:val="32"/>
          <w:szCs w:val="32"/>
        </w:rPr>
        <w:t>通过</w:t>
      </w:r>
      <w:r>
        <w:rPr>
          <w:rFonts w:ascii="Times New Roman" w:hAnsi="Times New Roman" w:cs="Times New Roman"/>
          <w:sz w:val="32"/>
          <w:szCs w:val="32"/>
        </w:rPr>
        <w:t>统筹上级</w:t>
      </w:r>
      <w:r>
        <w:rPr>
          <w:rFonts w:hint="eastAsia" w:ascii="Times New Roman" w:hAnsi="Times New Roman" w:cs="Times New Roman"/>
          <w:sz w:val="32"/>
          <w:szCs w:val="32"/>
        </w:rPr>
        <w:t>资金</w:t>
      </w:r>
      <w:r>
        <w:rPr>
          <w:rFonts w:ascii="Times New Roman" w:hAnsi="Times New Roman" w:cs="Times New Roman"/>
          <w:sz w:val="32"/>
          <w:szCs w:val="32"/>
        </w:rPr>
        <w:t>、安排区级预算、</w:t>
      </w:r>
      <w:r>
        <w:rPr>
          <w:rFonts w:hint="eastAsia" w:ascii="Times New Roman" w:hAnsi="Times New Roman" w:cs="Times New Roman"/>
          <w:sz w:val="32"/>
          <w:szCs w:val="32"/>
        </w:rPr>
        <w:t>引入</w:t>
      </w:r>
      <w:r>
        <w:rPr>
          <w:rFonts w:ascii="Times New Roman" w:hAnsi="Times New Roman" w:cs="Times New Roman"/>
          <w:sz w:val="32"/>
          <w:szCs w:val="32"/>
        </w:rPr>
        <w:t>社会投资</w:t>
      </w:r>
      <w:r>
        <w:rPr>
          <w:rFonts w:hint="eastAsia" w:ascii="Times New Roman" w:hAnsi="Times New Roman" w:cs="Times New Roman"/>
          <w:sz w:val="32"/>
          <w:szCs w:val="32"/>
        </w:rPr>
        <w:t>等方式筹措资金</w:t>
      </w:r>
      <w:r>
        <w:rPr>
          <w:rFonts w:ascii="Times New Roman" w:hAnsi="Times New Roman" w:cs="Times New Roman"/>
          <w:sz w:val="32"/>
          <w:szCs w:val="32"/>
        </w:rPr>
        <w:t>1.9亿元，实施好</w:t>
      </w:r>
      <w:r>
        <w:rPr>
          <w:rFonts w:hint="eastAsia" w:ascii="Times New Roman" w:hAnsi="Times New Roman" w:cs="Times New Roman"/>
          <w:sz w:val="32"/>
          <w:szCs w:val="32"/>
        </w:rPr>
        <w:t>城市绿荫工程、农村黑臭水体治理攻坚</w:t>
      </w:r>
      <w:r>
        <w:rPr>
          <w:rFonts w:ascii="Times New Roman" w:hAnsi="Times New Roman" w:cs="Times New Roman"/>
          <w:sz w:val="32"/>
          <w:szCs w:val="32"/>
        </w:rPr>
        <w:t>等民生实事</w:t>
      </w:r>
      <w:r>
        <w:rPr>
          <w:rFonts w:hint="eastAsia" w:ascii="Times New Roman" w:hAnsi="Times New Roman" w:cs="Times New Roman"/>
          <w:sz w:val="32"/>
          <w:szCs w:val="32"/>
        </w:rPr>
        <w:t>。</w:t>
      </w:r>
      <w:r>
        <w:rPr>
          <w:rFonts w:ascii="Times New Roman" w:hAnsi="Times New Roman" w:cs="Times New Roman"/>
          <w:sz w:val="32"/>
          <w:szCs w:val="32"/>
        </w:rPr>
        <w:t>完成7</w:t>
      </w:r>
      <w:r>
        <w:rPr>
          <w:rFonts w:hint="eastAsia" w:ascii="Times New Roman" w:hAnsi="Times New Roman" w:cs="Times New Roman"/>
          <w:sz w:val="32"/>
          <w:szCs w:val="32"/>
        </w:rPr>
        <w:t>,</w:t>
      </w:r>
      <w:r>
        <w:rPr>
          <w:rFonts w:ascii="Times New Roman" w:hAnsi="Times New Roman" w:cs="Times New Roman"/>
          <w:sz w:val="32"/>
          <w:szCs w:val="32"/>
        </w:rPr>
        <w:t>900平方米城市重要节点景观提升、8.9公里绿道建设，新增</w:t>
      </w:r>
      <w:r>
        <w:rPr>
          <w:rFonts w:hint="eastAsia" w:ascii="Times New Roman" w:hAnsi="Times New Roman" w:cs="Times New Roman"/>
          <w:sz w:val="32"/>
          <w:szCs w:val="32"/>
        </w:rPr>
        <w:t>停车泊位</w:t>
      </w:r>
      <w:r>
        <w:rPr>
          <w:rFonts w:ascii="Times New Roman" w:hAnsi="Times New Roman" w:cs="Times New Roman"/>
          <w:sz w:val="32"/>
          <w:szCs w:val="32"/>
        </w:rPr>
        <w:t>1</w:t>
      </w:r>
      <w:r>
        <w:rPr>
          <w:rFonts w:hint="eastAsia" w:ascii="Times New Roman" w:hAnsi="Times New Roman" w:cs="Times New Roman"/>
          <w:sz w:val="32"/>
          <w:szCs w:val="32"/>
        </w:rPr>
        <w:t>,</w:t>
      </w:r>
      <w:r>
        <w:rPr>
          <w:rFonts w:ascii="Times New Roman" w:hAnsi="Times New Roman" w:cs="Times New Roman"/>
          <w:sz w:val="32"/>
          <w:szCs w:val="32"/>
        </w:rPr>
        <w:t>665</w:t>
      </w:r>
      <w:r>
        <w:rPr>
          <w:rFonts w:hint="eastAsia" w:ascii="Times New Roman" w:hAnsi="Times New Roman" w:cs="Times New Roman"/>
          <w:sz w:val="32"/>
          <w:szCs w:val="32"/>
        </w:rPr>
        <w:t>个</w:t>
      </w:r>
      <w:r>
        <w:rPr>
          <w:rFonts w:hint="eastAsia" w:ascii="Times New Roman" w:hAnsi="Times New Roman"/>
          <w:sz w:val="32"/>
          <w:szCs w:val="32"/>
        </w:rPr>
        <w:t>，</w:t>
      </w:r>
      <w:r>
        <w:rPr>
          <w:rFonts w:ascii="Times New Roman" w:hAnsi="Times New Roman"/>
          <w:sz w:val="32"/>
          <w:szCs w:val="32"/>
        </w:rPr>
        <w:t>改造</w:t>
      </w:r>
      <w:r>
        <w:rPr>
          <w:rFonts w:ascii="Times New Roman" w:hAnsi="Times New Roman" w:cs="Times New Roman"/>
          <w:sz w:val="32"/>
          <w:szCs w:val="32"/>
        </w:rPr>
        <w:t>9</w:t>
      </w:r>
      <w:r>
        <w:rPr>
          <w:rFonts w:hint="eastAsia" w:ascii="Times New Roman" w:hAnsi="Times New Roman"/>
          <w:sz w:val="32"/>
          <w:szCs w:val="32"/>
        </w:rPr>
        <w:t>个老旧小区</w:t>
      </w:r>
      <w:r>
        <w:rPr>
          <w:rFonts w:ascii="Times New Roman" w:hAnsi="Times New Roman"/>
          <w:sz w:val="32"/>
          <w:szCs w:val="32"/>
        </w:rPr>
        <w:t>，促</w:t>
      </w:r>
      <w:r>
        <w:rPr>
          <w:rFonts w:hint="eastAsia" w:ascii="Times New Roman" w:hAnsi="Times New Roman"/>
          <w:sz w:val="32"/>
          <w:szCs w:val="32"/>
        </w:rPr>
        <w:t>进城市环境更加宜居；开展红十字持证救护员培训，农村地区签约家庭医生服务率达到</w:t>
      </w:r>
      <w:r>
        <w:rPr>
          <w:rFonts w:ascii="Times New Roman" w:hAnsi="Times New Roman" w:cs="Times New Roman"/>
          <w:sz w:val="32"/>
          <w:szCs w:val="32"/>
        </w:rPr>
        <w:t>100</w:t>
      </w:r>
      <w:r>
        <w:rPr>
          <w:rFonts w:hint="eastAsia" w:ascii="Times New Roman" w:hAnsi="Times New Roman"/>
          <w:sz w:val="32"/>
          <w:szCs w:val="32"/>
        </w:rPr>
        <w:t>%，</w:t>
      </w:r>
      <w:r>
        <w:rPr>
          <w:rFonts w:ascii="Times New Roman" w:hAnsi="Times New Roman"/>
          <w:sz w:val="32"/>
          <w:szCs w:val="32"/>
        </w:rPr>
        <w:t>持续提升居民生活品质</w:t>
      </w:r>
      <w:r>
        <w:rPr>
          <w:rFonts w:hint="eastAsia" w:ascii="Times New Roman" w:hAnsi="Times New Roman"/>
          <w:sz w:val="32"/>
          <w:szCs w:val="32"/>
        </w:rPr>
        <w:t>。</w:t>
      </w:r>
      <w:r>
        <w:rPr>
          <w:rFonts w:hint="eastAsia" w:ascii="Times New Roman" w:hAnsi="Times New Roman"/>
          <w:b/>
          <w:bCs/>
          <w:sz w:val="32"/>
          <w:szCs w:val="32"/>
        </w:rPr>
        <w:t>打造美丽乡村。</w:t>
      </w:r>
      <w:r>
        <w:rPr>
          <w:rFonts w:hint="eastAsia" w:ascii="Times New Roman" w:hAnsi="Times New Roman" w:cs="Times New Roman"/>
          <w:kern w:val="0"/>
          <w:sz w:val="32"/>
          <w:szCs w:val="32"/>
        </w:rPr>
        <w:t>拓</w:t>
      </w:r>
      <w:r>
        <w:rPr>
          <w:rFonts w:hint="eastAsia" w:cs="Times New Roman"/>
          <w:kern w:val="0"/>
          <w:sz w:val="32"/>
          <w:szCs w:val="32"/>
        </w:rPr>
        <w:t>宽资金筹集渠道，统筹资金</w:t>
      </w:r>
      <w:r>
        <w:rPr>
          <w:rFonts w:ascii="Times New Roman" w:hAnsi="Times New Roman" w:cs="Times New Roman"/>
          <w:kern w:val="0"/>
          <w:sz w:val="32"/>
          <w:szCs w:val="32"/>
        </w:rPr>
        <w:t>近1</w:t>
      </w:r>
      <w:r>
        <w:rPr>
          <w:rFonts w:hint="eastAsia" w:cs="Times New Roman"/>
          <w:kern w:val="0"/>
          <w:sz w:val="32"/>
          <w:szCs w:val="32"/>
        </w:rPr>
        <w:t>亿元，专项用于农业农村建设，</w:t>
      </w:r>
      <w:r>
        <w:rPr>
          <w:rFonts w:ascii="Times New Roman" w:hAnsi="Times New Roman" w:cs="Times New Roman"/>
          <w:kern w:val="0"/>
          <w:sz w:val="32"/>
          <w:szCs w:val="32"/>
        </w:rPr>
        <w:t>全力打造景区式田园，</w:t>
      </w:r>
      <w:r>
        <w:rPr>
          <w:rFonts w:hint="eastAsia" w:cs="Times New Roman"/>
          <w:kern w:val="0"/>
          <w:sz w:val="32"/>
          <w:szCs w:val="32"/>
        </w:rPr>
        <w:t>支持</w:t>
      </w:r>
      <w:r>
        <w:rPr>
          <w:rFonts w:hint="eastAsia" w:ascii="方正仿宋_GBK" w:cs="Times New Roman"/>
          <w:kern w:val="0"/>
          <w:sz w:val="32"/>
          <w:szCs w:val="32"/>
        </w:rPr>
        <w:t>“</w:t>
      </w:r>
      <w:r>
        <w:rPr>
          <w:rFonts w:hint="eastAsia" w:cs="Times New Roman"/>
          <w:kern w:val="0"/>
          <w:sz w:val="32"/>
          <w:szCs w:val="32"/>
        </w:rPr>
        <w:t>金鳌田园</w:t>
      </w:r>
      <w:r>
        <w:rPr>
          <w:rFonts w:hint="eastAsia" w:ascii="方正仿宋_GBK" w:cs="Times New Roman"/>
          <w:kern w:val="0"/>
          <w:sz w:val="32"/>
          <w:szCs w:val="32"/>
        </w:rPr>
        <w:t>”</w:t>
      </w:r>
      <w:r>
        <w:rPr>
          <w:rFonts w:hint="eastAsia" w:cs="Times New Roman"/>
          <w:kern w:val="0"/>
          <w:sz w:val="32"/>
          <w:szCs w:val="32"/>
        </w:rPr>
        <w:t>国家</w:t>
      </w:r>
      <w:r>
        <w:rPr>
          <w:rFonts w:ascii="Times New Roman" w:hAnsi="Times New Roman" w:cs="Times New Roman"/>
          <w:kern w:val="0"/>
          <w:sz w:val="32"/>
          <w:szCs w:val="32"/>
        </w:rPr>
        <w:t>AAAA</w:t>
      </w:r>
      <w:r>
        <w:rPr>
          <w:rFonts w:hint="eastAsia" w:cs="Times New Roman"/>
          <w:kern w:val="0"/>
          <w:sz w:val="32"/>
          <w:szCs w:val="32"/>
        </w:rPr>
        <w:t>级旅游景区提档升级</w:t>
      </w:r>
      <w:r>
        <w:rPr>
          <w:rFonts w:hint="eastAsia" w:ascii="Times New Roman" w:hAnsi="Times New Roman" w:cs="Times New Roman"/>
          <w:kern w:val="0"/>
          <w:sz w:val="32"/>
          <w:szCs w:val="32"/>
        </w:rPr>
        <w:t>；</w:t>
      </w:r>
      <w:r>
        <w:rPr>
          <w:rFonts w:ascii="Times New Roman" w:hAnsi="Times New Roman" w:cs="Times New Roman"/>
          <w:kern w:val="0"/>
          <w:sz w:val="32"/>
          <w:szCs w:val="32"/>
        </w:rPr>
        <w:t>整合资金600万元，持续推进</w:t>
      </w:r>
      <w:r>
        <w:rPr>
          <w:rFonts w:hint="eastAsia" w:ascii="Times New Roman" w:hAnsi="Times New Roman" w:cs="Times New Roman"/>
          <w:kern w:val="0"/>
          <w:sz w:val="32"/>
          <w:szCs w:val="32"/>
        </w:rPr>
        <w:t>中梁山片区环境成片整治</w:t>
      </w:r>
      <w:r>
        <w:rPr>
          <w:rFonts w:ascii="Times New Roman" w:hAnsi="Times New Roman" w:cs="Times New Roman"/>
          <w:kern w:val="0"/>
          <w:sz w:val="32"/>
          <w:szCs w:val="32"/>
        </w:rPr>
        <w:t>，成功创建</w:t>
      </w:r>
      <w:r>
        <w:rPr>
          <w:rFonts w:hint="eastAsia" w:ascii="方正仿宋_GBK" w:hAnsi="方正仿宋_GBK" w:cs="方正仿宋_GBK"/>
          <w:kern w:val="0"/>
          <w:sz w:val="32"/>
          <w:szCs w:val="32"/>
        </w:rPr>
        <w:t>区级“无废乡村”</w:t>
      </w:r>
      <w:r>
        <w:rPr>
          <w:rFonts w:ascii="Times New Roman" w:hAnsi="Times New Roman" w:cs="Times New Roman"/>
          <w:kern w:val="0"/>
          <w:sz w:val="32"/>
          <w:szCs w:val="32"/>
        </w:rPr>
        <w:t>5个</w:t>
      </w:r>
      <w:r>
        <w:rPr>
          <w:rFonts w:hint="eastAsia" w:ascii="Times New Roman" w:hAnsi="Times New Roman" w:cs="Times New Roman"/>
          <w:kern w:val="0"/>
          <w:sz w:val="32"/>
          <w:szCs w:val="32"/>
        </w:rPr>
        <w:t>、</w:t>
      </w:r>
      <w:r>
        <w:rPr>
          <w:rFonts w:ascii="Times New Roman" w:hAnsi="Times New Roman" w:cs="Times New Roman"/>
          <w:kern w:val="0"/>
          <w:sz w:val="32"/>
          <w:szCs w:val="32"/>
        </w:rPr>
        <w:t>巴渝和美院落16个</w:t>
      </w:r>
      <w:r>
        <w:rPr>
          <w:rFonts w:hint="eastAsia" w:ascii="Times New Roman" w:hAnsi="Times New Roman" w:cs="Times New Roman"/>
          <w:kern w:val="0"/>
          <w:sz w:val="32"/>
          <w:szCs w:val="32"/>
        </w:rPr>
        <w:t>。</w:t>
      </w:r>
    </w:p>
    <w:p>
      <w:pPr>
        <w:pStyle w:val="7"/>
        <w:spacing w:after="0"/>
        <w:ind w:firstLine="643"/>
        <w:rPr>
          <w:rFonts w:ascii="方正楷体_GBK" w:hAnsi="方正仿宋_GBK" w:eastAsia="方正楷体_GBK" w:cs="方正仿宋_GBK"/>
          <w:b/>
          <w:bCs/>
          <w:szCs w:val="32"/>
        </w:rPr>
      </w:pPr>
      <w:r>
        <w:rPr>
          <w:rFonts w:hint="eastAsia" w:ascii="方正楷体_GBK" w:hAnsi="方正楷体_GBK" w:eastAsia="方正楷体_GBK" w:cs="方正楷体_GBK"/>
          <w:b/>
          <w:bCs/>
          <w:szCs w:val="32"/>
        </w:rPr>
        <w:t>三是聚</w:t>
      </w:r>
      <w:r>
        <w:rPr>
          <w:rFonts w:ascii="方正楷体_GBK" w:hAnsi="方正楷体_GBK" w:eastAsia="方正楷体_GBK" w:cs="方正楷体_GBK"/>
          <w:b/>
          <w:bCs/>
          <w:szCs w:val="32"/>
        </w:rPr>
        <w:t>力</w:t>
      </w:r>
      <w:r>
        <w:rPr>
          <w:rFonts w:hint="eastAsia" w:ascii="方正楷体_GBK" w:hAnsi="方正楷体_GBK" w:eastAsia="方正楷体_GBK" w:cs="方正楷体_GBK"/>
          <w:b/>
          <w:bCs/>
          <w:szCs w:val="32"/>
        </w:rPr>
        <w:t>助企纾困，全链条释放市场活力</w:t>
      </w:r>
      <w:r>
        <w:rPr>
          <w:rFonts w:hint="eastAsia" w:ascii="方正仿宋_GBK" w:hAnsi="方正仿宋_GBK" w:eastAsia="方正仿宋_GBK" w:cs="方正仿宋_GBK"/>
          <w:b/>
          <w:bCs/>
          <w:szCs w:val="32"/>
        </w:rPr>
        <w:t>。</w:t>
      </w:r>
      <w:r>
        <w:rPr>
          <w:rFonts w:hint="eastAsia" w:ascii="方正仿宋_GBK" w:hAnsi="方正仿宋_GBK" w:eastAsia="方正仿宋_GBK" w:cs="方正仿宋_GBK"/>
          <w:szCs w:val="32"/>
        </w:rPr>
        <w:t>抢抓一揽子政策机遇期，聚焦“</w:t>
      </w:r>
      <w:r>
        <w:rPr>
          <w:rFonts w:eastAsia="方正仿宋_GBK"/>
          <w:szCs w:val="32"/>
        </w:rPr>
        <w:t>33618</w:t>
      </w:r>
      <w:r>
        <w:rPr>
          <w:rFonts w:hint="eastAsia" w:ascii="方正仿宋_GBK" w:hAnsi="方正仿宋_GBK" w:eastAsia="方正仿宋_GBK" w:cs="方正仿宋_GBK"/>
          <w:szCs w:val="32"/>
        </w:rPr>
        <w:t>”</w:t>
      </w:r>
      <w:r>
        <w:rPr>
          <w:rFonts w:eastAsia="方正仿宋_GBK"/>
          <w:szCs w:val="32"/>
        </w:rPr>
        <w:t>现代制造业集群体系</w:t>
      </w:r>
      <w:r>
        <w:rPr>
          <w:rFonts w:hint="eastAsia" w:ascii="方正仿宋_GBK" w:eastAsia="方正仿宋_GBK"/>
          <w:szCs w:val="32"/>
        </w:rPr>
        <w:t>“</w:t>
      </w:r>
      <w:r>
        <w:rPr>
          <w:rFonts w:hint="eastAsia" w:eastAsia="方正仿宋_GBK"/>
          <w:szCs w:val="32"/>
        </w:rPr>
        <w:t>提能级</w:t>
      </w:r>
      <w:r>
        <w:rPr>
          <w:rFonts w:hint="eastAsia" w:ascii="方正仿宋_GBK" w:eastAsia="方正仿宋_GBK"/>
          <w:szCs w:val="32"/>
        </w:rPr>
        <w:t>”</w:t>
      </w:r>
      <w:r>
        <w:rPr>
          <w:rFonts w:hint="eastAsia" w:ascii="方正仿宋_GBK" w:hAnsi="方正仿宋_GBK" w:eastAsia="方正仿宋_GBK" w:cs="方正仿宋_GBK"/>
          <w:szCs w:val="32"/>
        </w:rPr>
        <w:t>，注入市场活力、提振市场信心。</w:t>
      </w:r>
      <w:r>
        <w:rPr>
          <w:rFonts w:hint="eastAsia" w:ascii="方正仿宋_GBK" w:hAnsi="方正仿宋_GBK" w:eastAsia="方正仿宋_GBK" w:cs="方正仿宋_GBK"/>
          <w:b/>
          <w:bCs/>
          <w:szCs w:val="32"/>
        </w:rPr>
        <w:t>多元驱动</w:t>
      </w:r>
      <w:r>
        <w:rPr>
          <w:rFonts w:ascii="方正仿宋_GBK" w:hAnsi="方正仿宋_GBK" w:eastAsia="方正仿宋_GBK" w:cs="方正仿宋_GBK"/>
          <w:b/>
          <w:bCs/>
          <w:szCs w:val="32"/>
        </w:rPr>
        <w:t>激</w:t>
      </w:r>
      <w:r>
        <w:rPr>
          <w:rFonts w:hint="eastAsia" w:ascii="方正仿宋_GBK" w:hAnsi="方正仿宋_GBK" w:eastAsia="方正仿宋_GBK" w:cs="方正仿宋_GBK"/>
          <w:b/>
          <w:bCs/>
          <w:szCs w:val="32"/>
        </w:rPr>
        <w:t>活力。</w:t>
      </w:r>
      <w:r>
        <w:rPr>
          <w:rFonts w:eastAsia="方正仿宋_GBK"/>
          <w:szCs w:val="32"/>
        </w:rPr>
        <w:t>支持科技创新和制造业</w:t>
      </w:r>
      <w:r>
        <w:rPr>
          <w:rFonts w:hint="eastAsia" w:eastAsia="方正仿宋_GBK"/>
          <w:szCs w:val="32"/>
        </w:rPr>
        <w:t>企业</w:t>
      </w:r>
      <w:r>
        <w:rPr>
          <w:rFonts w:eastAsia="方正仿宋_GBK"/>
          <w:szCs w:val="32"/>
        </w:rPr>
        <w:t>减税降费及退税7</w:t>
      </w:r>
      <w:r>
        <w:rPr>
          <w:rFonts w:hint="eastAsia" w:eastAsia="方正仿宋_GBK"/>
          <w:szCs w:val="32"/>
        </w:rPr>
        <w:t>.</w:t>
      </w:r>
      <w:r>
        <w:rPr>
          <w:rFonts w:eastAsia="方正仿宋_GBK"/>
          <w:szCs w:val="32"/>
        </w:rPr>
        <w:t>4亿元；落实政府采购向中小企业倾斜</w:t>
      </w:r>
      <w:r>
        <w:rPr>
          <w:rFonts w:hint="eastAsia" w:eastAsia="方正仿宋_GBK"/>
          <w:szCs w:val="32"/>
        </w:rPr>
        <w:t>政策</w:t>
      </w:r>
      <w:r>
        <w:rPr>
          <w:rFonts w:eastAsia="方正仿宋_GBK"/>
          <w:szCs w:val="32"/>
        </w:rPr>
        <w:t>，提高预付款比例，全年中小企业中标政</w:t>
      </w:r>
      <w:r>
        <w:rPr>
          <w:rFonts w:hint="eastAsia" w:eastAsia="方正仿宋_GBK"/>
          <w:szCs w:val="32"/>
        </w:rPr>
        <w:t>府采购</w:t>
      </w:r>
      <w:r>
        <w:rPr>
          <w:rFonts w:eastAsia="方正仿宋_GBK"/>
          <w:szCs w:val="32"/>
        </w:rPr>
        <w:t>3</w:t>
      </w:r>
      <w:r>
        <w:rPr>
          <w:rFonts w:hint="eastAsia" w:eastAsia="方正仿宋_GBK"/>
          <w:szCs w:val="32"/>
        </w:rPr>
        <w:t>.</w:t>
      </w:r>
      <w:r>
        <w:rPr>
          <w:rFonts w:eastAsia="方正仿宋_GBK"/>
          <w:szCs w:val="32"/>
        </w:rPr>
        <w:t>1</w:t>
      </w:r>
      <w:r>
        <w:rPr>
          <w:rFonts w:hint="eastAsia" w:eastAsia="方正仿宋_GBK"/>
          <w:szCs w:val="32"/>
        </w:rPr>
        <w:t>亿元</w:t>
      </w:r>
      <w:r>
        <w:rPr>
          <w:rFonts w:eastAsia="方正仿宋_GBK"/>
          <w:szCs w:val="32"/>
        </w:rPr>
        <w:t>；</w:t>
      </w:r>
      <w:r>
        <w:rPr>
          <w:rFonts w:hint="eastAsia" w:eastAsia="方正仿宋_GBK"/>
          <w:szCs w:val="32"/>
        </w:rPr>
        <w:t>坚持</w:t>
      </w:r>
      <w:r>
        <w:rPr>
          <w:rFonts w:hint="eastAsia" w:ascii="方正仿宋_GBK" w:eastAsia="方正仿宋_GBK"/>
          <w:szCs w:val="32"/>
        </w:rPr>
        <w:t>“</w:t>
      </w:r>
      <w:r>
        <w:rPr>
          <w:rFonts w:hint="eastAsia" w:eastAsia="方正仿宋_GBK"/>
          <w:szCs w:val="32"/>
        </w:rPr>
        <w:t>政策+活动</w:t>
      </w:r>
      <w:r>
        <w:rPr>
          <w:rFonts w:hint="eastAsia" w:ascii="方正仿宋_GBK" w:eastAsia="方正仿宋_GBK"/>
          <w:szCs w:val="32"/>
        </w:rPr>
        <w:t>”</w:t>
      </w:r>
      <w:r>
        <w:rPr>
          <w:rFonts w:hint="eastAsia" w:eastAsia="方正仿宋_GBK"/>
          <w:szCs w:val="32"/>
        </w:rPr>
        <w:t>双轮驱动，</w:t>
      </w:r>
      <w:r>
        <w:rPr>
          <w:rFonts w:eastAsia="方正仿宋_GBK"/>
          <w:szCs w:val="32"/>
        </w:rPr>
        <w:t>投入1</w:t>
      </w:r>
      <w:r>
        <w:rPr>
          <w:rFonts w:hint="eastAsia" w:eastAsia="方正仿宋_GBK"/>
          <w:szCs w:val="32"/>
        </w:rPr>
        <w:t>,</w:t>
      </w:r>
      <w:r>
        <w:rPr>
          <w:rFonts w:eastAsia="方正仿宋_GBK"/>
          <w:szCs w:val="32"/>
        </w:rPr>
        <w:t>200万元实施购房契税消费券、以旧换新等专项奖补活动，释</w:t>
      </w:r>
      <w:r>
        <w:rPr>
          <w:rFonts w:hint="eastAsia" w:eastAsia="方正仿宋_GBK"/>
          <w:szCs w:val="32"/>
        </w:rPr>
        <w:t>放消费潜力，全</w:t>
      </w:r>
      <w:r>
        <w:rPr>
          <w:rFonts w:eastAsia="方正仿宋_GBK"/>
          <w:szCs w:val="32"/>
        </w:rPr>
        <w:t>年新增注册新能源汽车2</w:t>
      </w:r>
      <w:r>
        <w:rPr>
          <w:rFonts w:hint="eastAsia" w:eastAsia="方正仿宋_GBK"/>
          <w:szCs w:val="32"/>
        </w:rPr>
        <w:t>,</w:t>
      </w:r>
      <w:r>
        <w:rPr>
          <w:rFonts w:eastAsia="方正仿宋_GBK"/>
          <w:szCs w:val="32"/>
        </w:rPr>
        <w:t>000余台，新增销售家电8</w:t>
      </w:r>
      <w:r>
        <w:rPr>
          <w:rFonts w:hint="eastAsia" w:eastAsia="方正仿宋_GBK"/>
          <w:szCs w:val="32"/>
        </w:rPr>
        <w:t>,</w:t>
      </w:r>
      <w:r>
        <w:rPr>
          <w:rFonts w:eastAsia="方正仿宋_GBK"/>
          <w:szCs w:val="32"/>
        </w:rPr>
        <w:t>900</w:t>
      </w:r>
      <w:r>
        <w:rPr>
          <w:rFonts w:hint="eastAsia" w:eastAsia="方正仿宋_GBK"/>
          <w:szCs w:val="32"/>
        </w:rPr>
        <w:t>余件</w:t>
      </w:r>
      <w:r>
        <w:rPr>
          <w:rFonts w:eastAsia="方正仿宋_GBK"/>
          <w:szCs w:val="32"/>
        </w:rPr>
        <w:t>，带动直接销售收入</w:t>
      </w:r>
      <w:r>
        <w:rPr>
          <w:rFonts w:hint="eastAsia" w:eastAsia="方正仿宋_GBK"/>
          <w:szCs w:val="32"/>
        </w:rPr>
        <w:t>约</w:t>
      </w:r>
      <w:r>
        <w:rPr>
          <w:rFonts w:eastAsia="方正仿宋_GBK"/>
          <w:szCs w:val="32"/>
        </w:rPr>
        <w:t>8,000万元。</w:t>
      </w:r>
      <w:r>
        <w:rPr>
          <w:rFonts w:hint="eastAsia" w:ascii="方正仿宋_GBK" w:hAnsi="方正仿宋_GBK" w:eastAsia="方正仿宋_GBK" w:cs="方正仿宋_GBK"/>
          <w:b/>
          <w:bCs/>
          <w:szCs w:val="32"/>
        </w:rPr>
        <w:t>财金赋能强产业。</w:t>
      </w:r>
      <w:r>
        <w:rPr>
          <w:rFonts w:hint="eastAsia" w:ascii="方正仿宋_GBK" w:hAnsi="方正仿宋_GBK" w:eastAsia="方正仿宋_GBK" w:cs="方正仿宋_GBK"/>
          <w:szCs w:val="32"/>
        </w:rPr>
        <w:t>落实</w:t>
      </w:r>
      <w:r>
        <w:rPr>
          <w:rFonts w:hint="eastAsia" w:eastAsia="方正仿宋_GBK"/>
          <w:szCs w:val="32"/>
        </w:rPr>
        <w:t>中小企业商业、知识价值信用贷</w:t>
      </w:r>
      <w:r>
        <w:rPr>
          <w:rFonts w:eastAsia="方正仿宋_GBK"/>
          <w:szCs w:val="32"/>
        </w:rPr>
        <w:t>政策</w:t>
      </w:r>
      <w:r>
        <w:rPr>
          <w:rFonts w:hint="eastAsia" w:eastAsia="方正仿宋_GBK"/>
          <w:szCs w:val="32"/>
        </w:rPr>
        <w:t>，累计</w:t>
      </w:r>
      <w:r>
        <w:rPr>
          <w:rFonts w:eastAsia="方正仿宋_GBK"/>
          <w:szCs w:val="32"/>
        </w:rPr>
        <w:t>注入风险</w:t>
      </w:r>
      <w:r>
        <w:rPr>
          <w:rFonts w:hint="eastAsia" w:eastAsia="方正仿宋_GBK"/>
          <w:szCs w:val="32"/>
        </w:rPr>
        <w:t>铺底</w:t>
      </w:r>
      <w:r>
        <w:rPr>
          <w:rFonts w:eastAsia="方正仿宋_GBK"/>
          <w:szCs w:val="32"/>
        </w:rPr>
        <w:t>资金1</w:t>
      </w:r>
      <w:r>
        <w:rPr>
          <w:rFonts w:hint="eastAsia" w:eastAsia="方正仿宋_GBK"/>
          <w:szCs w:val="32"/>
        </w:rPr>
        <w:t>,</w:t>
      </w:r>
      <w:r>
        <w:rPr>
          <w:rFonts w:eastAsia="方正仿宋_GBK"/>
          <w:szCs w:val="32"/>
        </w:rPr>
        <w:t>500万元，撬动贷款6亿元；</w:t>
      </w:r>
      <w:r>
        <w:rPr>
          <w:rFonts w:hint="eastAsia" w:hAnsi="方正仿宋_GBK" w:eastAsia="方正仿宋_GBK" w:cs="方正仿宋_GBK"/>
          <w:szCs w:val="32"/>
        </w:rPr>
        <w:t>围绕大数据智能化、大健康生物医药、新材料等主导产业投入</w:t>
      </w:r>
      <w:r>
        <w:rPr>
          <w:rFonts w:eastAsia="方正仿宋_GBK"/>
          <w:szCs w:val="32"/>
        </w:rPr>
        <w:t>1</w:t>
      </w:r>
      <w:r>
        <w:rPr>
          <w:rFonts w:hint="eastAsia" w:eastAsia="方正仿宋_GBK"/>
          <w:szCs w:val="32"/>
        </w:rPr>
        <w:t>.</w:t>
      </w:r>
      <w:r>
        <w:rPr>
          <w:rFonts w:eastAsia="方正仿宋_GBK"/>
          <w:szCs w:val="32"/>
        </w:rPr>
        <w:t>2</w:t>
      </w:r>
      <w:r>
        <w:rPr>
          <w:rFonts w:hint="eastAsia" w:eastAsia="方正仿宋_GBK"/>
          <w:szCs w:val="32"/>
        </w:rPr>
        <w:t>亿</w:t>
      </w:r>
      <w:r>
        <w:rPr>
          <w:rFonts w:eastAsia="方正仿宋_GBK"/>
          <w:szCs w:val="32"/>
        </w:rPr>
        <w:t>元</w:t>
      </w:r>
      <w:r>
        <w:rPr>
          <w:rFonts w:hint="eastAsia" w:eastAsia="方正仿宋_GBK"/>
          <w:szCs w:val="32"/>
        </w:rPr>
        <w:t>，推动先进</w:t>
      </w:r>
      <w:r>
        <w:rPr>
          <w:rFonts w:hint="eastAsia" w:hAnsi="方正仿宋_GBK" w:eastAsia="方正仿宋_GBK" w:cs="方正仿宋_GBK"/>
          <w:szCs w:val="32"/>
        </w:rPr>
        <w:t>生产技术研发及生产线改造；新增市级</w:t>
      </w:r>
      <w:r>
        <w:rPr>
          <w:rFonts w:hint="eastAsia" w:ascii="方正仿宋_GBK" w:hAnsi="方正仿宋_GBK" w:eastAsia="方正仿宋_GBK" w:cs="方正仿宋_GBK"/>
          <w:szCs w:val="32"/>
        </w:rPr>
        <w:t>“</w:t>
      </w:r>
      <w:r>
        <w:rPr>
          <w:rFonts w:hint="eastAsia" w:hAnsi="方正仿宋_GBK" w:eastAsia="方正仿宋_GBK" w:cs="方正仿宋_GBK"/>
          <w:szCs w:val="32"/>
        </w:rPr>
        <w:t>专精特新</w:t>
      </w:r>
      <w:r>
        <w:rPr>
          <w:rFonts w:hint="eastAsia" w:ascii="方正仿宋_GBK" w:hAnsi="方正仿宋_GBK" w:eastAsia="方正仿宋_GBK" w:cs="方正仿宋_GBK"/>
          <w:szCs w:val="32"/>
        </w:rPr>
        <w:t>”</w:t>
      </w:r>
      <w:r>
        <w:rPr>
          <w:rFonts w:hint="eastAsia" w:hAnsi="方正仿宋_GBK" w:eastAsia="方正仿宋_GBK" w:cs="方正仿宋_GBK"/>
          <w:szCs w:val="32"/>
        </w:rPr>
        <w:t>企业</w:t>
      </w:r>
      <w:r>
        <w:rPr>
          <w:rFonts w:eastAsia="方正仿宋_GBK"/>
          <w:szCs w:val="32"/>
        </w:rPr>
        <w:t>29</w:t>
      </w:r>
      <w:r>
        <w:rPr>
          <w:rFonts w:hint="eastAsia" w:hAnsi="方正仿宋_GBK" w:eastAsia="方正仿宋_GBK" w:cs="方正仿宋_GBK"/>
          <w:szCs w:val="32"/>
        </w:rPr>
        <w:t>家，创历年之最。新认定科技型企业</w:t>
      </w:r>
      <w:r>
        <w:rPr>
          <w:rFonts w:eastAsia="方正仿宋_GBK"/>
          <w:szCs w:val="32"/>
        </w:rPr>
        <w:t>249</w:t>
      </w:r>
      <w:r>
        <w:rPr>
          <w:rFonts w:hint="eastAsia" w:hAnsi="方正仿宋_GBK" w:eastAsia="方正仿宋_GBK" w:cs="方正仿宋_GBK"/>
          <w:szCs w:val="32"/>
        </w:rPr>
        <w:t>家、高新技术企业</w:t>
      </w:r>
      <w:r>
        <w:rPr>
          <w:rFonts w:eastAsia="方正仿宋_GBK"/>
          <w:szCs w:val="32"/>
        </w:rPr>
        <w:t>58</w:t>
      </w:r>
      <w:r>
        <w:rPr>
          <w:rFonts w:hint="eastAsia" w:hAnsi="方正仿宋_GBK" w:eastAsia="方正仿宋_GBK" w:cs="方正仿宋_GBK"/>
          <w:szCs w:val="32"/>
        </w:rPr>
        <w:t>家，超进度完成市级</w:t>
      </w:r>
      <w:r>
        <w:rPr>
          <w:rFonts w:hint="eastAsia" w:ascii="方正仿宋_GBK" w:hAnsi="方正仿宋_GBK" w:eastAsia="方正仿宋_GBK" w:cs="方正仿宋_GBK"/>
          <w:szCs w:val="32"/>
        </w:rPr>
        <w:t>“</w:t>
      </w:r>
      <w:r>
        <w:rPr>
          <w:rFonts w:hint="eastAsia" w:hAnsi="方正仿宋_GBK" w:eastAsia="方正仿宋_GBK" w:cs="方正仿宋_GBK"/>
          <w:szCs w:val="32"/>
        </w:rPr>
        <w:t>双倍增</w:t>
      </w:r>
      <w:r>
        <w:rPr>
          <w:rFonts w:hint="eastAsia" w:ascii="方正仿宋_GBK" w:hAnsi="方正仿宋_GBK" w:eastAsia="方正仿宋_GBK" w:cs="方正仿宋_GBK"/>
          <w:szCs w:val="32"/>
        </w:rPr>
        <w:t>”</w:t>
      </w:r>
      <w:r>
        <w:rPr>
          <w:rFonts w:hint="eastAsia" w:hAnsi="方正仿宋_GBK" w:eastAsia="方正仿宋_GBK" w:cs="方正仿宋_GBK"/>
          <w:szCs w:val="32"/>
        </w:rPr>
        <w:t>任务。</w:t>
      </w:r>
      <w:r>
        <w:rPr>
          <w:rFonts w:hint="eastAsia" w:ascii="方正仿宋_GBK" w:hAnsi="方正仿宋_GBK" w:eastAsia="方正仿宋_GBK" w:cs="方正仿宋_GBK"/>
          <w:b/>
          <w:bCs/>
          <w:szCs w:val="32"/>
        </w:rPr>
        <w:t>专项投入聚特色。</w:t>
      </w:r>
      <w:r>
        <w:rPr>
          <w:rFonts w:hint="eastAsia" w:eastAsia="方正仿宋_GBK"/>
          <w:szCs w:val="32"/>
        </w:rPr>
        <w:t>投入</w:t>
      </w:r>
      <w:r>
        <w:rPr>
          <w:rFonts w:eastAsia="方正仿宋_GBK"/>
          <w:szCs w:val="32"/>
        </w:rPr>
        <w:t>6</w:t>
      </w:r>
      <w:r>
        <w:rPr>
          <w:rFonts w:hint="eastAsia" w:eastAsia="方正仿宋_GBK"/>
          <w:szCs w:val="32"/>
        </w:rPr>
        <w:t>,</w:t>
      </w:r>
      <w:r>
        <w:rPr>
          <w:rFonts w:eastAsia="方正仿宋_GBK"/>
          <w:szCs w:val="32"/>
        </w:rPr>
        <w:t>085</w:t>
      </w:r>
      <w:r>
        <w:rPr>
          <w:rFonts w:hint="eastAsia" w:eastAsia="方正仿宋_GBK"/>
          <w:szCs w:val="32"/>
        </w:rPr>
        <w:t>万元助推生态环保、重庆小面等特色产业发展，推动企业重大技术装备攻关，提升产业链现代化水平；加大推广井谷元、辣来主义等小面品牌，完善重庆小面产品标准，吸引全链条企业</w:t>
      </w:r>
      <w:r>
        <w:rPr>
          <w:rFonts w:eastAsia="方正仿宋_GBK"/>
          <w:szCs w:val="32"/>
        </w:rPr>
        <w:t>69</w:t>
      </w:r>
      <w:r>
        <w:rPr>
          <w:rFonts w:hint="eastAsia" w:eastAsia="方正仿宋_GBK"/>
          <w:szCs w:val="32"/>
        </w:rPr>
        <w:t>家，</w:t>
      </w:r>
      <w:r>
        <w:rPr>
          <w:rFonts w:eastAsia="方正仿宋_GBK"/>
          <w:szCs w:val="32"/>
        </w:rPr>
        <w:t>带动上下游协同发展</w:t>
      </w:r>
      <w:r>
        <w:rPr>
          <w:rFonts w:hint="eastAsia" w:eastAsia="方正仿宋_GBK"/>
          <w:szCs w:val="32"/>
        </w:rPr>
        <w:t xml:space="preserve">，提升发展动能。               </w:t>
      </w:r>
    </w:p>
    <w:p>
      <w:pPr>
        <w:pStyle w:val="2"/>
        <w:adjustRightInd w:val="0"/>
        <w:spacing w:after="0"/>
        <w:ind w:firstLine="643"/>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四是聚能除险固安，全领域筑牢财政防线。</w:t>
      </w:r>
      <w:r>
        <w:rPr>
          <w:rFonts w:hint="eastAsia" w:ascii="方正仿宋_GBK" w:hAnsi="方正仿宋_GBK" w:eastAsia="方正仿宋_GBK" w:cs="方正仿宋_GBK"/>
          <w:sz w:val="32"/>
          <w:szCs w:val="32"/>
        </w:rPr>
        <w:t>时刻保持如履薄冰的高度警觉，围绕查风险、除隐患、保安全，树牢底线思维，坚决防范遏制重大风险发生。</w:t>
      </w:r>
      <w:r>
        <w:rPr>
          <w:rFonts w:hint="eastAsia" w:ascii="方正仿宋_GBK" w:hAnsi="方正仿宋_GBK" w:eastAsia="方正仿宋_GBK" w:cs="方正仿宋_GBK"/>
          <w:b/>
          <w:bCs/>
          <w:sz w:val="32"/>
          <w:szCs w:val="32"/>
        </w:rPr>
        <w:t>严控债务风险。</w:t>
      </w:r>
      <w:r>
        <w:rPr>
          <w:rFonts w:hint="eastAsia" w:ascii="Times New Roman" w:hAnsi="Times New Roman" w:eastAsia="方正仿宋_GBK" w:cs="方正仿宋_GBK"/>
          <w:sz w:val="32"/>
          <w:szCs w:val="32"/>
        </w:rPr>
        <w:t>依托全口径债务监测平台，全面系统清理全区债务情况，制定年度债务风险防范化解工作要点，增强部门合力，提高政府债务风险</w:t>
      </w:r>
      <w:r>
        <w:rPr>
          <w:rFonts w:ascii="Times New Roman" w:hAnsi="Times New Roman" w:eastAsia="方正仿宋_GBK" w:cs="方正仿宋_GBK"/>
          <w:sz w:val="32"/>
          <w:szCs w:val="32"/>
        </w:rPr>
        <w:t>防</w:t>
      </w:r>
      <w:r>
        <w:rPr>
          <w:rFonts w:hint="eastAsia" w:ascii="Times New Roman" w:hAnsi="Times New Roman" w:eastAsia="方正仿宋_GBK" w:cs="方正仿宋_GBK"/>
          <w:sz w:val="32"/>
          <w:szCs w:val="32"/>
        </w:rPr>
        <w:t>控能力。全年</w:t>
      </w:r>
      <w:r>
        <w:rPr>
          <w:rFonts w:ascii="Times New Roman" w:hAnsi="Times New Roman" w:eastAsia="方正仿宋_GBK" w:cs="方正仿宋_GBK"/>
          <w:sz w:val="32"/>
          <w:szCs w:val="32"/>
        </w:rPr>
        <w:t>安排</w:t>
      </w:r>
      <w:r>
        <w:rPr>
          <w:rFonts w:hint="eastAsia" w:ascii="Times New Roman" w:hAnsi="Times New Roman" w:eastAsia="方正仿宋_GBK" w:cs="方正仿宋_GBK"/>
          <w:sz w:val="32"/>
          <w:szCs w:val="32"/>
        </w:rPr>
        <w:t>预算</w:t>
      </w:r>
      <w:r>
        <w:rPr>
          <w:rFonts w:ascii="Times New Roman" w:hAnsi="Times New Roman" w:eastAsia="方正仿宋_GBK" w:cs="方正仿宋_GBK"/>
          <w:sz w:val="32"/>
          <w:szCs w:val="32"/>
        </w:rPr>
        <w:t>资金</w:t>
      </w:r>
      <w:r>
        <w:rPr>
          <w:rFonts w:hint="eastAsia" w:ascii="Times New Roman" w:hAnsi="Times New Roman" w:eastAsia="方正仿宋_GBK" w:cs="方正仿宋_GBK"/>
          <w:sz w:val="32"/>
          <w:szCs w:val="32"/>
        </w:rPr>
        <w:t>偿还政府债务本息</w:t>
      </w:r>
      <w:r>
        <w:rPr>
          <w:rFonts w:ascii="Times New Roman" w:hAnsi="Times New Roman" w:eastAsia="方正仿宋_GBK"/>
          <w:sz w:val="32"/>
          <w:szCs w:val="32"/>
        </w:rPr>
        <w:t>5</w:t>
      </w:r>
      <w:r>
        <w:rPr>
          <w:rFonts w:hint="eastAsia" w:ascii="Times New Roman" w:hAnsi="Times New Roman" w:eastAsia="方正仿宋_GBK" w:cs="方正仿宋_GBK"/>
          <w:sz w:val="32"/>
          <w:szCs w:val="32"/>
        </w:rPr>
        <w:t>.</w:t>
      </w:r>
      <w:r>
        <w:rPr>
          <w:rFonts w:ascii="Times New Roman" w:hAnsi="Times New Roman" w:eastAsia="方正仿宋_GBK"/>
          <w:sz w:val="32"/>
          <w:szCs w:val="32"/>
        </w:rPr>
        <w:t>07</w:t>
      </w:r>
      <w:r>
        <w:rPr>
          <w:rFonts w:hint="eastAsia" w:ascii="Times New Roman" w:hAnsi="Times New Roman" w:eastAsia="方正仿宋_GBK" w:cs="方正仿宋_GBK"/>
          <w:sz w:val="32"/>
          <w:szCs w:val="32"/>
        </w:rPr>
        <w:t>亿元，其中：</w:t>
      </w:r>
      <w:r>
        <w:rPr>
          <w:rFonts w:ascii="Times New Roman" w:hAnsi="Times New Roman" w:eastAsia="方正仿宋_GBK" w:cs="方正仿宋_GBK"/>
          <w:sz w:val="32"/>
          <w:szCs w:val="32"/>
        </w:rPr>
        <w:t>偿还</w:t>
      </w:r>
      <w:r>
        <w:rPr>
          <w:rFonts w:hint="eastAsia" w:ascii="Times New Roman" w:hAnsi="Times New Roman" w:eastAsia="方正仿宋_GBK" w:cs="方正仿宋_GBK"/>
          <w:sz w:val="32"/>
          <w:szCs w:val="32"/>
        </w:rPr>
        <w:t>本金</w:t>
      </w:r>
      <w:r>
        <w:rPr>
          <w:rFonts w:ascii="Times New Roman" w:hAnsi="Times New Roman" w:eastAsia="方正仿宋_GBK"/>
          <w:sz w:val="32"/>
          <w:szCs w:val="32"/>
        </w:rPr>
        <w:t>0</w:t>
      </w:r>
      <w:r>
        <w:rPr>
          <w:rFonts w:hint="eastAsia" w:ascii="Times New Roman" w:hAnsi="Times New Roman" w:eastAsia="方正仿宋_GBK" w:cs="方正仿宋_GBK"/>
          <w:sz w:val="32"/>
          <w:szCs w:val="32"/>
        </w:rPr>
        <w:t>.</w:t>
      </w:r>
      <w:r>
        <w:rPr>
          <w:rFonts w:ascii="Times New Roman" w:hAnsi="Times New Roman" w:eastAsia="方正仿宋_GBK"/>
          <w:sz w:val="32"/>
          <w:szCs w:val="32"/>
        </w:rPr>
        <w:t>78</w:t>
      </w:r>
      <w:r>
        <w:rPr>
          <w:rFonts w:hint="eastAsia" w:ascii="Times New Roman" w:hAnsi="Times New Roman" w:eastAsia="方正仿宋_GBK" w:cs="方正仿宋_GBK"/>
          <w:sz w:val="32"/>
          <w:szCs w:val="32"/>
        </w:rPr>
        <w:t>亿元，</w:t>
      </w:r>
      <w:r>
        <w:rPr>
          <w:rFonts w:ascii="Times New Roman" w:hAnsi="Times New Roman" w:eastAsia="方正仿宋_GBK" w:cs="方正仿宋_GBK"/>
          <w:sz w:val="32"/>
          <w:szCs w:val="32"/>
        </w:rPr>
        <w:t>兑付</w:t>
      </w:r>
      <w:r>
        <w:rPr>
          <w:rFonts w:hint="eastAsia" w:ascii="Times New Roman" w:hAnsi="Times New Roman" w:eastAsia="方正仿宋_GBK" w:cs="方正仿宋_GBK"/>
          <w:sz w:val="32"/>
          <w:szCs w:val="32"/>
        </w:rPr>
        <w:t>利息</w:t>
      </w:r>
      <w:r>
        <w:rPr>
          <w:rFonts w:ascii="Times New Roman" w:hAnsi="Times New Roman" w:eastAsia="方正仿宋_GBK"/>
          <w:sz w:val="32"/>
          <w:szCs w:val="32"/>
        </w:rPr>
        <w:t>4</w:t>
      </w:r>
      <w:r>
        <w:rPr>
          <w:rFonts w:hint="eastAsia" w:ascii="Times New Roman" w:hAnsi="Times New Roman" w:eastAsia="方正仿宋_GBK" w:cs="方正仿宋_GBK"/>
          <w:sz w:val="32"/>
          <w:szCs w:val="32"/>
        </w:rPr>
        <w:t>.</w:t>
      </w:r>
      <w:r>
        <w:rPr>
          <w:rFonts w:ascii="Times New Roman" w:hAnsi="Times New Roman" w:eastAsia="方正仿宋_GBK"/>
          <w:sz w:val="32"/>
          <w:szCs w:val="32"/>
        </w:rPr>
        <w:t>29</w:t>
      </w:r>
      <w:r>
        <w:rPr>
          <w:rFonts w:hint="eastAsia" w:ascii="Times New Roman" w:hAnsi="Times New Roman" w:eastAsia="方正仿宋_GBK" w:cs="方正仿宋_GBK"/>
          <w:sz w:val="32"/>
          <w:szCs w:val="32"/>
        </w:rPr>
        <w:t>亿元；争取再融资债券</w:t>
      </w:r>
      <w:r>
        <w:rPr>
          <w:rFonts w:ascii="Times New Roman" w:hAnsi="Times New Roman" w:eastAsia="方正仿宋_GBK"/>
          <w:sz w:val="32"/>
          <w:szCs w:val="32"/>
        </w:rPr>
        <w:t>7</w:t>
      </w:r>
      <w:r>
        <w:rPr>
          <w:rFonts w:hint="eastAsia" w:ascii="Times New Roman" w:hAnsi="Times New Roman" w:eastAsia="方正仿宋_GBK" w:cs="方正仿宋_GBK"/>
          <w:sz w:val="32"/>
          <w:szCs w:val="32"/>
        </w:rPr>
        <w:t>.</w:t>
      </w:r>
      <w:r>
        <w:rPr>
          <w:rFonts w:ascii="Times New Roman" w:hAnsi="Times New Roman" w:eastAsia="方正仿宋_GBK"/>
          <w:sz w:val="32"/>
          <w:szCs w:val="32"/>
        </w:rPr>
        <w:t>02</w:t>
      </w:r>
      <w:r>
        <w:rPr>
          <w:rFonts w:hint="eastAsia" w:ascii="Times New Roman" w:hAnsi="Times New Roman" w:eastAsia="方正仿宋_GBK" w:cs="方正仿宋_GBK"/>
          <w:sz w:val="32"/>
          <w:szCs w:val="32"/>
        </w:rPr>
        <w:t>亿元用于偿还政府债务本金，确保到期债</w:t>
      </w:r>
      <w:r>
        <w:rPr>
          <w:rFonts w:ascii="Times New Roman" w:hAnsi="Times New Roman" w:eastAsia="方正仿宋_GBK" w:cs="方正仿宋_GBK"/>
          <w:sz w:val="32"/>
          <w:szCs w:val="32"/>
        </w:rPr>
        <w:t>务</w:t>
      </w:r>
      <w:r>
        <w:rPr>
          <w:rFonts w:hint="eastAsia" w:ascii="Times New Roman" w:hAnsi="Times New Roman" w:eastAsia="方正仿宋_GBK" w:cs="方正仿宋_GBK"/>
          <w:sz w:val="32"/>
          <w:szCs w:val="32"/>
        </w:rPr>
        <w:t>平稳接续。</w:t>
      </w:r>
      <w:r>
        <w:rPr>
          <w:rFonts w:hint="eastAsia" w:ascii="方正仿宋_GBK" w:hAnsi="方正仿宋_GBK" w:eastAsia="方正仿宋_GBK" w:cs="方正仿宋_GBK"/>
          <w:b/>
          <w:bCs/>
          <w:sz w:val="32"/>
          <w:szCs w:val="32"/>
        </w:rPr>
        <w:t>坚守“三保”底线。</w:t>
      </w:r>
      <w:r>
        <w:rPr>
          <w:rFonts w:hint="eastAsia" w:ascii="Times New Roman" w:hAnsi="Times New Roman" w:eastAsia="方正仿宋_GBK"/>
          <w:sz w:val="32"/>
          <w:szCs w:val="32"/>
        </w:rPr>
        <w:t>落实</w:t>
      </w:r>
      <w:r>
        <w:rPr>
          <w:rFonts w:hint="eastAsia" w:ascii="方正仿宋_GBK" w:hAnsi="Times New Roman" w:eastAsia="方正仿宋_GBK"/>
          <w:sz w:val="32"/>
          <w:szCs w:val="32"/>
        </w:rPr>
        <w:t>“</w:t>
      </w:r>
      <w:r>
        <w:rPr>
          <w:rFonts w:hint="eastAsia" w:ascii="Times New Roman" w:hAnsi="Times New Roman" w:eastAsia="方正仿宋_GBK"/>
          <w:sz w:val="32"/>
          <w:szCs w:val="32"/>
        </w:rPr>
        <w:t>小钱小气</w:t>
      </w:r>
      <w:r>
        <w:rPr>
          <w:rFonts w:hint="eastAsia" w:ascii="方正仿宋_GBK" w:hAnsi="Times New Roman" w:eastAsia="方正仿宋_GBK"/>
          <w:sz w:val="32"/>
          <w:szCs w:val="32"/>
        </w:rPr>
        <w:t>”</w:t>
      </w:r>
      <w:r>
        <w:rPr>
          <w:rFonts w:hint="eastAsia" w:ascii="Times New Roman" w:hAnsi="Times New Roman" w:eastAsia="方正仿宋_GBK"/>
          <w:sz w:val="32"/>
          <w:szCs w:val="32"/>
        </w:rPr>
        <w:t>要求，</w:t>
      </w:r>
      <w:r>
        <w:rPr>
          <w:rFonts w:hint="eastAsia" w:ascii="Times New Roman" w:hAnsi="Times New Roman" w:eastAsia="方正仿宋_GBK" w:cs="方正仿宋_GBK"/>
          <w:sz w:val="32"/>
          <w:szCs w:val="32"/>
        </w:rPr>
        <w:t>印发《关于推动机关事业单位习惯过紧日子十一条措施的通知》。</w:t>
      </w:r>
      <w:r>
        <w:rPr>
          <w:rFonts w:hint="eastAsia" w:ascii="Times New Roman" w:hAnsi="Times New Roman" w:eastAsia="方正仿宋_GBK"/>
          <w:sz w:val="32"/>
          <w:szCs w:val="32"/>
        </w:rPr>
        <w:t>实时跟踪资金流向与使用效益，</w:t>
      </w:r>
      <w:r>
        <w:rPr>
          <w:rFonts w:ascii="Times New Roman" w:hAnsi="Times New Roman" w:eastAsia="方正仿宋_GBK"/>
          <w:sz w:val="32"/>
          <w:szCs w:val="32"/>
          <w:shd w:val="clear" w:color="auto" w:fill="FFFFFF"/>
          <w:lang w:val="zh-TW"/>
        </w:rPr>
        <w:t>通过争取市级足额调度等方式，缓解关键节点资金压力，</w:t>
      </w:r>
      <w:r>
        <w:rPr>
          <w:rFonts w:hint="eastAsia" w:ascii="Times New Roman" w:hAnsi="Times New Roman" w:eastAsia="方正仿宋_GBK"/>
          <w:sz w:val="32"/>
          <w:szCs w:val="32"/>
          <w:shd w:val="clear" w:color="auto" w:fill="FFFFFF"/>
        </w:rPr>
        <w:t>库款保障水平处于安全范围，</w:t>
      </w:r>
      <w:r>
        <w:rPr>
          <w:rFonts w:hint="eastAsia" w:ascii="Times New Roman" w:hAnsi="Times New Roman" w:eastAsia="方正仿宋_GBK"/>
          <w:sz w:val="32"/>
          <w:szCs w:val="32"/>
        </w:rPr>
        <w:t>兜牢</w:t>
      </w:r>
      <w:r>
        <w:rPr>
          <w:rFonts w:ascii="Times New Roman" w:hAnsi="Times New Roman" w:eastAsia="方正仿宋_GBK"/>
          <w:sz w:val="32"/>
          <w:szCs w:val="32"/>
        </w:rPr>
        <w:t>18</w:t>
      </w:r>
      <w:r>
        <w:rPr>
          <w:rFonts w:hint="eastAsia" w:ascii="Times New Roman" w:hAnsi="Times New Roman" w:eastAsia="方正仿宋_GBK"/>
          <w:sz w:val="32"/>
          <w:szCs w:val="32"/>
        </w:rPr>
        <w:t>亿元</w:t>
      </w:r>
      <w:r>
        <w:rPr>
          <w:rFonts w:hint="eastAsia" w:ascii="方正仿宋_GBK" w:hAnsi="Times New Roman" w:eastAsia="方正仿宋_GBK"/>
          <w:sz w:val="32"/>
          <w:szCs w:val="32"/>
        </w:rPr>
        <w:t>“</w:t>
      </w:r>
      <w:r>
        <w:rPr>
          <w:rFonts w:hint="eastAsia" w:ascii="Times New Roman" w:hAnsi="Times New Roman" w:eastAsia="方正仿宋_GBK"/>
          <w:sz w:val="32"/>
          <w:szCs w:val="32"/>
        </w:rPr>
        <w:t>三保</w:t>
      </w:r>
      <w:r>
        <w:rPr>
          <w:rFonts w:hint="eastAsia" w:ascii="方正仿宋_GBK" w:hAnsi="Times New Roman" w:eastAsia="方正仿宋_GBK"/>
          <w:sz w:val="32"/>
          <w:szCs w:val="32"/>
        </w:rPr>
        <w:t>”</w:t>
      </w:r>
      <w:r>
        <w:rPr>
          <w:rFonts w:hint="eastAsia" w:ascii="Times New Roman" w:hAnsi="Times New Roman" w:eastAsia="方正仿宋_GBK"/>
          <w:sz w:val="32"/>
          <w:szCs w:val="32"/>
        </w:rPr>
        <w:t>支出底线。将一般公共预算支出的</w:t>
      </w:r>
      <w:r>
        <w:rPr>
          <w:rFonts w:ascii="Times New Roman" w:hAnsi="Times New Roman" w:eastAsia="方正仿宋_GBK"/>
          <w:sz w:val="32"/>
          <w:szCs w:val="32"/>
        </w:rPr>
        <w:t>80</w:t>
      </w:r>
      <w:r>
        <w:rPr>
          <w:rFonts w:hint="eastAsia" w:ascii="Times New Roman" w:hAnsi="Times New Roman" w:eastAsia="方正仿宋_GBK"/>
          <w:sz w:val="32"/>
          <w:szCs w:val="32"/>
        </w:rPr>
        <w:t>%投入到民生领域</w:t>
      </w:r>
      <w:r>
        <w:rPr>
          <w:rFonts w:hint="eastAsia" w:ascii="Times New Roman" w:hAnsi="Times New Roman" w:eastAsia="方正仿宋_GBK"/>
          <w:sz w:val="32"/>
          <w:szCs w:val="32"/>
          <w:shd w:val="clear" w:color="auto" w:fill="FFFFFF"/>
        </w:rPr>
        <w:t>，通过</w:t>
      </w:r>
      <w:r>
        <w:rPr>
          <w:rFonts w:hint="eastAsia" w:ascii="方正仿宋_GBK"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一卡通</w:t>
      </w:r>
      <w:r>
        <w:rPr>
          <w:rFonts w:hint="eastAsia" w:ascii="方正仿宋_GBK"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系统拨付惠民惠农资金</w:t>
      </w:r>
      <w:r>
        <w:rPr>
          <w:rFonts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5</w:t>
      </w:r>
      <w:r>
        <w:rPr>
          <w:rFonts w:hint="eastAsia" w:ascii="Times New Roman" w:hAnsi="Times New Roman" w:eastAsia="方正仿宋_GBK"/>
          <w:sz w:val="32"/>
          <w:szCs w:val="32"/>
          <w:shd w:val="clear" w:color="auto" w:fill="FFFFFF"/>
        </w:rPr>
        <w:t>亿元，惠及</w:t>
      </w:r>
      <w:r>
        <w:rPr>
          <w:rFonts w:ascii="Times New Roman" w:hAnsi="Times New Roman" w:eastAsia="方正仿宋_GBK"/>
          <w:sz w:val="32"/>
          <w:szCs w:val="32"/>
          <w:shd w:val="clear" w:color="auto" w:fill="FFFFFF"/>
        </w:rPr>
        <w:t>8</w:t>
      </w:r>
      <w:r>
        <w:rPr>
          <w:rFonts w:hint="eastAsia" w:ascii="Times New Roman" w:hAnsi="Times New Roman" w:eastAsia="方正仿宋_GBK"/>
          <w:sz w:val="32"/>
          <w:szCs w:val="32"/>
          <w:shd w:val="clear" w:color="auto" w:fill="FFFFFF"/>
        </w:rPr>
        <w:t>万人次</w:t>
      </w:r>
      <w:r>
        <w:rPr>
          <w:rFonts w:hint="eastAsia" w:ascii="Times New Roman" w:hAnsi="Times New Roman" w:eastAsia="方正仿宋_GBK"/>
          <w:sz w:val="32"/>
          <w:szCs w:val="32"/>
        </w:rPr>
        <w:t>，确保财政资金</w:t>
      </w:r>
      <w:r>
        <w:rPr>
          <w:rFonts w:hint="eastAsia" w:ascii="方正仿宋_GBK" w:hAnsi="Times New Roman" w:eastAsia="方正仿宋_GBK"/>
          <w:sz w:val="32"/>
          <w:szCs w:val="32"/>
        </w:rPr>
        <w:t>“</w:t>
      </w:r>
      <w:r>
        <w:rPr>
          <w:rFonts w:hint="eastAsia" w:ascii="Times New Roman" w:hAnsi="Times New Roman" w:eastAsia="方正仿宋_GBK"/>
          <w:sz w:val="32"/>
          <w:szCs w:val="32"/>
        </w:rPr>
        <w:t>一杆子插到底</w:t>
      </w:r>
      <w:r>
        <w:rPr>
          <w:rFonts w:hint="eastAsia" w:ascii="方正仿宋_GBK" w:hAnsi="Times New Roman" w:eastAsia="方正仿宋_GBK"/>
          <w:sz w:val="32"/>
          <w:szCs w:val="32"/>
        </w:rPr>
        <w:t>”</w:t>
      </w:r>
      <w:r>
        <w:rPr>
          <w:rFonts w:hint="eastAsia" w:ascii="Times New Roman" w:hAnsi="Times New Roman" w:eastAsia="方正仿宋_GBK"/>
          <w:sz w:val="32"/>
          <w:szCs w:val="32"/>
        </w:rPr>
        <w:t>暖民心。</w:t>
      </w:r>
      <w:r>
        <w:rPr>
          <w:rFonts w:hint="eastAsia" w:ascii="方正仿宋_GBK" w:hAnsi="方正仿宋_GBK" w:eastAsia="方正仿宋_GBK" w:cs="方正仿宋_GBK"/>
          <w:b/>
          <w:bCs/>
          <w:sz w:val="32"/>
          <w:szCs w:val="32"/>
        </w:rPr>
        <w:t>加强财会监督。</w:t>
      </w:r>
      <w:r>
        <w:rPr>
          <w:rFonts w:hint="eastAsia" w:ascii="Times New Roman" w:hAnsi="Times New Roman" w:eastAsia="方正仿宋_GBK"/>
          <w:sz w:val="32"/>
          <w:szCs w:val="32"/>
        </w:rPr>
        <w:t>推动落实</w:t>
      </w:r>
      <w:r>
        <w:rPr>
          <w:rFonts w:hint="eastAsia" w:ascii="方正仿宋_GBK"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N</w:t>
      </w:r>
      <w:r>
        <w:rPr>
          <w:rFonts w:hint="eastAsia" w:ascii="Times New Roman" w:hAnsi="Times New Roman" w:eastAsia="方正仿宋_GBK"/>
          <w:sz w:val="32"/>
          <w:szCs w:val="32"/>
        </w:rPr>
        <w:t>财会监督协作机制</w:t>
      </w:r>
      <w:r>
        <w:rPr>
          <w:rFonts w:hint="eastAsia" w:ascii="方正仿宋_GBK" w:hAnsi="Times New Roman" w:eastAsia="方正仿宋_GBK"/>
          <w:sz w:val="32"/>
          <w:szCs w:val="32"/>
        </w:rPr>
        <w:t>”</w:t>
      </w:r>
      <w:r>
        <w:rPr>
          <w:rFonts w:hint="eastAsia" w:ascii="Times New Roman" w:hAnsi="Times New Roman" w:eastAsia="方正仿宋_GBK"/>
          <w:sz w:val="32"/>
          <w:szCs w:val="32"/>
        </w:rPr>
        <w:t>，强化部门协作，开展会计信息质量、公务卡和现金使用、征地资金等专项检查，督促整改落实。持续推进行政事业单位内部控制建设，开展财务人员业务培训，切实提高财务管理水平。对区内</w:t>
      </w:r>
      <w:r>
        <w:rPr>
          <w:rFonts w:ascii="Times New Roman" w:hAnsi="Times New Roman" w:eastAsia="方正仿宋_GBK"/>
          <w:sz w:val="32"/>
          <w:szCs w:val="32"/>
        </w:rPr>
        <w:t>24</w:t>
      </w:r>
      <w:r>
        <w:rPr>
          <w:rFonts w:hint="eastAsia" w:ascii="Times New Roman" w:hAnsi="Times New Roman" w:eastAsia="方正仿宋_GBK"/>
          <w:sz w:val="32"/>
          <w:szCs w:val="32"/>
        </w:rPr>
        <w:t>家代理记账机构开展专项检查，对</w:t>
      </w:r>
      <w:r>
        <w:rPr>
          <w:rFonts w:ascii="Times New Roman" w:hAnsi="Times New Roman" w:eastAsia="方正仿宋_GBK"/>
          <w:sz w:val="32"/>
          <w:szCs w:val="32"/>
        </w:rPr>
        <w:t>1</w:t>
      </w:r>
      <w:r>
        <w:rPr>
          <w:rFonts w:hint="eastAsia" w:ascii="Times New Roman" w:hAnsi="Times New Roman" w:eastAsia="方正仿宋_GBK"/>
          <w:sz w:val="32"/>
          <w:szCs w:val="32"/>
        </w:rPr>
        <w:t>家作出行政处罚，进一步规范代理记账机构的经营活动。</w:t>
      </w:r>
    </w:p>
    <w:p>
      <w:pPr>
        <w:spacing w:after="0"/>
        <w:ind w:firstLine="643"/>
        <w:rPr>
          <w:rFonts w:cs="Times New Roman"/>
          <w:szCs w:val="32"/>
        </w:rPr>
      </w:pPr>
      <w:r>
        <w:rPr>
          <w:rFonts w:hint="eastAsia" w:ascii="方正楷体_GBK" w:hAnsi="方正楷体_GBK" w:eastAsia="方正楷体_GBK" w:cs="方正楷体_GBK"/>
          <w:b/>
          <w:bCs/>
          <w:szCs w:val="32"/>
        </w:rPr>
        <w:t>五是聚势改革突破，全要素提升财政效能。</w:t>
      </w:r>
      <w:r>
        <w:rPr>
          <w:rFonts w:hint="eastAsia" w:ascii="方正仿宋_GBK" w:hAnsi="方正仿宋_GBK" w:cs="方正仿宋_GBK"/>
          <w:szCs w:val="32"/>
        </w:rPr>
        <w:t>坚持用改革的办法解决前进中的问题，加强财政资源和预算统筹，最大限度提高财政资金使用效益。</w:t>
      </w:r>
      <w:r>
        <w:rPr>
          <w:rFonts w:hint="eastAsia" w:ascii="方正仿宋_GBK" w:hAnsi="方正仿宋_GBK" w:cs="方正仿宋_GBK"/>
          <w:b/>
          <w:bCs/>
          <w:szCs w:val="32"/>
        </w:rPr>
        <w:t>强化“资产盘活”攻坚。</w:t>
      </w:r>
      <w:r>
        <w:rPr>
          <w:rFonts w:hint="eastAsia" w:ascii="方正仿宋_GBK" w:hAnsi="方正仿宋_GBK" w:cs="方正仿宋_GBK"/>
          <w:szCs w:val="32"/>
        </w:rPr>
        <w:t>统筹全域、全类、全要素资产资源，积极采取“用、售、租、融”、合作经营等方式挖掘资产价值，构建全方位、多层</w:t>
      </w:r>
      <w:r>
        <w:rPr>
          <w:rFonts w:cs="Times New Roman"/>
          <w:szCs w:val="32"/>
        </w:rPr>
        <w:t>次、宽领域的资产盘活体系，释放资产价值</w:t>
      </w:r>
      <w:r>
        <w:rPr>
          <w:rFonts w:hint="eastAsia" w:ascii="方正仿宋_GBK" w:hAnsi="方正仿宋_GBK" w:cs="方正仿宋_GBK"/>
          <w:szCs w:val="32"/>
        </w:rPr>
        <w:t>。</w:t>
      </w:r>
      <w:r>
        <w:rPr>
          <w:rFonts w:hint="eastAsia" w:ascii="方正仿宋_GBK" w:hAnsi="方正仿宋_GBK" w:cs="方正仿宋_GBK"/>
          <w:b/>
          <w:bCs/>
          <w:szCs w:val="32"/>
        </w:rPr>
        <w:t>深化零基预算改革。</w:t>
      </w:r>
      <w:r>
        <w:rPr>
          <w:rFonts w:hint="eastAsia" w:cs="方正仿宋_GBK"/>
          <w:szCs w:val="32"/>
        </w:rPr>
        <w:t>全面规范各类支出预算编制，项目支出</w:t>
      </w:r>
      <w:r>
        <w:rPr>
          <w:rFonts w:hint="eastAsia" w:ascii="方正仿宋_GBK" w:cs="方正仿宋_GBK"/>
          <w:szCs w:val="32"/>
        </w:rPr>
        <w:t>“</w:t>
      </w:r>
      <w:r>
        <w:rPr>
          <w:rFonts w:hint="eastAsia" w:cs="方正仿宋_GBK"/>
          <w:szCs w:val="32"/>
        </w:rPr>
        <w:t>零售变批发</w:t>
      </w:r>
      <w:r>
        <w:rPr>
          <w:rFonts w:hint="eastAsia" w:ascii="方正仿宋_GBK" w:cs="方正仿宋_GBK"/>
          <w:szCs w:val="32"/>
        </w:rPr>
        <w:t>”</w:t>
      </w:r>
      <w:r>
        <w:rPr>
          <w:rFonts w:hint="eastAsia" w:cs="方正仿宋_GBK"/>
          <w:szCs w:val="32"/>
        </w:rPr>
        <w:t>，同类项目归并实行集约化管理，</w:t>
      </w:r>
      <w:r>
        <w:rPr>
          <w:rFonts w:hint="eastAsia"/>
          <w:szCs w:val="32"/>
        </w:rPr>
        <w:t>按照轻重缓急将支出预算分为</w:t>
      </w:r>
      <w:r>
        <w:rPr>
          <w:rFonts w:cs="Times New Roman"/>
          <w:szCs w:val="32"/>
        </w:rPr>
        <w:t>9</w:t>
      </w:r>
      <w:r>
        <w:rPr>
          <w:rFonts w:hint="eastAsia"/>
          <w:szCs w:val="32"/>
        </w:rPr>
        <w:t>类。转变支出</w:t>
      </w:r>
      <w:r>
        <w:rPr>
          <w:rFonts w:hint="eastAsia" w:ascii="方正仿宋_GBK"/>
          <w:szCs w:val="32"/>
        </w:rPr>
        <w:t>“</w:t>
      </w:r>
      <w:r>
        <w:rPr>
          <w:rFonts w:hint="eastAsia"/>
          <w:szCs w:val="32"/>
        </w:rPr>
        <w:t>基数+增长</w:t>
      </w:r>
      <w:r>
        <w:rPr>
          <w:rFonts w:hint="eastAsia" w:ascii="方正仿宋_GBK"/>
          <w:szCs w:val="32"/>
        </w:rPr>
        <w:t>”</w:t>
      </w:r>
      <w:r>
        <w:rPr>
          <w:rFonts w:hint="eastAsia"/>
          <w:szCs w:val="32"/>
        </w:rPr>
        <w:t>固化格局，以</w:t>
      </w:r>
      <w:r>
        <w:rPr>
          <w:rFonts w:hint="eastAsia" w:ascii="方正仿宋_GBK"/>
          <w:szCs w:val="32"/>
        </w:rPr>
        <w:t>“</w:t>
      </w:r>
      <w:r>
        <w:rPr>
          <w:rFonts w:hint="eastAsia"/>
          <w:szCs w:val="32"/>
        </w:rPr>
        <w:t>零</w:t>
      </w:r>
      <w:r>
        <w:rPr>
          <w:rFonts w:hint="eastAsia" w:ascii="方正仿宋_GBK"/>
          <w:szCs w:val="32"/>
        </w:rPr>
        <w:t>”</w:t>
      </w:r>
      <w:r>
        <w:rPr>
          <w:rFonts w:hint="eastAsia"/>
          <w:szCs w:val="32"/>
        </w:rPr>
        <w:t>为基点，清理规范</w:t>
      </w:r>
      <w:r>
        <w:rPr>
          <w:rFonts w:cs="Times New Roman"/>
          <w:szCs w:val="32"/>
        </w:rPr>
        <w:t>111</w:t>
      </w:r>
      <w:r>
        <w:rPr>
          <w:rFonts w:hint="eastAsia"/>
          <w:szCs w:val="32"/>
        </w:rPr>
        <w:t>项补助政策，压减预算</w:t>
      </w:r>
      <w:r>
        <w:rPr>
          <w:rFonts w:cs="Times New Roman"/>
          <w:szCs w:val="32"/>
        </w:rPr>
        <w:t>2</w:t>
      </w:r>
      <w:r>
        <w:rPr>
          <w:rFonts w:hint="eastAsia"/>
          <w:szCs w:val="32"/>
        </w:rPr>
        <w:t>亿元，腾退财力保障大事要事，做到</w:t>
      </w:r>
      <w:r>
        <w:rPr>
          <w:rFonts w:hint="eastAsia" w:ascii="方正仿宋_GBK"/>
          <w:szCs w:val="32"/>
        </w:rPr>
        <w:t>“</w:t>
      </w:r>
      <w:r>
        <w:rPr>
          <w:rFonts w:hint="eastAsia"/>
          <w:szCs w:val="32"/>
        </w:rPr>
        <w:t>有保有压</w:t>
      </w:r>
      <w:r>
        <w:rPr>
          <w:rFonts w:hint="eastAsia" w:ascii="方正仿宋_GBK"/>
          <w:szCs w:val="32"/>
        </w:rPr>
        <w:t>”</w:t>
      </w:r>
      <w:r>
        <w:rPr>
          <w:rFonts w:hint="eastAsia"/>
          <w:szCs w:val="32"/>
        </w:rPr>
        <w:t>。</w:t>
      </w:r>
      <w:r>
        <w:rPr>
          <w:rFonts w:hint="eastAsia"/>
          <w:b/>
          <w:bCs/>
          <w:szCs w:val="32"/>
        </w:rPr>
        <w:t>优化</w:t>
      </w:r>
      <w:r>
        <w:rPr>
          <w:rFonts w:hint="eastAsia" w:ascii="方正仿宋_GBK" w:hAnsi="方正仿宋_GBK" w:cs="方正仿宋_GBK"/>
          <w:b/>
          <w:bCs/>
          <w:szCs w:val="32"/>
        </w:rPr>
        <w:t>绩效</w:t>
      </w:r>
      <w:r>
        <w:rPr>
          <w:rFonts w:ascii="方正仿宋_GBK" w:hAnsi="方正仿宋_GBK" w:cs="方正仿宋_GBK"/>
          <w:b/>
          <w:bCs/>
          <w:szCs w:val="32"/>
        </w:rPr>
        <w:t>评审</w:t>
      </w:r>
      <w:r>
        <w:rPr>
          <w:rFonts w:hint="eastAsia" w:ascii="方正仿宋_GBK" w:hAnsi="方正仿宋_GBK" w:cs="方正仿宋_GBK"/>
          <w:b/>
          <w:bCs/>
          <w:szCs w:val="32"/>
        </w:rPr>
        <w:t>管理。</w:t>
      </w:r>
      <w:r>
        <w:rPr>
          <w:rFonts w:hint="eastAsia"/>
          <w:szCs w:val="32"/>
        </w:rPr>
        <w:t>实现</w:t>
      </w:r>
      <w:r>
        <w:rPr>
          <w:rFonts w:cs="Times New Roman"/>
          <w:szCs w:val="32"/>
        </w:rPr>
        <w:t>1</w:t>
      </w:r>
      <w:r>
        <w:rPr>
          <w:rFonts w:hint="eastAsia"/>
          <w:szCs w:val="32"/>
        </w:rPr>
        <w:t>,</w:t>
      </w:r>
      <w:r>
        <w:rPr>
          <w:rFonts w:cs="Times New Roman"/>
          <w:szCs w:val="32"/>
        </w:rPr>
        <w:t>447</w:t>
      </w:r>
      <w:r>
        <w:rPr>
          <w:rFonts w:hint="eastAsia"/>
          <w:szCs w:val="32"/>
        </w:rPr>
        <w:t>个预算项目绩效评估、绩效目标编制、绩效运行监控和绩效自评全覆盖。建立三级绩效考核机制，绩效考核结果与预算挂钩。开展重点绩效评价，涉及预算金额</w:t>
      </w:r>
      <w:r>
        <w:rPr>
          <w:rFonts w:cs="Times New Roman"/>
          <w:szCs w:val="32"/>
        </w:rPr>
        <w:t>7</w:t>
      </w:r>
      <w:r>
        <w:rPr>
          <w:rFonts w:hint="eastAsia"/>
          <w:szCs w:val="32"/>
        </w:rPr>
        <w:t>.</w:t>
      </w:r>
      <w:r>
        <w:rPr>
          <w:rFonts w:cs="Times New Roman"/>
          <w:szCs w:val="32"/>
        </w:rPr>
        <w:t>7</w:t>
      </w:r>
      <w:r>
        <w:rPr>
          <w:rFonts w:hint="eastAsia"/>
          <w:szCs w:val="32"/>
        </w:rPr>
        <w:t>亿元。规范财政投资项目评审管理机制，提高评审工作效率，促进预算管理更加科学化、精细化。</w:t>
      </w:r>
    </w:p>
    <w:p>
      <w:pPr>
        <w:pStyle w:val="7"/>
        <w:numPr>
          <w:ilvl w:val="0"/>
          <w:numId w:val="1"/>
        </w:numPr>
        <w:spacing w:after="0"/>
        <w:ind w:firstLine="640"/>
        <w:rPr>
          <w:rFonts w:ascii="方正楷体_GBK" w:hAnsi="方正楷体_GBK" w:eastAsia="方正楷体_GBK" w:cs="方正楷体_GBK"/>
          <w:szCs w:val="32"/>
        </w:rPr>
      </w:pPr>
      <w:r>
        <w:rPr>
          <w:rFonts w:hint="eastAsia" w:ascii="方正楷体_GBK" w:hAnsi="方正楷体_GBK" w:eastAsia="方正楷体_GBK" w:cs="方正楷体_GBK"/>
          <w:szCs w:val="32"/>
        </w:rPr>
        <w:t>落实区人大预算决议情况</w:t>
      </w:r>
    </w:p>
    <w:p>
      <w:pPr>
        <w:pStyle w:val="7"/>
        <w:numPr>
          <w:ilvl w:val="255"/>
          <w:numId w:val="0"/>
        </w:numPr>
        <w:spacing w:after="0"/>
        <w:ind w:firstLine="643"/>
        <w:rPr>
          <w:rFonts w:eastAsia="方正仿宋_GBK"/>
          <w:szCs w:val="32"/>
        </w:rPr>
      </w:pPr>
      <w:r>
        <w:rPr>
          <w:rFonts w:eastAsia="方正仿宋_GBK"/>
          <w:b/>
          <w:bCs/>
          <w:szCs w:val="32"/>
        </w:rPr>
        <w:t>一是严格</w:t>
      </w:r>
      <w:r>
        <w:rPr>
          <w:rFonts w:eastAsia="方正仿宋_GBK"/>
          <w:b/>
          <w:bCs/>
          <w:color w:val="000000"/>
          <w:szCs w:val="32"/>
        </w:rPr>
        <w:t>落实区人大</w:t>
      </w:r>
      <w:r>
        <w:rPr>
          <w:rFonts w:eastAsia="方正仿宋_GBK"/>
          <w:b/>
          <w:bCs/>
          <w:szCs w:val="32"/>
        </w:rPr>
        <w:t>预算决议。</w:t>
      </w:r>
      <w:r>
        <w:rPr>
          <w:rFonts w:eastAsia="方正仿宋_GBK"/>
          <w:szCs w:val="32"/>
        </w:rPr>
        <w:t>坚持依法行政、依法理财，认真执行《预算法》《预算法实施条例》《重庆市预算审查监督条例》等相关规定，严格按照区第十四届人大四次会议决议批准的预算安排，以及区</w:t>
      </w:r>
      <w:bookmarkStart w:id="1" w:name="_GoBack"/>
      <w:bookmarkEnd w:id="1"/>
      <w:r>
        <w:rPr>
          <w:rFonts w:eastAsia="方正仿宋_GBK"/>
          <w:szCs w:val="32"/>
        </w:rPr>
        <w:t>十四届人大常委会第二十一次会议批准的调整预算，认真执行各项财政收支预算。</w:t>
      </w:r>
      <w:r>
        <w:rPr>
          <w:rFonts w:eastAsia="方正仿宋_GBK"/>
          <w:b/>
          <w:bCs/>
          <w:szCs w:val="32"/>
        </w:rPr>
        <w:t>二是自觉接受人大、政协监督。</w:t>
      </w:r>
      <w:r>
        <w:rPr>
          <w:rFonts w:eastAsia="方正仿宋_GBK"/>
          <w:szCs w:val="32"/>
        </w:rPr>
        <w:t>依法向区人大及其常委会报告政府预算编制、执行、调整、决算情况，主动向区人大专题汇报行政事业性国有资产管理情况、预算执行情况、政府债务管控情况等，进一步规范财政管理。</w:t>
      </w:r>
      <w:r>
        <w:rPr>
          <w:rFonts w:eastAsia="方正仿宋_GBK"/>
          <w:b/>
          <w:bCs/>
          <w:szCs w:val="32"/>
        </w:rPr>
        <w:t>三是认真办理代表建议、政协提案。</w:t>
      </w:r>
      <w:r>
        <w:rPr>
          <w:rFonts w:eastAsia="方正仿宋_GBK"/>
          <w:szCs w:val="32"/>
          <w:lang w:bidi="ar"/>
        </w:rPr>
        <w:t>全年办理代表建议6件，政协提案21件，办结率和时效率均为100%。代表委员们的真知灼见，为优化设置专项资金名称、盘活社区资产提供了多元思路，有力推动了财政资金效益提升。</w:t>
      </w:r>
      <w:r>
        <w:rPr>
          <w:rFonts w:eastAsia="方正仿宋_GBK"/>
          <w:szCs w:val="32"/>
        </w:rPr>
        <w:t>健全完善服务代表委员工作机制，定期报送预算执行、财政政策落实以及建议提案办理情况等，让代表委员们常态化了解、监督财政工作。</w:t>
      </w:r>
    </w:p>
    <w:p>
      <w:pPr>
        <w:pStyle w:val="7"/>
        <w:spacing w:after="0"/>
        <w:ind w:firstLine="640"/>
        <w:rPr>
          <w:rFonts w:ascii="方正仿宋_GBK" w:hAnsi="方正仿宋_GBK" w:eastAsia="方正仿宋_GBK" w:cs="方正仿宋_GBK"/>
          <w:szCs w:val="32"/>
        </w:rPr>
      </w:pPr>
      <w:r>
        <w:rPr>
          <w:rFonts w:hint="eastAsia" w:ascii="方正仿宋_GBK" w:hAnsi="方正仿宋_GBK" w:eastAsia="方正仿宋_GBK" w:cs="方正仿宋_GBK"/>
          <w:szCs w:val="32"/>
        </w:rPr>
        <w:t>各位代表！梦虽远，追则能达；愿虽艰，持则可圆。中国式现代化的新征程上，全区财政面对复杂严峻的财经形势，不懈奋斗、难中求成，财政收入回稳向上、民生支出保障有力、债务规模持续缩减、财政改革纵深推进、财会监督扎实开展，在主动服务经济社会发展大局、有效防范化解重大风险中展现了财政担当、体现了财政作为。变化有目共睹，成就凝聚艰辛。这些成绩的取得，根本在于习近平新时代中国特色社会主义思想的科学指引，是市委、市政府和区委正确领导的结果，是区人大、区政协鼎力支持的结果，更是全区干部群众携手同心、风雨同舟的结果。在此，向人大代表、政协委员和支持财政事业发展的社会各界人士表示衷心的感谢，并致以崇高的敬意！</w:t>
      </w:r>
    </w:p>
    <w:p>
      <w:pPr>
        <w:pStyle w:val="2"/>
        <w:spacing w:after="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知之愈明，则行之愈笃；行之愈笃，则知之愈益明。鉴往知来，在取得成绩的同时，我们也应清醒地认识到：</w:t>
      </w:r>
      <w:r>
        <w:rPr>
          <w:rFonts w:ascii="方正仿宋_GBK" w:hAnsi="方正仿宋_GBK" w:eastAsia="方正仿宋_GBK" w:cs="方正仿宋_GBK"/>
          <w:b/>
          <w:bCs/>
          <w:sz w:val="32"/>
          <w:szCs w:val="32"/>
        </w:rPr>
        <w:t>财源增长</w:t>
      </w:r>
      <w:r>
        <w:rPr>
          <w:rFonts w:hint="eastAsia" w:ascii="方正仿宋_GBK" w:hAnsi="方正仿宋_GBK" w:eastAsia="方正仿宋_GBK" w:cs="方正仿宋_GBK"/>
          <w:b/>
          <w:bCs/>
          <w:sz w:val="32"/>
          <w:szCs w:val="32"/>
        </w:rPr>
        <w:t>后劲</w:t>
      </w:r>
      <w:r>
        <w:rPr>
          <w:rFonts w:ascii="方正仿宋_GBK" w:hAnsi="方正仿宋_GBK" w:eastAsia="方正仿宋_GBK" w:cs="方正仿宋_GBK"/>
          <w:b/>
          <w:bCs/>
          <w:sz w:val="32"/>
          <w:szCs w:val="32"/>
        </w:rPr>
        <w:t>乏力</w:t>
      </w:r>
      <w:r>
        <w:rPr>
          <w:rFonts w:hint="eastAsia" w:ascii="方正仿宋_GBK" w:hAnsi="方正仿宋_GBK" w:eastAsia="方正仿宋_GBK" w:cs="方正仿宋_GBK"/>
          <w:b/>
          <w:bCs/>
          <w:sz w:val="32"/>
          <w:szCs w:val="32"/>
        </w:rPr>
        <w:t>，</w:t>
      </w:r>
      <w:r>
        <w:rPr>
          <w:rFonts w:ascii="方正仿宋_GBK" w:hAnsi="方正仿宋_GBK" w:eastAsia="方正仿宋_GBK" w:cs="方正仿宋_GBK"/>
          <w:sz w:val="32"/>
          <w:szCs w:val="32"/>
        </w:rPr>
        <w:t>区域产业培育</w:t>
      </w:r>
      <w:r>
        <w:rPr>
          <w:rFonts w:hint="eastAsia" w:ascii="方正仿宋_GBK" w:hAnsi="方正仿宋_GBK" w:eastAsia="方正仿宋_GBK" w:cs="方正仿宋_GBK"/>
          <w:sz w:val="32"/>
          <w:szCs w:val="32"/>
        </w:rPr>
        <w:t>尚</w:t>
      </w:r>
      <w:r>
        <w:rPr>
          <w:rFonts w:ascii="方正仿宋_GBK" w:hAnsi="方正仿宋_GBK" w:eastAsia="方正仿宋_GBK" w:cs="方正仿宋_GBK"/>
          <w:sz w:val="32"/>
          <w:szCs w:val="32"/>
        </w:rPr>
        <w:t>需时日，税收动力不足</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结构</w:t>
      </w:r>
      <w:r>
        <w:rPr>
          <w:rFonts w:hint="eastAsia" w:ascii="方正仿宋_GBK" w:hAnsi="方正仿宋_GBK" w:eastAsia="方正仿宋_GBK" w:cs="方正仿宋_GBK"/>
          <w:sz w:val="32"/>
          <w:szCs w:val="32"/>
        </w:rPr>
        <w:t>有</w:t>
      </w:r>
      <w:r>
        <w:rPr>
          <w:rFonts w:ascii="方正仿宋_GBK" w:hAnsi="方正仿宋_GBK" w:eastAsia="方正仿宋_GBK" w:cs="方正仿宋_GBK"/>
          <w:sz w:val="32"/>
          <w:szCs w:val="32"/>
        </w:rPr>
        <w:t>待优化；非税收入</w:t>
      </w:r>
      <w:r>
        <w:rPr>
          <w:rFonts w:hint="eastAsia" w:ascii="方正仿宋_GBK" w:hAnsi="方正仿宋_GBK" w:eastAsia="方正仿宋_GBK" w:cs="方正仿宋_GBK"/>
          <w:sz w:val="32"/>
          <w:szCs w:val="32"/>
        </w:rPr>
        <w:t>多源于一次性</w:t>
      </w:r>
      <w:r>
        <w:rPr>
          <w:rFonts w:ascii="方正仿宋_GBK" w:hAnsi="方正仿宋_GBK" w:eastAsia="方正仿宋_GBK" w:cs="方正仿宋_GBK"/>
          <w:sz w:val="32"/>
          <w:szCs w:val="32"/>
        </w:rPr>
        <w:t>资源盘活，</w:t>
      </w:r>
      <w:r>
        <w:rPr>
          <w:rFonts w:hint="eastAsia" w:ascii="方正仿宋_GBK" w:hAnsi="方正仿宋_GBK" w:eastAsia="方正仿宋_GBK" w:cs="方正仿宋_GBK"/>
          <w:sz w:val="32"/>
          <w:szCs w:val="32"/>
        </w:rPr>
        <w:t>持续性还需提升。</w:t>
      </w:r>
      <w:r>
        <w:rPr>
          <w:rFonts w:ascii="方正仿宋_GBK" w:hAnsi="方正仿宋_GBK" w:eastAsia="方正仿宋_GBK" w:cs="方正仿宋_GBK"/>
          <w:b/>
          <w:bCs/>
          <w:sz w:val="32"/>
          <w:szCs w:val="32"/>
        </w:rPr>
        <w:t>刚性支出</w:t>
      </w:r>
      <w:r>
        <w:rPr>
          <w:rFonts w:hint="eastAsia" w:ascii="方正仿宋_GBK" w:hAnsi="方正仿宋_GBK" w:eastAsia="方正仿宋_GBK" w:cs="方正仿宋_GBK"/>
          <w:b/>
          <w:bCs/>
          <w:sz w:val="32"/>
          <w:szCs w:val="32"/>
        </w:rPr>
        <w:t>只增不减</w:t>
      </w:r>
      <w:r>
        <w:rPr>
          <w:rFonts w:ascii="方正仿宋_GBK" w:hAnsi="方正仿宋_GBK" w:eastAsia="方正仿宋_GBK" w:cs="方正仿宋_GBK"/>
          <w:b/>
          <w:bCs/>
          <w:sz w:val="32"/>
          <w:szCs w:val="32"/>
        </w:rPr>
        <w:t>，</w:t>
      </w:r>
      <w:r>
        <w:rPr>
          <w:rFonts w:ascii="方正仿宋_GBK" w:hAnsi="方正仿宋_GBK" w:eastAsia="方正仿宋_GBK" w:cs="方正仿宋_GBK"/>
          <w:sz w:val="32"/>
          <w:szCs w:val="32"/>
        </w:rPr>
        <w:t>科技</w:t>
      </w:r>
      <w:r>
        <w:rPr>
          <w:rFonts w:hint="eastAsia" w:ascii="方正仿宋_GBK" w:hAnsi="方正仿宋_GBK" w:eastAsia="方正仿宋_GBK" w:cs="方正仿宋_GBK"/>
          <w:sz w:val="32"/>
          <w:szCs w:val="32"/>
        </w:rPr>
        <w:t>创新</w:t>
      </w:r>
      <w:r>
        <w:rPr>
          <w:rFonts w:ascii="方正仿宋_GBK" w:hAnsi="方正仿宋_GBK" w:eastAsia="方正仿宋_GBK" w:cs="方正仿宋_GBK"/>
          <w:sz w:val="32"/>
          <w:szCs w:val="32"/>
        </w:rPr>
        <w:t>、乡村振兴等战略任务与教育、医疗等民生支出需求</w:t>
      </w:r>
      <w:r>
        <w:rPr>
          <w:rFonts w:hint="eastAsia" w:ascii="方正仿宋_GBK" w:hAnsi="方正仿宋_GBK" w:eastAsia="方正仿宋_GBK" w:cs="方正仿宋_GBK"/>
          <w:sz w:val="32"/>
          <w:szCs w:val="32"/>
        </w:rPr>
        <w:t>加</w:t>
      </w:r>
      <w:r>
        <w:rPr>
          <w:rFonts w:ascii="方正仿宋_GBK" w:hAnsi="方正仿宋_GBK" w:eastAsia="方正仿宋_GBK" w:cs="方正仿宋_GBK"/>
          <w:sz w:val="32"/>
          <w:szCs w:val="32"/>
        </w:rPr>
        <w:t>大，</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三保</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、债</w:t>
      </w:r>
      <w:r>
        <w:rPr>
          <w:rFonts w:hint="eastAsia" w:ascii="方正仿宋_GBK" w:hAnsi="方正仿宋_GBK" w:eastAsia="方正仿宋_GBK" w:cs="方正仿宋_GBK"/>
          <w:sz w:val="32"/>
          <w:szCs w:val="32"/>
        </w:rPr>
        <w:t>务偿还、</w:t>
      </w:r>
      <w:r>
        <w:rPr>
          <w:rFonts w:ascii="方正仿宋_GBK" w:hAnsi="方正仿宋_GBK" w:eastAsia="方正仿宋_GBK" w:cs="方正仿宋_GBK"/>
          <w:sz w:val="32"/>
          <w:szCs w:val="32"/>
        </w:rPr>
        <w:t>重大项目</w:t>
      </w:r>
      <w:r>
        <w:rPr>
          <w:rFonts w:hint="eastAsia" w:ascii="方正仿宋_GBK" w:hAnsi="方正仿宋_GBK" w:eastAsia="方正仿宋_GBK" w:cs="方正仿宋_GBK"/>
          <w:sz w:val="32"/>
          <w:szCs w:val="32"/>
        </w:rPr>
        <w:t>保障</w:t>
      </w:r>
      <w:r>
        <w:rPr>
          <w:rFonts w:ascii="方正仿宋_GBK" w:hAnsi="方正仿宋_GBK" w:eastAsia="方正仿宋_GBK" w:cs="方正仿宋_GBK"/>
          <w:sz w:val="32"/>
          <w:szCs w:val="32"/>
        </w:rPr>
        <w:t>压力</w:t>
      </w:r>
      <w:r>
        <w:rPr>
          <w:rFonts w:hint="eastAsia" w:ascii="方正仿宋_GBK" w:hAnsi="方正仿宋_GBK" w:eastAsia="方正仿宋_GBK" w:cs="方正仿宋_GBK"/>
          <w:sz w:val="32"/>
          <w:szCs w:val="32"/>
        </w:rPr>
        <w:t>加</w:t>
      </w:r>
      <w:r>
        <w:rPr>
          <w:rFonts w:ascii="方正仿宋_GBK" w:hAnsi="方正仿宋_GBK" w:eastAsia="方正仿宋_GBK" w:cs="方正仿宋_GBK"/>
          <w:sz w:val="32"/>
          <w:szCs w:val="32"/>
        </w:rPr>
        <w:t>重</w:t>
      </w:r>
      <w:r>
        <w:rPr>
          <w:rFonts w:hint="eastAsia" w:ascii="方正仿宋_GBK" w:hAnsi="方正仿宋_GBK" w:eastAsia="方正仿宋_GBK" w:cs="方正仿宋_GBK"/>
          <w:sz w:val="32"/>
          <w:szCs w:val="32"/>
        </w:rPr>
        <w:t>。</w:t>
      </w:r>
      <w:r>
        <w:rPr>
          <w:rFonts w:ascii="方正仿宋_GBK" w:hAnsi="方正仿宋_GBK" w:eastAsia="方正仿宋_GBK" w:cs="方正仿宋_GBK"/>
          <w:b/>
          <w:bCs/>
          <w:sz w:val="32"/>
          <w:szCs w:val="32"/>
        </w:rPr>
        <w:t>资金效益</w:t>
      </w:r>
      <w:r>
        <w:rPr>
          <w:rFonts w:hint="eastAsia" w:ascii="方正仿宋_GBK" w:hAnsi="方正仿宋_GBK" w:eastAsia="方正仿宋_GBK" w:cs="方正仿宋_GBK"/>
          <w:b/>
          <w:bCs/>
          <w:sz w:val="32"/>
          <w:szCs w:val="32"/>
        </w:rPr>
        <w:t>有待提升</w:t>
      </w:r>
      <w:r>
        <w:rPr>
          <w:rFonts w:ascii="方正仿宋_GBK" w:hAnsi="方正仿宋_GBK" w:eastAsia="方正仿宋_GBK" w:cs="方正仿宋_GBK"/>
          <w:b/>
          <w:bCs/>
          <w:sz w:val="32"/>
          <w:szCs w:val="32"/>
        </w:rPr>
        <w:t>，</w:t>
      </w:r>
      <w:r>
        <w:rPr>
          <w:rFonts w:ascii="方正仿宋_GBK" w:hAnsi="方正仿宋_GBK" w:eastAsia="方正仿宋_GBK" w:cs="方正仿宋_GBK"/>
          <w:sz w:val="32"/>
          <w:szCs w:val="32"/>
        </w:rPr>
        <w:t>部门预算</w:t>
      </w:r>
      <w:r>
        <w:rPr>
          <w:rFonts w:hint="eastAsia" w:ascii="方正仿宋_GBK" w:hAnsi="方正仿宋_GBK" w:eastAsia="方正仿宋_GBK" w:cs="方正仿宋_GBK"/>
          <w:sz w:val="32"/>
          <w:szCs w:val="32"/>
        </w:rPr>
        <w:t>编制</w:t>
      </w:r>
      <w:r>
        <w:rPr>
          <w:rFonts w:ascii="方正仿宋_GBK" w:hAnsi="方正仿宋_GBK" w:eastAsia="方正仿宋_GBK" w:cs="方正仿宋_GBK"/>
          <w:sz w:val="32"/>
          <w:szCs w:val="32"/>
        </w:rPr>
        <w:t>不</w:t>
      </w:r>
      <w:r>
        <w:rPr>
          <w:rFonts w:hint="eastAsia" w:ascii="方正仿宋_GBK" w:hAnsi="方正仿宋_GBK" w:eastAsia="方正仿宋_GBK" w:cs="方正仿宋_GBK"/>
          <w:sz w:val="32"/>
          <w:szCs w:val="32"/>
        </w:rPr>
        <w:t>够精</w:t>
      </w:r>
      <w:r>
        <w:rPr>
          <w:rFonts w:ascii="方正仿宋_GBK" w:hAnsi="方正仿宋_GBK" w:eastAsia="方正仿宋_GBK" w:cs="方正仿宋_GBK"/>
          <w:sz w:val="32"/>
          <w:szCs w:val="32"/>
        </w:rPr>
        <w:t>准，绩效管理</w:t>
      </w:r>
      <w:r>
        <w:rPr>
          <w:rFonts w:hint="eastAsia" w:ascii="方正仿宋_GBK" w:hAnsi="方正仿宋_GBK" w:eastAsia="方正仿宋_GBK" w:cs="方正仿宋_GBK"/>
          <w:sz w:val="32"/>
          <w:szCs w:val="32"/>
        </w:rPr>
        <w:t>和</w:t>
      </w:r>
      <w:r>
        <w:rPr>
          <w:rFonts w:hint="eastAsia" w:ascii="Times New Roman" w:hAnsi="Times New Roman" w:eastAsia="方正仿宋_GBK"/>
          <w:sz w:val="32"/>
          <w:szCs w:val="32"/>
        </w:rPr>
        <w:t>财会监督还需持续强化</w:t>
      </w:r>
      <w:r>
        <w:rPr>
          <w:rFonts w:hint="eastAsia" w:ascii="方正仿宋_GBK" w:hAnsi="方正仿宋_GBK" w:eastAsia="方正仿宋_GBK" w:cs="方正仿宋_GBK"/>
          <w:sz w:val="32"/>
          <w:szCs w:val="32"/>
        </w:rPr>
        <w:t>。但“初心如磐，笃行致远”，随着国家政策红利持续叠加释放、全面深化改革红利加速释放、全区改革发展稳定厚集成势。我们坚信，有区委的坚强领导，有区人大、政协的监督指导，有社会各界的和衷共济，有全区上下的携手奋进，我们必将继往开来、再谱新篇。</w:t>
      </w:r>
    </w:p>
    <w:p>
      <w:pPr>
        <w:spacing w:after="0"/>
        <w:ind w:firstLine="640"/>
        <w:rPr>
          <w:rFonts w:eastAsia="方正黑体_GBK" w:cs="方正黑体_GBK"/>
          <w:szCs w:val="32"/>
        </w:rPr>
      </w:pPr>
      <w:r>
        <w:rPr>
          <w:rFonts w:hint="eastAsia" w:eastAsia="方正黑体_GBK" w:cs="方正黑体_GBK"/>
          <w:szCs w:val="32"/>
        </w:rPr>
        <w:t>三、</w:t>
      </w:r>
      <w:r>
        <w:rPr>
          <w:rFonts w:eastAsia="方正黑体_GBK" w:cs="Times New Roman"/>
          <w:szCs w:val="32"/>
        </w:rPr>
        <w:t>2025</w:t>
      </w:r>
      <w:r>
        <w:rPr>
          <w:rFonts w:hint="eastAsia" w:eastAsia="方正黑体_GBK" w:cs="方正黑体_GBK"/>
          <w:szCs w:val="32"/>
        </w:rPr>
        <w:t>年财政预算草案</w:t>
      </w:r>
    </w:p>
    <w:p>
      <w:pPr>
        <w:spacing w:after="0"/>
        <w:ind w:firstLine="640"/>
        <w:rPr>
          <w:rFonts w:eastAsia="方正楷体_GBK" w:cs="方正楷体_GBK"/>
          <w:szCs w:val="32"/>
        </w:rPr>
      </w:pPr>
      <w:r>
        <w:rPr>
          <w:rFonts w:hint="eastAsia" w:eastAsia="方正楷体_GBK" w:cs="方正楷体_GBK"/>
          <w:szCs w:val="32"/>
        </w:rPr>
        <w:t>（一）指导思想</w:t>
      </w:r>
    </w:p>
    <w:p>
      <w:pPr>
        <w:spacing w:after="0"/>
        <w:ind w:firstLine="640"/>
        <w:rPr>
          <w:rFonts w:cs="方正仿宋_GBK"/>
          <w:szCs w:val="32"/>
        </w:rPr>
      </w:pPr>
      <w:r>
        <w:rPr>
          <w:rFonts w:hint="eastAsia" w:ascii="方正仿宋_GBK" w:hAnsi="方正仿宋_GBK" w:cs="方正仿宋_GBK"/>
          <w:szCs w:val="32"/>
        </w:rPr>
        <w:t>以习近平新时代中国特色社会</w:t>
      </w:r>
      <w:r>
        <w:rPr>
          <w:rFonts w:ascii="方正仿宋_GBK" w:hAnsi="方正仿宋_GBK" w:cs="方正仿宋_GBK"/>
          <w:szCs w:val="32"/>
        </w:rPr>
        <w:t>主义</w:t>
      </w:r>
      <w:r>
        <w:rPr>
          <w:rFonts w:hint="eastAsia" w:ascii="方正仿宋_GBK" w:hAnsi="方正仿宋_GBK" w:cs="方正仿宋_GBK"/>
          <w:szCs w:val="32"/>
        </w:rPr>
        <w:t>思想为指引，</w:t>
      </w:r>
      <w:r>
        <w:rPr>
          <w:rFonts w:hint="eastAsia" w:ascii="方正仿宋_GBK" w:hAnsi="方正仿宋_GBK" w:cs="方正仿宋_GBK"/>
          <w:kern w:val="0"/>
          <w:szCs w:val="32"/>
        </w:rPr>
        <w:t>全</w:t>
      </w:r>
      <w:r>
        <w:rPr>
          <w:rFonts w:hint="eastAsia" w:cs="Times New Roman"/>
          <w:kern w:val="0"/>
          <w:szCs w:val="32"/>
        </w:rPr>
        <w:t>面贯彻落实党的二十届三中全会精神，</w:t>
      </w:r>
      <w:r>
        <w:rPr>
          <w:rFonts w:hint="eastAsia" w:cs="方正仿宋_GBK"/>
          <w:szCs w:val="32"/>
        </w:rPr>
        <w:t>深刻领会习近平总书记视察重庆重要讲话重要指示精神，扎实落实中央、市委和区委经济工作会议精神，准确把握总体要求、政策取向和重点任务，落实更加积极的财政政策，强化财政资源和预算统筹，深化财税体制改革，加强财政科学管理，防范化解风险，严肃财经纪律，提高资金使用效益和政策效能，促进经济持续回升向好，全力支持</w:t>
      </w:r>
      <w:r>
        <w:rPr>
          <w:rFonts w:hint="eastAsia" w:ascii="方正仿宋_GBK" w:cs="方正仿宋_GBK"/>
          <w:szCs w:val="32"/>
        </w:rPr>
        <w:t>“</w:t>
      </w:r>
      <w:r>
        <w:rPr>
          <w:rFonts w:hint="eastAsia" w:cs="方正仿宋_GBK"/>
          <w:szCs w:val="32"/>
        </w:rPr>
        <w:t>尚义大渡口、宜居宜业城</w:t>
      </w:r>
      <w:r>
        <w:rPr>
          <w:rFonts w:hint="eastAsia" w:ascii="方正仿宋_GBK" w:cs="方正仿宋_GBK"/>
          <w:szCs w:val="32"/>
        </w:rPr>
        <w:t>”</w:t>
      </w:r>
      <w:r>
        <w:rPr>
          <w:rFonts w:hint="eastAsia" w:cs="方正仿宋_GBK"/>
          <w:szCs w:val="32"/>
        </w:rPr>
        <w:t>建设，在奋力谱写中国式现代化重庆篇章中展现大渡口新作为贡献财政力量。</w:t>
      </w:r>
    </w:p>
    <w:p>
      <w:pPr>
        <w:spacing w:after="0"/>
        <w:ind w:firstLine="640"/>
        <w:rPr>
          <w:rFonts w:eastAsia="方正楷体_GBK" w:cs="方正楷体_GBK"/>
          <w:szCs w:val="32"/>
        </w:rPr>
      </w:pPr>
      <w:r>
        <w:rPr>
          <w:rFonts w:hint="eastAsia" w:eastAsia="方正楷体_GBK" w:cs="方正楷体_GBK"/>
          <w:szCs w:val="32"/>
        </w:rPr>
        <w:t>（二）编制原则</w:t>
      </w:r>
    </w:p>
    <w:p>
      <w:pPr>
        <w:pStyle w:val="2"/>
        <w:spacing w:after="0"/>
        <w:ind w:firstLine="640"/>
        <w:rPr>
          <w:rFonts w:ascii="仿宋" w:hAnsi="仿宋" w:eastAsia="方正仿宋_GBK" w:cs="仿宋"/>
          <w:szCs w:val="32"/>
        </w:rPr>
      </w:pPr>
      <w:r>
        <w:rPr>
          <w:rFonts w:ascii="Times New Roman" w:hAnsi="Times New Roman" w:eastAsia="方正仿宋_GBK"/>
          <w:sz w:val="32"/>
          <w:szCs w:val="32"/>
        </w:rPr>
        <w:t>按照上述指导思想，2025年财政预算编制坚持以下原则：</w:t>
      </w:r>
      <w:r>
        <w:rPr>
          <w:rFonts w:ascii="Times New Roman" w:hAnsi="Times New Roman" w:eastAsia="方正仿宋_GBK"/>
          <w:b/>
          <w:bCs/>
          <w:sz w:val="32"/>
          <w:szCs w:val="32"/>
        </w:rPr>
        <w:t>护航重点领域。</w:t>
      </w:r>
      <w:r>
        <w:rPr>
          <w:rFonts w:ascii="Times New Roman" w:hAnsi="Times New Roman" w:eastAsia="方正仿宋_GBK"/>
          <w:sz w:val="32"/>
          <w:szCs w:val="32"/>
        </w:rPr>
        <w:t>全方位加大资金与资源的整合力度，促进政策协同发力、资金紧密配合，深度优化支出架构，确保财政支出靶向精准，凝聚全区财力，为重大决策部署、关键改革</w:t>
      </w:r>
      <w:r>
        <w:rPr>
          <w:rFonts w:hint="eastAsia" w:ascii="Times New Roman" w:hAnsi="Times New Roman" w:eastAsia="方正仿宋_GBK"/>
          <w:sz w:val="32"/>
          <w:szCs w:val="32"/>
        </w:rPr>
        <w:t>突围、</w:t>
      </w:r>
      <w:r>
        <w:rPr>
          <w:rFonts w:ascii="Times New Roman" w:hAnsi="Times New Roman" w:eastAsia="方正仿宋_GBK"/>
          <w:sz w:val="32"/>
          <w:szCs w:val="32"/>
        </w:rPr>
        <w:t>重点项目落地开辟绿色通道。</w:t>
      </w:r>
      <w:r>
        <w:rPr>
          <w:rFonts w:ascii="Times New Roman" w:hAnsi="Times New Roman" w:eastAsia="方正仿宋_GBK"/>
          <w:b/>
          <w:bCs/>
          <w:sz w:val="32"/>
          <w:szCs w:val="32"/>
        </w:rPr>
        <w:t>践行节约理念</w:t>
      </w:r>
      <w:r>
        <w:rPr>
          <w:rFonts w:ascii="Times New Roman" w:hAnsi="Times New Roman" w:eastAsia="方正仿宋_GBK"/>
          <w:sz w:val="32"/>
          <w:szCs w:val="32"/>
        </w:rPr>
        <w:t>。将党政机关</w:t>
      </w:r>
      <w:r>
        <w:rPr>
          <w:rFonts w:hint="eastAsia" w:ascii="Times New Roman" w:hAnsi="Times New Roman" w:eastAsia="方正仿宋_GBK"/>
          <w:sz w:val="32"/>
          <w:szCs w:val="32"/>
        </w:rPr>
        <w:t>习惯过</w:t>
      </w:r>
      <w:r>
        <w:rPr>
          <w:rFonts w:ascii="Times New Roman" w:hAnsi="Times New Roman" w:eastAsia="方正仿宋_GBK"/>
          <w:sz w:val="32"/>
          <w:szCs w:val="32"/>
        </w:rPr>
        <w:t>紧日子准则</w:t>
      </w:r>
      <w:r>
        <w:rPr>
          <w:rFonts w:hint="eastAsia" w:ascii="Times New Roman" w:hAnsi="Times New Roman" w:eastAsia="方正仿宋_GBK"/>
          <w:sz w:val="32"/>
          <w:szCs w:val="32"/>
        </w:rPr>
        <w:t>作</w:t>
      </w:r>
      <w:r>
        <w:rPr>
          <w:rFonts w:ascii="Times New Roman" w:hAnsi="Times New Roman" w:eastAsia="方正仿宋_GBK"/>
          <w:sz w:val="32"/>
          <w:szCs w:val="32"/>
        </w:rPr>
        <w:t xml:space="preserve">为长效纪律规范，严格管控 </w:t>
      </w:r>
      <w:r>
        <w:rPr>
          <w:rFonts w:hint="eastAsia" w:ascii="方正仿宋_GBK" w:hAnsi="Times New Roman" w:eastAsia="方正仿宋_GBK"/>
          <w:sz w:val="32"/>
          <w:szCs w:val="32"/>
        </w:rPr>
        <w:t>“</w:t>
      </w:r>
      <w:r>
        <w:rPr>
          <w:rFonts w:ascii="Times New Roman" w:hAnsi="Times New Roman" w:eastAsia="方正仿宋_GBK"/>
          <w:sz w:val="32"/>
          <w:szCs w:val="32"/>
        </w:rPr>
        <w:t>三公</w:t>
      </w:r>
      <w:r>
        <w:rPr>
          <w:rFonts w:hint="eastAsia" w:ascii="方正仿宋_GBK" w:hAnsi="Times New Roman" w:eastAsia="方正仿宋_GBK"/>
          <w:sz w:val="32"/>
          <w:szCs w:val="32"/>
        </w:rPr>
        <w:t>”</w:t>
      </w:r>
      <w:r>
        <w:rPr>
          <w:rFonts w:ascii="Times New Roman" w:hAnsi="Times New Roman" w:eastAsia="方正仿宋_GBK"/>
          <w:sz w:val="32"/>
          <w:szCs w:val="32"/>
        </w:rPr>
        <w:t>经费及一般性支出，从预算编制的源头把关，到资产配置、政府采购、预算评审等各环节严格审核，多管齐下削减</w:t>
      </w:r>
      <w:r>
        <w:rPr>
          <w:rFonts w:hint="eastAsia" w:ascii="Times New Roman" w:hAnsi="Times New Roman" w:eastAsia="方正仿宋_GBK"/>
          <w:sz w:val="32"/>
          <w:szCs w:val="32"/>
        </w:rPr>
        <w:t>不必要开支</w:t>
      </w:r>
      <w:r>
        <w:rPr>
          <w:rFonts w:ascii="Times New Roman" w:hAnsi="Times New Roman" w:eastAsia="方正仿宋_GBK"/>
          <w:sz w:val="32"/>
          <w:szCs w:val="32"/>
        </w:rPr>
        <w:t>。</w:t>
      </w:r>
      <w:r>
        <w:rPr>
          <w:rFonts w:ascii="Times New Roman" w:hAnsi="Times New Roman" w:eastAsia="方正仿宋_GBK"/>
          <w:b/>
          <w:bCs/>
          <w:sz w:val="32"/>
          <w:szCs w:val="32"/>
        </w:rPr>
        <w:t>力求</w:t>
      </w:r>
      <w:r>
        <w:rPr>
          <w:rFonts w:hint="eastAsia" w:ascii="Times New Roman" w:hAnsi="Times New Roman" w:eastAsia="方正仿宋_GBK"/>
          <w:b/>
          <w:bCs/>
          <w:sz w:val="32"/>
          <w:szCs w:val="32"/>
        </w:rPr>
        <w:t>提质</w:t>
      </w:r>
      <w:r>
        <w:rPr>
          <w:rFonts w:ascii="Times New Roman" w:hAnsi="Times New Roman" w:eastAsia="方正仿宋_GBK"/>
          <w:b/>
          <w:bCs/>
          <w:sz w:val="32"/>
          <w:szCs w:val="32"/>
        </w:rPr>
        <w:t>增效。</w:t>
      </w:r>
      <w:r>
        <w:rPr>
          <w:rFonts w:ascii="Times New Roman" w:hAnsi="Times New Roman" w:eastAsia="方正仿宋_GBK"/>
          <w:sz w:val="32"/>
          <w:szCs w:val="32"/>
        </w:rPr>
        <w:t>加速构建全维度全流程预算绩效管理</w:t>
      </w:r>
      <w:r>
        <w:rPr>
          <w:rFonts w:hint="eastAsia" w:ascii="Times New Roman" w:hAnsi="Times New Roman" w:eastAsia="方正仿宋_GBK"/>
          <w:sz w:val="32"/>
          <w:szCs w:val="32"/>
        </w:rPr>
        <w:t>体系</w:t>
      </w:r>
      <w:r>
        <w:rPr>
          <w:rFonts w:ascii="Times New Roman" w:hAnsi="Times New Roman" w:eastAsia="方正仿宋_GBK"/>
          <w:sz w:val="32"/>
          <w:szCs w:val="32"/>
        </w:rPr>
        <w:t>，</w:t>
      </w:r>
      <w:r>
        <w:rPr>
          <w:rFonts w:hint="eastAsia" w:ascii="Times New Roman" w:hAnsi="Times New Roman" w:eastAsia="方正仿宋_GBK"/>
          <w:sz w:val="32"/>
          <w:szCs w:val="32"/>
        </w:rPr>
        <w:t>将</w:t>
      </w:r>
      <w:r>
        <w:rPr>
          <w:rFonts w:ascii="Times New Roman" w:hAnsi="Times New Roman" w:eastAsia="方正仿宋_GBK"/>
          <w:sz w:val="32"/>
          <w:szCs w:val="32"/>
        </w:rPr>
        <w:t>成本效益观念贯穿</w:t>
      </w:r>
      <w:r>
        <w:rPr>
          <w:rFonts w:hint="eastAsia" w:ascii="Times New Roman" w:hAnsi="Times New Roman" w:eastAsia="方正仿宋_GBK"/>
          <w:sz w:val="32"/>
          <w:szCs w:val="32"/>
        </w:rPr>
        <w:t>始终。</w:t>
      </w:r>
      <w:r>
        <w:rPr>
          <w:rFonts w:ascii="Times New Roman" w:hAnsi="Times New Roman" w:eastAsia="方正仿宋_GBK"/>
          <w:sz w:val="32"/>
          <w:szCs w:val="32"/>
        </w:rPr>
        <w:t>以激励约束机制为杠杆</w:t>
      </w:r>
      <w:r>
        <w:rPr>
          <w:rFonts w:hint="eastAsia" w:ascii="Times New Roman" w:hAnsi="Times New Roman" w:eastAsia="方正仿宋_GBK"/>
          <w:sz w:val="32"/>
          <w:szCs w:val="32"/>
        </w:rPr>
        <w:t>，</w:t>
      </w:r>
      <w:r>
        <w:rPr>
          <w:rFonts w:ascii="Times New Roman" w:hAnsi="Times New Roman" w:eastAsia="方正仿宋_GBK"/>
          <w:sz w:val="32"/>
          <w:szCs w:val="32"/>
        </w:rPr>
        <w:t>强化绩效考评，</w:t>
      </w:r>
      <w:r>
        <w:rPr>
          <w:rFonts w:hint="eastAsia" w:ascii="Times New Roman" w:hAnsi="Times New Roman" w:eastAsia="方正仿宋_GBK"/>
          <w:sz w:val="32"/>
          <w:szCs w:val="32"/>
        </w:rPr>
        <w:t>充分运用</w:t>
      </w:r>
      <w:r>
        <w:rPr>
          <w:rFonts w:ascii="Times New Roman" w:hAnsi="Times New Roman" w:eastAsia="方正仿宋_GBK"/>
          <w:sz w:val="32"/>
          <w:szCs w:val="32"/>
        </w:rPr>
        <w:t>绩效评价结果，</w:t>
      </w:r>
      <w:r>
        <w:rPr>
          <w:rFonts w:hint="eastAsia" w:ascii="Times New Roman" w:hAnsi="Times New Roman" w:eastAsia="方正仿宋_GBK"/>
          <w:sz w:val="32"/>
          <w:szCs w:val="32"/>
        </w:rPr>
        <w:t>确保</w:t>
      </w:r>
      <w:r>
        <w:rPr>
          <w:rFonts w:ascii="Times New Roman" w:hAnsi="Times New Roman" w:eastAsia="方正仿宋_GBK"/>
          <w:sz w:val="32"/>
          <w:szCs w:val="32"/>
        </w:rPr>
        <w:t>每一分财政资金都花在刀刃上。</w:t>
      </w:r>
    </w:p>
    <w:p>
      <w:pPr>
        <w:spacing w:after="0"/>
        <w:ind w:firstLine="640"/>
        <w:rPr>
          <w:rFonts w:eastAsia="方正楷体_GBK" w:cs="Times New Roman"/>
          <w:kern w:val="0"/>
          <w:szCs w:val="32"/>
        </w:rPr>
      </w:pPr>
      <w:r>
        <w:rPr>
          <w:rFonts w:hint="eastAsia" w:eastAsia="方正楷体_GBK" w:cs="方正楷体_GBK"/>
          <w:szCs w:val="32"/>
        </w:rPr>
        <w:t>（三）收支预算草案</w:t>
      </w:r>
    </w:p>
    <w:p>
      <w:pPr>
        <w:spacing w:after="0"/>
        <w:ind w:firstLine="643"/>
        <w:rPr>
          <w:rFonts w:cs="Times New Roman"/>
          <w:b/>
          <w:bCs/>
          <w:szCs w:val="32"/>
        </w:rPr>
      </w:pPr>
      <w:r>
        <w:rPr>
          <w:rFonts w:cs="Times New Roman"/>
          <w:b/>
          <w:bCs/>
          <w:szCs w:val="32"/>
        </w:rPr>
        <w:t>1.一般公共预算</w:t>
      </w:r>
      <w:r>
        <w:rPr>
          <w:rFonts w:hint="eastAsia" w:cs="Times New Roman"/>
          <w:b/>
          <w:bCs/>
          <w:szCs w:val="32"/>
        </w:rPr>
        <w:t>总体安排情况</w:t>
      </w:r>
    </w:p>
    <w:p>
      <w:pPr>
        <w:spacing w:after="0"/>
        <w:ind w:firstLine="643"/>
        <w:rPr>
          <w:rFonts w:cs="Times New Roman"/>
          <w:szCs w:val="32"/>
        </w:rPr>
      </w:pPr>
      <w:r>
        <w:rPr>
          <w:rFonts w:hint="eastAsia" w:cs="Times New Roman"/>
          <w:b/>
          <w:bCs/>
          <w:szCs w:val="32"/>
        </w:rPr>
        <w:t>（</w:t>
      </w:r>
      <w:r>
        <w:rPr>
          <w:rFonts w:cs="Times New Roman"/>
          <w:b/>
          <w:bCs/>
          <w:szCs w:val="32"/>
        </w:rPr>
        <w:t>1</w:t>
      </w:r>
      <w:r>
        <w:rPr>
          <w:rFonts w:hint="eastAsia" w:cs="Times New Roman"/>
          <w:b/>
          <w:bCs/>
          <w:szCs w:val="32"/>
        </w:rPr>
        <w:t>）收入预算。</w:t>
      </w:r>
      <w:r>
        <w:rPr>
          <w:rFonts w:ascii="方正仿宋_GBK" w:hAnsi="方正仿宋_GBK" w:cs="方正仿宋_GBK"/>
          <w:szCs w:val="32"/>
          <w:lang w:bidi="ar"/>
        </w:rPr>
        <w:t>收入总计</w:t>
      </w:r>
      <w:r>
        <w:rPr>
          <w:rFonts w:cs="Times New Roman"/>
          <w:szCs w:val="32"/>
          <w:lang w:bidi="ar"/>
        </w:rPr>
        <w:t>521,520</w:t>
      </w:r>
      <w:r>
        <w:rPr>
          <w:rFonts w:ascii="方正仿宋_GBK" w:hAnsi="方正仿宋_GBK" w:cs="方正仿宋_GBK"/>
          <w:szCs w:val="32"/>
          <w:lang w:bidi="ar"/>
        </w:rPr>
        <w:t>万元，具体组成：本级收入</w:t>
      </w:r>
      <w:r>
        <w:rPr>
          <w:rFonts w:cs="Times New Roman"/>
          <w:szCs w:val="32"/>
          <w:lang w:bidi="ar"/>
        </w:rPr>
        <w:t>217,914</w:t>
      </w:r>
      <w:r>
        <w:rPr>
          <w:rFonts w:ascii="方正仿宋_GBK" w:hAnsi="方正仿宋_GBK" w:cs="方正仿宋_GBK"/>
          <w:szCs w:val="32"/>
          <w:lang w:bidi="ar"/>
        </w:rPr>
        <w:t>万元，同比增长</w:t>
      </w:r>
      <w:r>
        <w:rPr>
          <w:rFonts w:cs="Times New Roman"/>
          <w:szCs w:val="32"/>
          <w:lang w:bidi="ar"/>
        </w:rPr>
        <w:t>8.2%。</w:t>
      </w:r>
      <w:r>
        <w:rPr>
          <w:rFonts w:ascii="方正仿宋_GBK" w:hAnsi="方正仿宋_GBK" w:cs="方正仿宋_GBK"/>
          <w:szCs w:val="32"/>
          <w:lang w:bidi="ar"/>
        </w:rPr>
        <w:t>上级补助收入</w:t>
      </w:r>
      <w:r>
        <w:rPr>
          <w:rFonts w:cs="Times New Roman"/>
          <w:szCs w:val="32"/>
          <w:lang w:bidi="ar"/>
        </w:rPr>
        <w:t xml:space="preserve">70,069 </w:t>
      </w:r>
      <w:r>
        <w:rPr>
          <w:rFonts w:ascii="方正仿宋_GBK" w:hAnsi="方正仿宋_GBK" w:cs="方正仿宋_GBK"/>
          <w:szCs w:val="32"/>
          <w:lang w:bidi="ar"/>
        </w:rPr>
        <w:t>万元；调入资金</w:t>
      </w:r>
      <w:r>
        <w:rPr>
          <w:rFonts w:cs="Times New Roman"/>
          <w:szCs w:val="32"/>
          <w:lang w:bidi="ar"/>
        </w:rPr>
        <w:t>161,077</w:t>
      </w:r>
      <w:r>
        <w:rPr>
          <w:rFonts w:ascii="方正仿宋_GBK" w:hAnsi="方正仿宋_GBK" w:cs="方正仿宋_GBK"/>
          <w:szCs w:val="32"/>
          <w:lang w:bidi="ar"/>
        </w:rPr>
        <w:t>万元；动用预算稳定调节基金</w:t>
      </w:r>
      <w:r>
        <w:rPr>
          <w:rFonts w:cs="Times New Roman"/>
          <w:szCs w:val="32"/>
          <w:lang w:bidi="ar"/>
        </w:rPr>
        <w:t>39,088</w:t>
      </w:r>
      <w:r>
        <w:rPr>
          <w:rFonts w:ascii="方正仿宋_GBK" w:hAnsi="方正仿宋_GBK" w:cs="方正仿宋_GBK"/>
          <w:szCs w:val="32"/>
          <w:lang w:bidi="ar"/>
        </w:rPr>
        <w:t>万元；上年结转</w:t>
      </w:r>
      <w:r>
        <w:rPr>
          <w:rFonts w:cs="Times New Roman"/>
          <w:szCs w:val="32"/>
          <w:lang w:bidi="ar"/>
        </w:rPr>
        <w:t>33,372</w:t>
      </w:r>
      <w:r>
        <w:rPr>
          <w:rFonts w:ascii="方正仿宋_GBK" w:hAnsi="方正仿宋_GBK" w:cs="方正仿宋_GBK"/>
          <w:szCs w:val="32"/>
          <w:lang w:bidi="ar"/>
        </w:rPr>
        <w:t>万元。</w:t>
      </w:r>
    </w:p>
    <w:p>
      <w:pPr>
        <w:spacing w:after="0"/>
        <w:ind w:firstLine="643"/>
        <w:rPr>
          <w:rFonts w:cs="Times New Roman"/>
          <w:szCs w:val="32"/>
        </w:rPr>
      </w:pPr>
      <w:r>
        <w:rPr>
          <w:rFonts w:hint="eastAsia" w:cs="Times New Roman"/>
          <w:b/>
          <w:bCs/>
          <w:szCs w:val="32"/>
        </w:rPr>
        <w:t>（</w:t>
      </w:r>
      <w:r>
        <w:rPr>
          <w:rFonts w:cs="Times New Roman"/>
          <w:b/>
          <w:bCs/>
          <w:szCs w:val="32"/>
        </w:rPr>
        <w:t>2</w:t>
      </w:r>
      <w:r>
        <w:rPr>
          <w:rFonts w:hint="eastAsia" w:cs="Times New Roman"/>
          <w:b/>
          <w:bCs/>
          <w:szCs w:val="32"/>
        </w:rPr>
        <w:t>）支出预算。</w:t>
      </w:r>
      <w:r>
        <w:rPr>
          <w:rFonts w:ascii="方正仿宋_GBK" w:hAnsi="方正仿宋_GBK" w:cs="方正仿宋_GBK"/>
          <w:szCs w:val="32"/>
          <w:lang w:bidi="ar"/>
        </w:rPr>
        <w:t>支出总计</w:t>
      </w:r>
      <w:r>
        <w:rPr>
          <w:rFonts w:cs="Times New Roman"/>
          <w:szCs w:val="32"/>
          <w:lang w:bidi="ar"/>
        </w:rPr>
        <w:t>521,520</w:t>
      </w:r>
      <w:r>
        <w:rPr>
          <w:rFonts w:ascii="方正仿宋_GBK" w:hAnsi="方正仿宋_GBK" w:cs="方正仿宋_GBK"/>
          <w:szCs w:val="32"/>
          <w:lang w:bidi="ar"/>
        </w:rPr>
        <w:t>万元，具体组成：本级支出安排</w:t>
      </w:r>
      <w:r>
        <w:rPr>
          <w:rFonts w:cs="Times New Roman"/>
          <w:szCs w:val="32"/>
          <w:lang w:bidi="ar"/>
        </w:rPr>
        <w:t>469,049</w:t>
      </w:r>
      <w:r>
        <w:rPr>
          <w:rFonts w:ascii="方正仿宋_GBK" w:hAnsi="方正仿宋_GBK" w:cs="方正仿宋_GBK"/>
          <w:szCs w:val="32"/>
          <w:lang w:bidi="ar"/>
        </w:rPr>
        <w:t>万元；上解上级支出</w:t>
      </w:r>
      <w:r>
        <w:rPr>
          <w:rFonts w:cs="Times New Roman"/>
          <w:szCs w:val="32"/>
          <w:lang w:bidi="ar"/>
        </w:rPr>
        <w:t>24,171</w:t>
      </w:r>
      <w:r>
        <w:rPr>
          <w:rFonts w:ascii="方正仿宋_GBK" w:hAnsi="方正仿宋_GBK" w:cs="方正仿宋_GBK"/>
          <w:szCs w:val="32"/>
          <w:lang w:bidi="ar"/>
        </w:rPr>
        <w:t>万元</w:t>
      </w:r>
      <w:r>
        <w:rPr>
          <w:rFonts w:hint="eastAsia" w:ascii="方正仿宋_GBK" w:hAnsi="方正仿宋_GBK" w:cs="方正仿宋_GBK"/>
          <w:szCs w:val="32"/>
          <w:lang w:bidi="ar"/>
        </w:rPr>
        <w:t>,债务还本支出</w:t>
      </w:r>
      <w:r>
        <w:rPr>
          <w:rFonts w:cs="Times New Roman"/>
          <w:szCs w:val="32"/>
          <w:lang w:bidi="ar"/>
        </w:rPr>
        <w:t>28,300万元。</w:t>
      </w:r>
    </w:p>
    <w:p>
      <w:pPr>
        <w:pStyle w:val="7"/>
        <w:ind w:firstLine="640"/>
        <w:jc w:val="center"/>
        <w:rPr>
          <w:rFonts w:eastAsia="方正黑体_GBK" w:cs="方正黑体_GBK"/>
        </w:rPr>
      </w:pPr>
      <w:r>
        <w:rPr>
          <w:rFonts w:eastAsia="方正黑体_GBK"/>
        </w:rPr>
        <w:t>2025</w:t>
      </w:r>
      <w:r>
        <w:rPr>
          <w:rFonts w:hint="eastAsia" w:eastAsia="方正黑体_GBK" w:cs="方正黑体_GBK"/>
        </w:rPr>
        <w:t>年全区一般公共预算收支平衡表</w:t>
      </w:r>
    </w:p>
    <w:p>
      <w:pPr>
        <w:pStyle w:val="7"/>
        <w:spacing w:after="0" w:line="400" w:lineRule="exact"/>
        <w:ind w:firstLine="420"/>
        <w:jc w:val="right"/>
        <w:rPr>
          <w:rFonts w:eastAsiaTheme="minorEastAsia" w:cstheme="minorEastAsia"/>
          <w:sz w:val="21"/>
          <w:szCs w:val="21"/>
        </w:rPr>
      </w:pPr>
      <w:r>
        <w:rPr>
          <w:rFonts w:hint="eastAsia" w:eastAsiaTheme="minorEastAsia" w:cstheme="minorEastAsia"/>
          <w:sz w:val="21"/>
          <w:szCs w:val="21"/>
        </w:rPr>
        <w:t>单位：万元</w:t>
      </w:r>
    </w:p>
    <w:tbl>
      <w:tblPr>
        <w:tblStyle w:val="15"/>
        <w:tblW w:w="9139" w:type="dxa"/>
        <w:jc w:val="center"/>
        <w:tblLayout w:type="fixed"/>
        <w:tblCellMar>
          <w:top w:w="0" w:type="dxa"/>
          <w:left w:w="0" w:type="dxa"/>
          <w:bottom w:w="0" w:type="dxa"/>
          <w:right w:w="0" w:type="dxa"/>
        </w:tblCellMar>
      </w:tblPr>
      <w:tblGrid>
        <w:gridCol w:w="2867"/>
        <w:gridCol w:w="1638"/>
        <w:gridCol w:w="2971"/>
        <w:gridCol w:w="1663"/>
      </w:tblGrid>
      <w:tr>
        <w:tblPrEx>
          <w:tblCellMar>
            <w:top w:w="0" w:type="dxa"/>
            <w:left w:w="0" w:type="dxa"/>
            <w:bottom w:w="0" w:type="dxa"/>
            <w:right w:w="0" w:type="dxa"/>
          </w:tblCellMar>
        </w:tblPrEx>
        <w:trPr>
          <w:trHeight w:val="425" w:hRule="exact"/>
          <w:tblHeader/>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收    入</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预算数</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支    出</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预算数</w:t>
            </w:r>
          </w:p>
        </w:tc>
      </w:tr>
      <w:tr>
        <w:tblPrEx>
          <w:tblCellMar>
            <w:top w:w="0" w:type="dxa"/>
            <w:left w:w="0" w:type="dxa"/>
            <w:bottom w:w="0" w:type="dxa"/>
            <w:right w:w="0" w:type="dxa"/>
          </w:tblCellMar>
        </w:tblPrEx>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2"/>
              <w:jc w:val="right"/>
              <w:rPr>
                <w:sz w:val="22"/>
              </w:rPr>
            </w:pPr>
            <w:r>
              <w:rPr>
                <w:b/>
                <w:sz w:val="22"/>
                <w:lang w:bidi="ar"/>
              </w:rPr>
              <w:t>521,520</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2"/>
              <w:jc w:val="right"/>
              <w:rPr>
                <w:sz w:val="22"/>
                <w:lang w:bidi="ar"/>
              </w:rPr>
            </w:pPr>
            <w:r>
              <w:rPr>
                <w:b/>
                <w:sz w:val="22"/>
                <w:lang w:bidi="ar"/>
              </w:rPr>
              <w:t>521,520</w:t>
            </w:r>
          </w:p>
        </w:tc>
      </w:tr>
      <w:tr>
        <w:tblPrEx>
          <w:tblCellMar>
            <w:top w:w="0" w:type="dxa"/>
            <w:left w:w="0" w:type="dxa"/>
            <w:bottom w:w="0" w:type="dxa"/>
            <w:right w:w="0" w:type="dxa"/>
          </w:tblCellMar>
        </w:tblPrEx>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一、本级收入</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217,914</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一、本级支出</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r>
              <w:rPr>
                <w:sz w:val="22"/>
                <w:lang w:bidi="ar"/>
              </w:rPr>
              <w:t>469,049</w:t>
            </w:r>
          </w:p>
        </w:tc>
      </w:tr>
      <w:tr>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税收收入</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128,738</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380"/>
              <w:rPr>
                <w:sz w:val="19"/>
                <w:szCs w:val="19"/>
              </w:rPr>
            </w:pP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p>
        </w:tc>
      </w:tr>
      <w:tr>
        <w:tblPrEx>
          <w:tblCellMar>
            <w:top w:w="0" w:type="dxa"/>
            <w:left w:w="0" w:type="dxa"/>
            <w:bottom w:w="0" w:type="dxa"/>
            <w:right w:w="0" w:type="dxa"/>
          </w:tblCellMar>
        </w:tblPrEx>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非税收入</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89,176 </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380"/>
              <w:rPr>
                <w:sz w:val="19"/>
                <w:szCs w:val="19"/>
              </w:rPr>
            </w:pP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r>
              <w:rPr>
                <w:sz w:val="22"/>
                <w:lang w:bidi="ar"/>
              </w:rPr>
              <w:t> </w:t>
            </w:r>
          </w:p>
        </w:tc>
      </w:tr>
      <w:tr>
        <w:tblPrEx>
          <w:tblCellMar>
            <w:top w:w="0" w:type="dxa"/>
            <w:left w:w="0" w:type="dxa"/>
            <w:bottom w:w="0" w:type="dxa"/>
            <w:right w:w="0" w:type="dxa"/>
          </w:tblCellMar>
        </w:tblPrEx>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二、转移性收入</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303,606</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二、转移性支出</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r>
              <w:rPr>
                <w:sz w:val="22"/>
                <w:lang w:bidi="ar"/>
              </w:rPr>
              <w:t>52,471 </w:t>
            </w:r>
          </w:p>
        </w:tc>
      </w:tr>
      <w:tr>
        <w:tblPrEx>
          <w:tblCellMar>
            <w:top w:w="0" w:type="dxa"/>
            <w:left w:w="0" w:type="dxa"/>
            <w:bottom w:w="0" w:type="dxa"/>
            <w:right w:w="0" w:type="dxa"/>
          </w:tblCellMar>
        </w:tblPrEx>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上级补助收入</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70,069 </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上解上级支出</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r>
              <w:rPr>
                <w:sz w:val="22"/>
                <w:lang w:bidi="ar"/>
              </w:rPr>
              <w:t>24,171 </w:t>
            </w:r>
          </w:p>
        </w:tc>
      </w:tr>
      <w:tr>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调入资金</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161,077</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调出资金</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p>
        </w:tc>
      </w:tr>
      <w:tr>
        <w:tblPrEx>
          <w:tblCellMar>
            <w:top w:w="0" w:type="dxa"/>
            <w:left w:w="0" w:type="dxa"/>
            <w:bottom w:w="0" w:type="dxa"/>
            <w:right w:w="0" w:type="dxa"/>
          </w:tblCellMar>
        </w:tblPrEx>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债务转贷收入</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 </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债务还本支出</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r>
              <w:rPr>
                <w:sz w:val="22"/>
                <w:lang w:bidi="ar"/>
              </w:rPr>
              <w:t>28</w:t>
            </w:r>
            <w:r>
              <w:rPr>
                <w:rFonts w:hint="eastAsia"/>
                <w:sz w:val="22"/>
                <w:lang w:bidi="ar"/>
              </w:rPr>
              <w:t>,</w:t>
            </w:r>
            <w:r>
              <w:rPr>
                <w:sz w:val="22"/>
                <w:lang w:bidi="ar"/>
              </w:rPr>
              <w:t>300 </w:t>
            </w:r>
          </w:p>
        </w:tc>
      </w:tr>
      <w:tr>
        <w:tblPrEx>
          <w:tblCellMar>
            <w:top w:w="0" w:type="dxa"/>
            <w:left w:w="0" w:type="dxa"/>
            <w:bottom w:w="0" w:type="dxa"/>
            <w:right w:w="0" w:type="dxa"/>
          </w:tblCellMar>
        </w:tblPrEx>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动用预算稳定调节基金</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39,088</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安排预算稳定调节基金</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p>
        </w:tc>
      </w:tr>
      <w:tr>
        <w:tblPrEx>
          <w:tblCellMar>
            <w:top w:w="0" w:type="dxa"/>
            <w:left w:w="0" w:type="dxa"/>
            <w:bottom w:w="0" w:type="dxa"/>
            <w:right w:w="0" w:type="dxa"/>
          </w:tblCellMar>
        </w:tblPrEx>
        <w:trPr>
          <w:trHeight w:val="425" w:hRule="exact"/>
          <w:jc w:val="center"/>
        </w:trPr>
        <w:tc>
          <w:tcPr>
            <w:tcW w:w="2867"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上年结转</w:t>
            </w:r>
          </w:p>
        </w:tc>
        <w:tc>
          <w:tcPr>
            <w:tcW w:w="1638"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33,372</w:t>
            </w:r>
          </w:p>
        </w:tc>
        <w:tc>
          <w:tcPr>
            <w:tcW w:w="2971"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结转下年</w:t>
            </w:r>
          </w:p>
        </w:tc>
        <w:tc>
          <w:tcPr>
            <w:tcW w:w="1663"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lang w:bidi="ar"/>
              </w:rPr>
            </w:pPr>
            <w:r>
              <w:rPr>
                <w:sz w:val="22"/>
                <w:lang w:bidi="ar"/>
              </w:rPr>
              <w:t> </w:t>
            </w:r>
          </w:p>
        </w:tc>
      </w:tr>
    </w:tbl>
    <w:p>
      <w:pPr>
        <w:spacing w:after="0"/>
        <w:ind w:firstLine="643"/>
        <w:rPr>
          <w:rFonts w:cs="Times New Roman"/>
          <w:b/>
          <w:bCs/>
          <w:szCs w:val="32"/>
        </w:rPr>
      </w:pPr>
      <w:r>
        <w:rPr>
          <w:rFonts w:cs="Times New Roman"/>
          <w:b/>
          <w:bCs/>
          <w:szCs w:val="32"/>
        </w:rPr>
        <w:t>2.政府性基金预算</w:t>
      </w:r>
      <w:r>
        <w:rPr>
          <w:rFonts w:hint="eastAsia" w:cs="Times New Roman"/>
          <w:b/>
          <w:bCs/>
          <w:szCs w:val="32"/>
        </w:rPr>
        <w:t>总体安排情况</w:t>
      </w:r>
    </w:p>
    <w:p>
      <w:pPr>
        <w:spacing w:after="0"/>
        <w:ind w:firstLine="643"/>
        <w:rPr>
          <w:rFonts w:cs="Times New Roman"/>
          <w:szCs w:val="32"/>
        </w:rPr>
      </w:pPr>
      <w:r>
        <w:rPr>
          <w:rFonts w:hint="eastAsia" w:cs="Times New Roman"/>
          <w:b/>
          <w:bCs/>
          <w:szCs w:val="32"/>
        </w:rPr>
        <w:t>（</w:t>
      </w:r>
      <w:r>
        <w:rPr>
          <w:rFonts w:cs="Times New Roman"/>
          <w:b/>
          <w:bCs/>
          <w:szCs w:val="32"/>
        </w:rPr>
        <w:t>1</w:t>
      </w:r>
      <w:r>
        <w:rPr>
          <w:rFonts w:hint="eastAsia" w:cs="Times New Roman"/>
          <w:b/>
          <w:bCs/>
          <w:szCs w:val="32"/>
        </w:rPr>
        <w:t>）收入预算。</w:t>
      </w:r>
      <w:r>
        <w:rPr>
          <w:rFonts w:ascii="方正仿宋_GBK" w:hAnsi="方正仿宋_GBK" w:cs="方正仿宋_GBK"/>
          <w:szCs w:val="32"/>
          <w:lang w:bidi="ar"/>
        </w:rPr>
        <w:t>收入总计</w:t>
      </w:r>
      <w:r>
        <w:rPr>
          <w:rFonts w:cs="Times New Roman"/>
          <w:szCs w:val="32"/>
          <w:lang w:bidi="ar"/>
        </w:rPr>
        <w:t>525,155</w:t>
      </w:r>
      <w:r>
        <w:rPr>
          <w:rFonts w:ascii="方正仿宋_GBK" w:hAnsi="方正仿宋_GBK" w:cs="方正仿宋_GBK"/>
          <w:szCs w:val="32"/>
          <w:lang w:bidi="ar"/>
        </w:rPr>
        <w:t>万元，具体组成：上级补助收入</w:t>
      </w:r>
      <w:r>
        <w:rPr>
          <w:rFonts w:cs="Times New Roman"/>
          <w:szCs w:val="32"/>
          <w:lang w:bidi="ar"/>
        </w:rPr>
        <w:t>503,773</w:t>
      </w:r>
      <w:r>
        <w:rPr>
          <w:rFonts w:ascii="方正仿宋_GBK" w:hAnsi="方正仿宋_GBK" w:cs="方正仿宋_GBK"/>
          <w:szCs w:val="32"/>
          <w:lang w:bidi="ar"/>
        </w:rPr>
        <w:t>万元，上年结转</w:t>
      </w:r>
      <w:r>
        <w:rPr>
          <w:rFonts w:cs="Times New Roman"/>
          <w:szCs w:val="32"/>
          <w:lang w:bidi="ar"/>
        </w:rPr>
        <w:t>21,382</w:t>
      </w:r>
      <w:r>
        <w:rPr>
          <w:rFonts w:ascii="方正仿宋_GBK" w:hAnsi="方正仿宋_GBK" w:cs="方正仿宋_GBK"/>
          <w:szCs w:val="32"/>
          <w:lang w:bidi="ar"/>
        </w:rPr>
        <w:t>万元。</w:t>
      </w:r>
    </w:p>
    <w:p>
      <w:pPr>
        <w:spacing w:after="0"/>
        <w:ind w:firstLine="643"/>
        <w:rPr>
          <w:rFonts w:ascii="方正仿宋_GBK" w:hAnsi="方正仿宋_GBK" w:cs="方正仿宋_GBK"/>
          <w:szCs w:val="32"/>
          <w:lang w:bidi="ar"/>
        </w:rPr>
      </w:pPr>
      <w:r>
        <w:rPr>
          <w:rFonts w:hint="eastAsia" w:cs="Times New Roman"/>
          <w:b/>
          <w:bCs/>
          <w:szCs w:val="32"/>
        </w:rPr>
        <w:t>（</w:t>
      </w:r>
      <w:r>
        <w:rPr>
          <w:rFonts w:cs="Times New Roman"/>
          <w:b/>
          <w:bCs/>
          <w:szCs w:val="32"/>
        </w:rPr>
        <w:t>2</w:t>
      </w:r>
      <w:r>
        <w:rPr>
          <w:rFonts w:hint="eastAsia" w:cs="Times New Roman"/>
          <w:b/>
          <w:bCs/>
          <w:szCs w:val="32"/>
        </w:rPr>
        <w:t>）支出预算。</w:t>
      </w:r>
      <w:r>
        <w:rPr>
          <w:rFonts w:ascii="方正仿宋_GBK" w:hAnsi="方正仿宋_GBK" w:cs="方正仿宋_GBK"/>
          <w:szCs w:val="32"/>
          <w:lang w:bidi="ar"/>
        </w:rPr>
        <w:t>支出总计</w:t>
      </w:r>
      <w:r>
        <w:rPr>
          <w:rFonts w:cs="Times New Roman"/>
          <w:szCs w:val="32"/>
          <w:lang w:bidi="ar"/>
        </w:rPr>
        <w:t>525,155</w:t>
      </w:r>
      <w:r>
        <w:rPr>
          <w:rFonts w:ascii="方正仿宋_GBK" w:hAnsi="方正仿宋_GBK" w:cs="方正仿宋_GBK"/>
          <w:szCs w:val="32"/>
          <w:lang w:bidi="ar"/>
        </w:rPr>
        <w:t>万元，具体组成：本级支出安排</w:t>
      </w:r>
      <w:r>
        <w:rPr>
          <w:rFonts w:cs="Times New Roman"/>
          <w:szCs w:val="32"/>
          <w:lang w:bidi="ar"/>
        </w:rPr>
        <w:t>379,078</w:t>
      </w:r>
      <w:r>
        <w:rPr>
          <w:rFonts w:ascii="方正仿宋_GBK" w:hAnsi="方正仿宋_GBK" w:cs="方正仿宋_GBK"/>
          <w:szCs w:val="32"/>
          <w:lang w:bidi="ar"/>
        </w:rPr>
        <w:t>万元，调出资金</w:t>
      </w:r>
      <w:r>
        <w:rPr>
          <w:rFonts w:cs="Times New Roman"/>
          <w:szCs w:val="32"/>
          <w:lang w:bidi="ar"/>
        </w:rPr>
        <w:t>146,077</w:t>
      </w:r>
      <w:r>
        <w:rPr>
          <w:rFonts w:ascii="方正仿宋_GBK" w:hAnsi="方正仿宋_GBK" w:cs="方正仿宋_GBK"/>
          <w:szCs w:val="32"/>
          <w:lang w:bidi="ar"/>
        </w:rPr>
        <w:t>万元。</w:t>
      </w:r>
    </w:p>
    <w:p>
      <w:pPr>
        <w:pStyle w:val="7"/>
        <w:spacing w:after="0"/>
        <w:ind w:firstLine="640"/>
        <w:jc w:val="center"/>
        <w:rPr>
          <w:rFonts w:eastAsia="方正黑体_GBK"/>
        </w:rPr>
      </w:pPr>
    </w:p>
    <w:p>
      <w:pPr>
        <w:pStyle w:val="7"/>
        <w:spacing w:after="0"/>
        <w:ind w:firstLine="640"/>
        <w:jc w:val="center"/>
        <w:rPr>
          <w:rFonts w:eastAsia="方正黑体_GBK"/>
        </w:rPr>
      </w:pPr>
    </w:p>
    <w:p>
      <w:pPr>
        <w:pStyle w:val="7"/>
        <w:spacing w:after="0"/>
        <w:ind w:firstLine="640"/>
        <w:jc w:val="center"/>
        <w:rPr>
          <w:rFonts w:eastAsia="方正黑体_GBK" w:cs="方正黑体_GBK"/>
        </w:rPr>
      </w:pPr>
      <w:r>
        <w:rPr>
          <w:rFonts w:eastAsia="方正黑体_GBK"/>
        </w:rPr>
        <w:t>2025</w:t>
      </w:r>
      <w:r>
        <w:rPr>
          <w:rFonts w:hint="eastAsia" w:eastAsia="方正黑体_GBK" w:cs="方正黑体_GBK"/>
        </w:rPr>
        <w:t>年全区政府性基金预算收支平衡表</w:t>
      </w:r>
    </w:p>
    <w:p>
      <w:pPr>
        <w:pStyle w:val="7"/>
        <w:spacing w:after="0" w:line="400" w:lineRule="exact"/>
        <w:ind w:firstLine="420"/>
        <w:jc w:val="right"/>
        <w:rPr>
          <w:rFonts w:eastAsiaTheme="minorEastAsia" w:cstheme="minorEastAsia"/>
          <w:sz w:val="21"/>
          <w:szCs w:val="21"/>
        </w:rPr>
      </w:pPr>
      <w:r>
        <w:rPr>
          <w:rFonts w:hint="eastAsia" w:eastAsiaTheme="minorEastAsia" w:cstheme="minorEastAsia"/>
          <w:sz w:val="21"/>
          <w:szCs w:val="21"/>
        </w:rPr>
        <w:t>单位：万元</w:t>
      </w:r>
    </w:p>
    <w:tbl>
      <w:tblPr>
        <w:tblStyle w:val="15"/>
        <w:tblW w:w="9125" w:type="dxa"/>
        <w:jc w:val="center"/>
        <w:tblLayout w:type="fixed"/>
        <w:tblCellMar>
          <w:top w:w="0" w:type="dxa"/>
          <w:left w:w="0" w:type="dxa"/>
          <w:bottom w:w="0" w:type="dxa"/>
          <w:right w:w="0" w:type="dxa"/>
        </w:tblCellMar>
      </w:tblPr>
      <w:tblGrid>
        <w:gridCol w:w="2999"/>
        <w:gridCol w:w="1435"/>
        <w:gridCol w:w="3032"/>
        <w:gridCol w:w="1659"/>
      </w:tblGrid>
      <w:tr>
        <w:tblPrEx>
          <w:tblCellMar>
            <w:top w:w="0" w:type="dxa"/>
            <w:left w:w="0" w:type="dxa"/>
            <w:bottom w:w="0" w:type="dxa"/>
            <w:right w:w="0" w:type="dxa"/>
          </w:tblCellMar>
        </w:tblPrEx>
        <w:trPr>
          <w:trHeight w:val="434" w:hRule="exact"/>
          <w:tblHeader/>
          <w:jc w:val="center"/>
        </w:trPr>
        <w:tc>
          <w:tcPr>
            <w:tcW w:w="2999"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收    入</w:t>
            </w:r>
          </w:p>
        </w:tc>
        <w:tc>
          <w:tcPr>
            <w:tcW w:w="143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预算数</w:t>
            </w: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支    出</w:t>
            </w:r>
          </w:p>
        </w:tc>
        <w:tc>
          <w:tcPr>
            <w:tcW w:w="1659"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预算数</w:t>
            </w:r>
          </w:p>
        </w:tc>
      </w:tr>
      <w:tr>
        <w:trPr>
          <w:trHeight w:val="434" w:hRule="exact"/>
          <w:jc w:val="center"/>
        </w:trPr>
        <w:tc>
          <w:tcPr>
            <w:tcW w:w="2999"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43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2"/>
              <w:jc w:val="right"/>
              <w:rPr>
                <w:sz w:val="22"/>
              </w:rPr>
            </w:pPr>
            <w:r>
              <w:rPr>
                <w:b/>
                <w:sz w:val="22"/>
                <w:lang w:bidi="ar"/>
              </w:rPr>
              <w:t>525,155</w:t>
            </w: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659"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widowControl/>
              <w:spacing w:line="400" w:lineRule="exact"/>
              <w:ind w:firstLine="440" w:firstLineChars="0"/>
              <w:jc w:val="right"/>
              <w:rPr>
                <w:sz w:val="22"/>
              </w:rPr>
            </w:pPr>
            <w:r>
              <w:rPr>
                <w:b/>
                <w:sz w:val="22"/>
                <w:lang w:bidi="ar"/>
              </w:rPr>
              <w:t>525,155</w:t>
            </w:r>
          </w:p>
        </w:tc>
      </w:tr>
      <w:tr>
        <w:tblPrEx>
          <w:tblCellMar>
            <w:top w:w="0" w:type="dxa"/>
            <w:left w:w="0" w:type="dxa"/>
            <w:bottom w:w="0" w:type="dxa"/>
            <w:right w:w="0" w:type="dxa"/>
          </w:tblCellMar>
        </w:tblPrEx>
        <w:trPr>
          <w:trHeight w:val="434" w:hRule="exact"/>
          <w:jc w:val="center"/>
        </w:trPr>
        <w:tc>
          <w:tcPr>
            <w:tcW w:w="2999"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一、本级收入</w:t>
            </w:r>
          </w:p>
        </w:tc>
        <w:tc>
          <w:tcPr>
            <w:tcW w:w="143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一、本级支出</w:t>
            </w:r>
          </w:p>
        </w:tc>
        <w:tc>
          <w:tcPr>
            <w:tcW w:w="1659"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widowControl/>
              <w:spacing w:line="400" w:lineRule="exact"/>
              <w:ind w:firstLine="440" w:firstLineChars="0"/>
              <w:jc w:val="right"/>
              <w:rPr>
                <w:sz w:val="22"/>
              </w:rPr>
            </w:pPr>
            <w:r>
              <w:rPr>
                <w:sz w:val="22"/>
                <w:lang w:bidi="ar"/>
              </w:rPr>
              <w:t>379,078</w:t>
            </w:r>
          </w:p>
        </w:tc>
      </w:tr>
      <w:tr>
        <w:trPr>
          <w:trHeight w:val="434" w:hRule="exact"/>
          <w:jc w:val="center"/>
        </w:trPr>
        <w:tc>
          <w:tcPr>
            <w:tcW w:w="2999"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二、转移性收入</w:t>
            </w:r>
          </w:p>
        </w:tc>
        <w:tc>
          <w:tcPr>
            <w:tcW w:w="143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525,155</w:t>
            </w: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二、转移性支出</w:t>
            </w:r>
          </w:p>
        </w:tc>
        <w:tc>
          <w:tcPr>
            <w:tcW w:w="1659"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widowControl/>
              <w:spacing w:line="400" w:lineRule="exact"/>
              <w:ind w:firstLine="440" w:firstLineChars="0"/>
              <w:jc w:val="right"/>
              <w:rPr>
                <w:sz w:val="22"/>
              </w:rPr>
            </w:pPr>
            <w:r>
              <w:rPr>
                <w:sz w:val="22"/>
                <w:lang w:bidi="ar"/>
              </w:rPr>
              <w:t>146,077</w:t>
            </w:r>
          </w:p>
        </w:tc>
      </w:tr>
      <w:tr>
        <w:tblPrEx>
          <w:tblCellMar>
            <w:top w:w="0" w:type="dxa"/>
            <w:left w:w="0" w:type="dxa"/>
            <w:bottom w:w="0" w:type="dxa"/>
            <w:right w:w="0" w:type="dxa"/>
          </w:tblCellMar>
        </w:tblPrEx>
        <w:trPr>
          <w:trHeight w:val="434" w:hRule="exact"/>
          <w:jc w:val="center"/>
        </w:trPr>
        <w:tc>
          <w:tcPr>
            <w:tcW w:w="2999"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上级补助收入</w:t>
            </w:r>
          </w:p>
        </w:tc>
        <w:tc>
          <w:tcPr>
            <w:tcW w:w="143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503,773</w:t>
            </w: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上解上级支出</w:t>
            </w:r>
          </w:p>
        </w:tc>
        <w:tc>
          <w:tcPr>
            <w:tcW w:w="1659"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widowControl/>
              <w:spacing w:line="400" w:lineRule="exact"/>
              <w:ind w:firstLine="440" w:firstLineChars="0"/>
              <w:jc w:val="right"/>
              <w:rPr>
                <w:sz w:val="22"/>
              </w:rPr>
            </w:pPr>
          </w:p>
        </w:tc>
      </w:tr>
      <w:tr>
        <w:trPr>
          <w:trHeight w:val="434" w:hRule="exact"/>
          <w:jc w:val="center"/>
        </w:trPr>
        <w:tc>
          <w:tcPr>
            <w:tcW w:w="2999"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债务转贷收入</w:t>
            </w:r>
          </w:p>
        </w:tc>
        <w:tc>
          <w:tcPr>
            <w:tcW w:w="143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债务还本支出</w:t>
            </w:r>
          </w:p>
        </w:tc>
        <w:tc>
          <w:tcPr>
            <w:tcW w:w="1659"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widowControl/>
              <w:spacing w:line="400" w:lineRule="exact"/>
              <w:ind w:firstLine="440" w:firstLineChars="0"/>
              <w:jc w:val="right"/>
              <w:rPr>
                <w:sz w:val="22"/>
              </w:rPr>
            </w:pPr>
          </w:p>
        </w:tc>
      </w:tr>
      <w:tr>
        <w:tblPrEx>
          <w:tblCellMar>
            <w:top w:w="0" w:type="dxa"/>
            <w:left w:w="0" w:type="dxa"/>
            <w:bottom w:w="0" w:type="dxa"/>
            <w:right w:w="0" w:type="dxa"/>
          </w:tblCellMar>
        </w:tblPrEx>
        <w:trPr>
          <w:trHeight w:val="434" w:hRule="exact"/>
          <w:jc w:val="center"/>
        </w:trPr>
        <w:tc>
          <w:tcPr>
            <w:tcW w:w="2999"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调入资金</w:t>
            </w:r>
          </w:p>
        </w:tc>
        <w:tc>
          <w:tcPr>
            <w:tcW w:w="143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调出资金</w:t>
            </w:r>
          </w:p>
        </w:tc>
        <w:tc>
          <w:tcPr>
            <w:tcW w:w="1659"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widowControl/>
              <w:spacing w:line="400" w:lineRule="exact"/>
              <w:ind w:firstLine="440" w:firstLineChars="0"/>
              <w:jc w:val="right"/>
              <w:rPr>
                <w:sz w:val="22"/>
              </w:rPr>
            </w:pPr>
            <w:r>
              <w:rPr>
                <w:sz w:val="22"/>
                <w:lang w:bidi="ar"/>
              </w:rPr>
              <w:t>146,077</w:t>
            </w:r>
          </w:p>
        </w:tc>
      </w:tr>
      <w:tr>
        <w:trPr>
          <w:trHeight w:val="434" w:hRule="exact"/>
          <w:jc w:val="center"/>
        </w:trPr>
        <w:tc>
          <w:tcPr>
            <w:tcW w:w="2999"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上年结转</w:t>
            </w:r>
          </w:p>
        </w:tc>
        <w:tc>
          <w:tcPr>
            <w:tcW w:w="1435"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21,382</w:t>
            </w: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结转下年</w:t>
            </w:r>
          </w:p>
        </w:tc>
        <w:tc>
          <w:tcPr>
            <w:tcW w:w="1659"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widowControl/>
              <w:spacing w:line="400" w:lineRule="exact"/>
              <w:ind w:firstLine="440" w:firstLineChars="0"/>
              <w:jc w:val="right"/>
              <w:rPr>
                <w:sz w:val="22"/>
              </w:rPr>
            </w:pPr>
          </w:p>
        </w:tc>
      </w:tr>
    </w:tbl>
    <w:p>
      <w:pPr>
        <w:spacing w:after="0"/>
        <w:ind w:firstLine="643"/>
        <w:rPr>
          <w:rFonts w:cs="Times New Roman"/>
          <w:b/>
          <w:bCs/>
          <w:szCs w:val="32"/>
        </w:rPr>
      </w:pPr>
      <w:r>
        <w:rPr>
          <w:rFonts w:cs="Times New Roman"/>
          <w:b/>
          <w:bCs/>
          <w:szCs w:val="32"/>
        </w:rPr>
        <w:t>3.国有资本经营预算</w:t>
      </w:r>
      <w:r>
        <w:rPr>
          <w:rFonts w:hint="eastAsia" w:cs="Times New Roman"/>
          <w:b/>
          <w:bCs/>
          <w:szCs w:val="32"/>
        </w:rPr>
        <w:t>安排情况</w:t>
      </w:r>
    </w:p>
    <w:p>
      <w:pPr>
        <w:spacing w:after="0"/>
        <w:ind w:firstLine="643"/>
        <w:rPr>
          <w:rFonts w:cs="Times New Roman"/>
          <w:szCs w:val="32"/>
        </w:rPr>
      </w:pPr>
      <w:r>
        <w:rPr>
          <w:rFonts w:hint="eastAsia" w:cs="Times New Roman"/>
          <w:b/>
          <w:bCs/>
          <w:szCs w:val="32"/>
        </w:rPr>
        <w:t>（</w:t>
      </w:r>
      <w:r>
        <w:rPr>
          <w:rFonts w:cs="Times New Roman"/>
          <w:b/>
          <w:bCs/>
          <w:szCs w:val="32"/>
        </w:rPr>
        <w:t>1</w:t>
      </w:r>
      <w:r>
        <w:rPr>
          <w:rFonts w:hint="eastAsia" w:cs="Times New Roman"/>
          <w:b/>
          <w:bCs/>
          <w:szCs w:val="32"/>
        </w:rPr>
        <w:t>）</w:t>
      </w:r>
      <w:r>
        <w:rPr>
          <w:rFonts w:cs="Times New Roman"/>
          <w:b/>
          <w:bCs/>
          <w:szCs w:val="32"/>
        </w:rPr>
        <w:t>收入</w:t>
      </w:r>
      <w:r>
        <w:rPr>
          <w:rFonts w:hint="eastAsia" w:cs="Times New Roman"/>
          <w:b/>
          <w:bCs/>
          <w:szCs w:val="32"/>
        </w:rPr>
        <w:t>预算</w:t>
      </w:r>
      <w:r>
        <w:rPr>
          <w:rFonts w:cs="Times New Roman"/>
          <w:b/>
          <w:bCs/>
          <w:szCs w:val="32"/>
        </w:rPr>
        <w:t>。</w:t>
      </w:r>
      <w:r>
        <w:rPr>
          <w:rFonts w:cs="Times New Roman"/>
          <w:szCs w:val="32"/>
        </w:rPr>
        <w:t>收入总计30</w:t>
      </w:r>
      <w:r>
        <w:rPr>
          <w:rFonts w:hint="eastAsia" w:cs="Times New Roman"/>
          <w:szCs w:val="32"/>
        </w:rPr>
        <w:t>,</w:t>
      </w:r>
      <w:r>
        <w:rPr>
          <w:rFonts w:cs="Times New Roman"/>
          <w:szCs w:val="32"/>
        </w:rPr>
        <w:t>461万元，具体组成：本级收入30</w:t>
      </w:r>
      <w:r>
        <w:rPr>
          <w:rFonts w:hint="eastAsia" w:cs="Times New Roman"/>
          <w:szCs w:val="32"/>
        </w:rPr>
        <w:t>,</w:t>
      </w:r>
      <w:r>
        <w:rPr>
          <w:rFonts w:cs="Times New Roman"/>
          <w:szCs w:val="32"/>
        </w:rPr>
        <w:t>000万元；上级补助收入230万元</w:t>
      </w:r>
      <w:r>
        <w:rPr>
          <w:rFonts w:hint="eastAsia" w:cs="Times New Roman"/>
          <w:szCs w:val="32"/>
        </w:rPr>
        <w:t>；上年结转</w:t>
      </w:r>
      <w:r>
        <w:rPr>
          <w:rFonts w:cs="Times New Roman"/>
          <w:szCs w:val="32"/>
        </w:rPr>
        <w:t>231</w:t>
      </w:r>
      <w:r>
        <w:rPr>
          <w:rFonts w:hint="eastAsia" w:cs="Times New Roman"/>
          <w:szCs w:val="32"/>
        </w:rPr>
        <w:t>万元</w:t>
      </w:r>
      <w:r>
        <w:rPr>
          <w:rFonts w:cs="Times New Roman"/>
          <w:szCs w:val="32"/>
        </w:rPr>
        <w:t>。</w:t>
      </w:r>
    </w:p>
    <w:p>
      <w:pPr>
        <w:spacing w:after="0"/>
        <w:ind w:firstLine="643"/>
        <w:rPr>
          <w:rFonts w:cs="Times New Roman"/>
          <w:szCs w:val="32"/>
        </w:rPr>
      </w:pPr>
      <w:r>
        <w:rPr>
          <w:rFonts w:hint="eastAsia" w:cs="Times New Roman"/>
          <w:b/>
          <w:bCs/>
          <w:szCs w:val="32"/>
        </w:rPr>
        <w:t>（</w:t>
      </w:r>
      <w:r>
        <w:rPr>
          <w:rFonts w:cs="Times New Roman"/>
          <w:b/>
          <w:bCs/>
          <w:szCs w:val="32"/>
        </w:rPr>
        <w:t>2</w:t>
      </w:r>
      <w:r>
        <w:rPr>
          <w:rFonts w:hint="eastAsia" w:cs="Times New Roman"/>
          <w:b/>
          <w:bCs/>
          <w:szCs w:val="32"/>
        </w:rPr>
        <w:t>）</w:t>
      </w:r>
      <w:r>
        <w:rPr>
          <w:rFonts w:cs="Times New Roman"/>
          <w:b/>
          <w:bCs/>
          <w:szCs w:val="32"/>
        </w:rPr>
        <w:t>支出</w:t>
      </w:r>
      <w:r>
        <w:rPr>
          <w:rFonts w:hint="eastAsia" w:cs="Times New Roman"/>
          <w:b/>
          <w:bCs/>
          <w:szCs w:val="32"/>
        </w:rPr>
        <w:t>预算</w:t>
      </w:r>
      <w:r>
        <w:rPr>
          <w:rFonts w:cs="Times New Roman"/>
          <w:b/>
          <w:bCs/>
          <w:szCs w:val="32"/>
        </w:rPr>
        <w:t>。</w:t>
      </w:r>
      <w:r>
        <w:rPr>
          <w:rFonts w:cs="Times New Roman"/>
          <w:szCs w:val="32"/>
        </w:rPr>
        <w:t>支出总计30</w:t>
      </w:r>
      <w:r>
        <w:rPr>
          <w:rFonts w:hint="eastAsia" w:cs="Times New Roman"/>
          <w:szCs w:val="32"/>
        </w:rPr>
        <w:t>,</w:t>
      </w:r>
      <w:r>
        <w:rPr>
          <w:rFonts w:cs="Times New Roman"/>
          <w:szCs w:val="32"/>
        </w:rPr>
        <w:t>461万元，具体组成：本级支出15</w:t>
      </w:r>
      <w:r>
        <w:rPr>
          <w:rFonts w:hint="eastAsia" w:cs="Times New Roman"/>
          <w:szCs w:val="32"/>
        </w:rPr>
        <w:t>,</w:t>
      </w:r>
      <w:r>
        <w:rPr>
          <w:rFonts w:cs="Times New Roman"/>
          <w:szCs w:val="32"/>
        </w:rPr>
        <w:t>461万元</w:t>
      </w:r>
      <w:r>
        <w:rPr>
          <w:rFonts w:hint="eastAsia" w:cs="Times New Roman"/>
          <w:szCs w:val="32"/>
        </w:rPr>
        <w:t>，</w:t>
      </w:r>
      <w:r>
        <w:rPr>
          <w:rFonts w:cs="Times New Roman"/>
          <w:szCs w:val="32"/>
        </w:rPr>
        <w:t>调出资金15</w:t>
      </w:r>
      <w:r>
        <w:rPr>
          <w:rFonts w:hint="eastAsia" w:cs="Times New Roman"/>
          <w:szCs w:val="32"/>
        </w:rPr>
        <w:t>,</w:t>
      </w:r>
      <w:r>
        <w:rPr>
          <w:rFonts w:cs="Times New Roman"/>
          <w:szCs w:val="32"/>
        </w:rPr>
        <w:t>000</w:t>
      </w:r>
      <w:r>
        <w:rPr>
          <w:rFonts w:hint="eastAsia" w:cs="Times New Roman"/>
          <w:szCs w:val="32"/>
        </w:rPr>
        <w:t>万元。</w:t>
      </w:r>
    </w:p>
    <w:p>
      <w:pPr>
        <w:pStyle w:val="7"/>
        <w:spacing w:before="217" w:beforeLines="50"/>
        <w:ind w:firstLine="640"/>
        <w:jc w:val="center"/>
        <w:rPr>
          <w:rFonts w:eastAsia="方正黑体_GBK" w:cs="方正黑体_GBK"/>
        </w:rPr>
      </w:pPr>
      <w:r>
        <w:rPr>
          <w:rFonts w:eastAsia="方正黑体_GBK"/>
        </w:rPr>
        <w:t>2025</w:t>
      </w:r>
      <w:r>
        <w:rPr>
          <w:rFonts w:hint="eastAsia" w:eastAsia="方正黑体_GBK" w:cs="方正黑体_GBK"/>
        </w:rPr>
        <w:t>年全区国有资本经营预算收支平衡表</w:t>
      </w:r>
    </w:p>
    <w:p>
      <w:pPr>
        <w:pStyle w:val="7"/>
        <w:spacing w:after="0" w:line="400" w:lineRule="exact"/>
        <w:ind w:firstLine="420"/>
        <w:jc w:val="right"/>
        <w:rPr>
          <w:rFonts w:eastAsiaTheme="minorEastAsia" w:cstheme="minorEastAsia"/>
          <w:sz w:val="21"/>
          <w:szCs w:val="21"/>
        </w:rPr>
      </w:pPr>
      <w:r>
        <w:rPr>
          <w:rFonts w:hint="eastAsia" w:eastAsiaTheme="minorEastAsia" w:cstheme="minorEastAsia"/>
          <w:sz w:val="21"/>
          <w:szCs w:val="21"/>
        </w:rPr>
        <w:t>单位：万元</w:t>
      </w:r>
    </w:p>
    <w:tbl>
      <w:tblPr>
        <w:tblStyle w:val="15"/>
        <w:tblW w:w="8952" w:type="dxa"/>
        <w:jc w:val="center"/>
        <w:tblLayout w:type="fixed"/>
        <w:tblCellMar>
          <w:top w:w="0" w:type="dxa"/>
          <w:left w:w="0" w:type="dxa"/>
          <w:bottom w:w="0" w:type="dxa"/>
          <w:right w:w="0" w:type="dxa"/>
        </w:tblCellMar>
      </w:tblPr>
      <w:tblGrid>
        <w:gridCol w:w="3022"/>
        <w:gridCol w:w="1446"/>
        <w:gridCol w:w="3056"/>
        <w:gridCol w:w="1428"/>
      </w:tblGrid>
      <w:tr>
        <w:tblPrEx>
          <w:tblCellMar>
            <w:top w:w="0" w:type="dxa"/>
            <w:left w:w="0" w:type="dxa"/>
            <w:bottom w:w="0" w:type="dxa"/>
            <w:right w:w="0" w:type="dxa"/>
          </w:tblCellMar>
        </w:tblPrEx>
        <w:trPr>
          <w:trHeight w:val="417" w:hRule="exact"/>
          <w:tblHeader/>
          <w:jc w:val="center"/>
        </w:trPr>
        <w:tc>
          <w:tcPr>
            <w:tcW w:w="302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收    入</w:t>
            </w:r>
          </w:p>
        </w:tc>
        <w:tc>
          <w:tcPr>
            <w:tcW w:w="144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预算数</w:t>
            </w:r>
          </w:p>
        </w:tc>
        <w:tc>
          <w:tcPr>
            <w:tcW w:w="305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支    出</w:t>
            </w:r>
          </w:p>
        </w:tc>
        <w:tc>
          <w:tcPr>
            <w:tcW w:w="1428"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预算数</w:t>
            </w:r>
          </w:p>
        </w:tc>
      </w:tr>
      <w:tr>
        <w:tblPrEx>
          <w:tblCellMar>
            <w:top w:w="0" w:type="dxa"/>
            <w:left w:w="0" w:type="dxa"/>
            <w:bottom w:w="0" w:type="dxa"/>
            <w:right w:w="0" w:type="dxa"/>
          </w:tblCellMar>
        </w:tblPrEx>
        <w:trPr>
          <w:trHeight w:val="417" w:hRule="exact"/>
          <w:jc w:val="center"/>
        </w:trPr>
        <w:tc>
          <w:tcPr>
            <w:tcW w:w="302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0" w:firstLineChars="0"/>
              <w:jc w:val="center"/>
              <w:rPr>
                <w:sz w:val="19"/>
                <w:szCs w:val="19"/>
              </w:rPr>
            </w:pPr>
            <w:r>
              <w:rPr>
                <w:rStyle w:val="17"/>
                <w:rFonts w:hint="eastAsia" w:eastAsia="宋体" w:cs="宋体"/>
                <w:sz w:val="22"/>
              </w:rPr>
              <w:t>总    计</w:t>
            </w:r>
          </w:p>
        </w:tc>
        <w:tc>
          <w:tcPr>
            <w:tcW w:w="144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2"/>
              <w:jc w:val="right"/>
              <w:rPr>
                <w:b/>
                <w:bCs/>
                <w:sz w:val="22"/>
              </w:rPr>
            </w:pPr>
            <w:r>
              <w:rPr>
                <w:b/>
                <w:bCs/>
                <w:sz w:val="22"/>
                <w:lang w:bidi="ar"/>
              </w:rPr>
              <w:t>30,461</w:t>
            </w:r>
          </w:p>
        </w:tc>
        <w:tc>
          <w:tcPr>
            <w:tcW w:w="305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0" w:firstLineChars="0"/>
              <w:jc w:val="center"/>
              <w:rPr>
                <w:b/>
                <w:bCs/>
                <w:sz w:val="19"/>
                <w:szCs w:val="19"/>
              </w:rPr>
            </w:pPr>
            <w:r>
              <w:rPr>
                <w:rStyle w:val="17"/>
                <w:rFonts w:hint="eastAsia" w:eastAsia="宋体" w:cs="宋体"/>
                <w:bCs/>
                <w:sz w:val="22"/>
              </w:rPr>
              <w:t>总    计</w:t>
            </w:r>
          </w:p>
        </w:tc>
        <w:tc>
          <w:tcPr>
            <w:tcW w:w="1428"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2"/>
              <w:jc w:val="right"/>
              <w:rPr>
                <w:b/>
                <w:bCs/>
                <w:sz w:val="22"/>
              </w:rPr>
            </w:pPr>
            <w:r>
              <w:rPr>
                <w:b/>
                <w:bCs/>
                <w:sz w:val="22"/>
                <w:lang w:bidi="ar"/>
              </w:rPr>
              <w:t>30,461</w:t>
            </w:r>
          </w:p>
        </w:tc>
      </w:tr>
      <w:tr>
        <w:tblPrEx>
          <w:tblCellMar>
            <w:top w:w="0" w:type="dxa"/>
            <w:left w:w="0" w:type="dxa"/>
            <w:bottom w:w="0" w:type="dxa"/>
            <w:right w:w="0" w:type="dxa"/>
          </w:tblCellMar>
        </w:tblPrEx>
        <w:trPr>
          <w:trHeight w:val="417" w:hRule="exact"/>
          <w:jc w:val="center"/>
        </w:trPr>
        <w:tc>
          <w:tcPr>
            <w:tcW w:w="302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一、本级收入</w:t>
            </w:r>
          </w:p>
        </w:tc>
        <w:tc>
          <w:tcPr>
            <w:tcW w:w="144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30,000</w:t>
            </w:r>
          </w:p>
        </w:tc>
        <w:tc>
          <w:tcPr>
            <w:tcW w:w="305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一、本级支出</w:t>
            </w:r>
          </w:p>
        </w:tc>
        <w:tc>
          <w:tcPr>
            <w:tcW w:w="1428"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rPr>
            </w:pPr>
            <w:r>
              <w:rPr>
                <w:sz w:val="22"/>
                <w:lang w:bidi="ar"/>
              </w:rPr>
              <w:t>15,461</w:t>
            </w:r>
          </w:p>
        </w:tc>
      </w:tr>
      <w:tr>
        <w:trPr>
          <w:trHeight w:val="417" w:hRule="exact"/>
          <w:jc w:val="center"/>
        </w:trPr>
        <w:tc>
          <w:tcPr>
            <w:tcW w:w="302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二、转移性收入</w:t>
            </w:r>
          </w:p>
        </w:tc>
        <w:tc>
          <w:tcPr>
            <w:tcW w:w="144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461</w:t>
            </w:r>
          </w:p>
        </w:tc>
        <w:tc>
          <w:tcPr>
            <w:tcW w:w="305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220" w:firstLineChars="100"/>
              <w:rPr>
                <w:sz w:val="19"/>
                <w:szCs w:val="19"/>
              </w:rPr>
            </w:pPr>
            <w:r>
              <w:rPr>
                <w:rFonts w:hint="eastAsia" w:eastAsia="宋体" w:cs="宋体"/>
                <w:sz w:val="22"/>
              </w:rPr>
              <w:t>二、转移性支出</w:t>
            </w:r>
          </w:p>
        </w:tc>
        <w:tc>
          <w:tcPr>
            <w:tcW w:w="1428"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rPr>
            </w:pPr>
            <w:r>
              <w:rPr>
                <w:sz w:val="22"/>
                <w:lang w:bidi="ar"/>
              </w:rPr>
              <w:t>15,000</w:t>
            </w:r>
          </w:p>
        </w:tc>
      </w:tr>
      <w:tr>
        <w:tblPrEx>
          <w:tblCellMar>
            <w:top w:w="0" w:type="dxa"/>
            <w:left w:w="0" w:type="dxa"/>
            <w:bottom w:w="0" w:type="dxa"/>
            <w:right w:w="0" w:type="dxa"/>
          </w:tblCellMar>
        </w:tblPrEx>
        <w:trPr>
          <w:trHeight w:val="417" w:hRule="exact"/>
          <w:jc w:val="center"/>
        </w:trPr>
        <w:tc>
          <w:tcPr>
            <w:tcW w:w="302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上级补助收入</w:t>
            </w:r>
          </w:p>
        </w:tc>
        <w:tc>
          <w:tcPr>
            <w:tcW w:w="144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230</w:t>
            </w:r>
          </w:p>
        </w:tc>
        <w:tc>
          <w:tcPr>
            <w:tcW w:w="305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调出资金</w:t>
            </w:r>
          </w:p>
        </w:tc>
        <w:tc>
          <w:tcPr>
            <w:tcW w:w="1428"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rPr>
            </w:pPr>
            <w:r>
              <w:rPr>
                <w:sz w:val="22"/>
                <w:lang w:bidi="ar"/>
              </w:rPr>
              <w:t>15,000</w:t>
            </w:r>
          </w:p>
        </w:tc>
      </w:tr>
      <w:tr>
        <w:tblPrEx>
          <w:tblCellMar>
            <w:top w:w="0" w:type="dxa"/>
            <w:left w:w="0" w:type="dxa"/>
            <w:bottom w:w="0" w:type="dxa"/>
            <w:right w:w="0" w:type="dxa"/>
          </w:tblCellMar>
        </w:tblPrEx>
        <w:trPr>
          <w:trHeight w:val="417" w:hRule="exact"/>
          <w:jc w:val="center"/>
        </w:trPr>
        <w:tc>
          <w:tcPr>
            <w:tcW w:w="3022" w:type="dxa"/>
            <w:tcBorders>
              <w:top w:val="single" w:color="000000" w:sz="6" w:space="0"/>
              <w:left w:val="nil"/>
              <w:bottom w:val="single" w:color="000000" w:sz="6" w:space="0"/>
              <w:right w:val="single" w:color="000000" w:sz="6" w:space="0"/>
            </w:tcBorders>
            <w:shd w:val="clear" w:color="auto" w:fill="auto"/>
            <w:tcMar>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上年结转</w:t>
            </w:r>
          </w:p>
        </w:tc>
        <w:tc>
          <w:tcPr>
            <w:tcW w:w="144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line="400" w:lineRule="exact"/>
              <w:ind w:firstLine="440"/>
              <w:jc w:val="right"/>
              <w:rPr>
                <w:sz w:val="22"/>
              </w:rPr>
            </w:pPr>
            <w:r>
              <w:rPr>
                <w:sz w:val="22"/>
                <w:lang w:bidi="ar"/>
              </w:rPr>
              <w:t>231</w:t>
            </w:r>
          </w:p>
        </w:tc>
        <w:tc>
          <w:tcPr>
            <w:tcW w:w="3056" w:type="dxa"/>
            <w:tcBorders>
              <w:top w:val="single" w:color="000000" w:sz="6" w:space="0"/>
              <w:left w:val="single" w:color="000000" w:sz="6" w:space="0"/>
              <w:bottom w:val="single" w:color="000000" w:sz="6" w:space="0"/>
              <w:right w:val="single" w:color="000000" w:sz="6" w:space="0"/>
            </w:tcBorders>
            <w:shd w:val="clear" w:color="auto" w:fill="auto"/>
            <w:tcMar>
              <w:left w:w="115" w:type="dxa"/>
              <w:right w:w="115" w:type="dxa"/>
            </w:tcMar>
            <w:vAlign w:val="center"/>
          </w:tcPr>
          <w:p>
            <w:pPr>
              <w:pStyle w:val="13"/>
              <w:spacing w:beforeAutospacing="0" w:afterAutospacing="0" w:line="400" w:lineRule="exact"/>
              <w:ind w:firstLine="440"/>
              <w:rPr>
                <w:sz w:val="19"/>
                <w:szCs w:val="19"/>
              </w:rPr>
            </w:pPr>
            <w:r>
              <w:rPr>
                <w:rFonts w:hint="eastAsia" w:eastAsia="宋体" w:cs="宋体"/>
                <w:sz w:val="22"/>
              </w:rPr>
              <w:t>结转下年</w:t>
            </w:r>
          </w:p>
        </w:tc>
        <w:tc>
          <w:tcPr>
            <w:tcW w:w="1428" w:type="dxa"/>
            <w:tcBorders>
              <w:top w:val="single" w:color="000000" w:sz="6" w:space="0"/>
              <w:left w:val="single" w:color="000000" w:sz="6" w:space="0"/>
              <w:bottom w:val="single" w:color="000000" w:sz="6" w:space="0"/>
              <w:right w:val="nil"/>
            </w:tcBorders>
            <w:shd w:val="clear" w:color="auto" w:fill="auto"/>
            <w:tcMar>
              <w:left w:w="115" w:type="dxa"/>
            </w:tcMar>
            <w:vAlign w:val="center"/>
          </w:tcPr>
          <w:p>
            <w:pPr>
              <w:pStyle w:val="13"/>
              <w:spacing w:line="400" w:lineRule="exact"/>
              <w:ind w:firstLine="440"/>
              <w:jc w:val="right"/>
              <w:rPr>
                <w:sz w:val="22"/>
              </w:rPr>
            </w:pPr>
          </w:p>
        </w:tc>
      </w:tr>
    </w:tbl>
    <w:p>
      <w:pPr>
        <w:spacing w:after="0"/>
        <w:ind w:firstLine="640"/>
        <w:rPr>
          <w:rFonts w:ascii="方正黑体_GBK" w:hAnsi="方正黑体_GBK" w:eastAsia="方正黑体_GBK" w:cs="方正黑体_GBK"/>
          <w:szCs w:val="32"/>
        </w:rPr>
      </w:pPr>
      <w:r>
        <w:rPr>
          <w:rFonts w:hint="eastAsia" w:ascii="方正黑体_GBK" w:hAnsi="方正黑体_GBK" w:eastAsia="方正黑体_GBK" w:cs="方正黑体_GBK"/>
          <w:szCs w:val="32"/>
        </w:rPr>
        <w:t>四、</w:t>
      </w:r>
      <w:r>
        <w:rPr>
          <w:rFonts w:eastAsia="方正黑体_GBK" w:cs="Times New Roman"/>
          <w:szCs w:val="32"/>
        </w:rPr>
        <w:t>2025</w:t>
      </w:r>
      <w:r>
        <w:rPr>
          <w:rFonts w:hint="eastAsia" w:ascii="方正黑体_GBK" w:hAnsi="方正黑体_GBK" w:eastAsia="方正黑体_GBK" w:cs="方正黑体_GBK"/>
          <w:szCs w:val="32"/>
        </w:rPr>
        <w:t>年财政工作重点</w:t>
      </w:r>
    </w:p>
    <w:p>
      <w:pPr>
        <w:spacing w:after="0"/>
        <w:ind w:firstLine="640"/>
      </w:pPr>
      <w:r>
        <w:rPr>
          <w:rFonts w:cs="Times New Roman"/>
          <w:szCs w:val="32"/>
        </w:rPr>
        <w:t>2025</w:t>
      </w:r>
      <w:r>
        <w:rPr>
          <w:rFonts w:hint="eastAsia" w:cs="方正仿宋_GBK"/>
          <w:szCs w:val="32"/>
        </w:rPr>
        <w:t>年是</w:t>
      </w:r>
      <w:r>
        <w:rPr>
          <w:rFonts w:hint="eastAsia" w:ascii="方正仿宋_GBK" w:cs="方正仿宋_GBK"/>
          <w:szCs w:val="32"/>
        </w:rPr>
        <w:t>“</w:t>
      </w:r>
      <w:r>
        <w:rPr>
          <w:rFonts w:hint="eastAsia" w:cs="方正仿宋_GBK"/>
          <w:szCs w:val="32"/>
        </w:rPr>
        <w:t>十四五</w:t>
      </w:r>
      <w:r>
        <w:rPr>
          <w:rFonts w:hint="eastAsia" w:ascii="方正仿宋_GBK" w:cs="方正仿宋_GBK"/>
          <w:szCs w:val="32"/>
        </w:rPr>
        <w:t>”</w:t>
      </w:r>
      <w:r>
        <w:rPr>
          <w:rFonts w:hint="eastAsia" w:ascii="方正仿宋_GBK" w:cs="方正仿宋_GBK"/>
          <w:szCs w:val="32"/>
          <w:lang w:eastAsia="zh-CN"/>
        </w:rPr>
        <w:t>规划</w:t>
      </w:r>
      <w:r>
        <w:rPr>
          <w:rFonts w:hint="eastAsia" w:cs="方正仿宋_GBK"/>
          <w:szCs w:val="32"/>
        </w:rPr>
        <w:t>收官之年，是现代化新重庆建设纵深推进的重要之年，是大渡口建区</w:t>
      </w:r>
      <w:r>
        <w:rPr>
          <w:rFonts w:cs="Times New Roman"/>
          <w:szCs w:val="32"/>
        </w:rPr>
        <w:t>60</w:t>
      </w:r>
      <w:r>
        <w:rPr>
          <w:rFonts w:hint="eastAsia" w:cs="方正仿宋_GBK"/>
          <w:szCs w:val="32"/>
        </w:rPr>
        <w:t>周年。全区财政工作将</w:t>
      </w:r>
      <w:r>
        <w:rPr>
          <w:rFonts w:cs="Times New Roman"/>
          <w:szCs w:val="32"/>
        </w:rPr>
        <w:t>紧扣区委</w:t>
      </w:r>
      <w:r>
        <w:rPr>
          <w:rFonts w:hint="eastAsia" w:cs="Times New Roman"/>
          <w:szCs w:val="32"/>
        </w:rPr>
        <w:t>中心工作</w:t>
      </w:r>
      <w:r>
        <w:rPr>
          <w:rFonts w:cs="Times New Roman"/>
          <w:szCs w:val="32"/>
        </w:rPr>
        <w:t>，</w:t>
      </w:r>
      <w:r>
        <w:rPr>
          <w:rFonts w:hint="eastAsia" w:cs="方正仿宋_GBK"/>
          <w:szCs w:val="32"/>
        </w:rPr>
        <w:t>坚定</w:t>
      </w:r>
      <w:r>
        <w:rPr>
          <w:rFonts w:hint="eastAsia" w:ascii="方正仿宋_GBK" w:cs="方正仿宋_GBK"/>
          <w:szCs w:val="32"/>
        </w:rPr>
        <w:t>“</w:t>
      </w:r>
      <w:r>
        <w:rPr>
          <w:rFonts w:hint="eastAsia" w:cs="方正仿宋_GBK"/>
          <w:szCs w:val="32"/>
        </w:rPr>
        <w:t>大渡口、大格局、大作为</w:t>
      </w:r>
      <w:r>
        <w:rPr>
          <w:rFonts w:hint="eastAsia" w:ascii="方正仿宋_GBK" w:cs="方正仿宋_GBK"/>
          <w:szCs w:val="32"/>
        </w:rPr>
        <w:t>”</w:t>
      </w:r>
      <w:r>
        <w:rPr>
          <w:rFonts w:hint="eastAsia" w:cs="方正仿宋_GBK"/>
          <w:szCs w:val="32"/>
        </w:rPr>
        <w:t>的信心，发扬</w:t>
      </w:r>
      <w:r>
        <w:rPr>
          <w:rFonts w:hint="eastAsia" w:ascii="方正仿宋_GBK" w:cs="方正仿宋_GBK"/>
          <w:szCs w:val="32"/>
        </w:rPr>
        <w:t>“</w:t>
      </w:r>
      <w:r>
        <w:rPr>
          <w:rFonts w:hint="eastAsia" w:cs="方正仿宋_GBK"/>
          <w:szCs w:val="32"/>
        </w:rPr>
        <w:t>说了算、定了干、马上办</w:t>
      </w:r>
      <w:r>
        <w:rPr>
          <w:rFonts w:hint="eastAsia" w:ascii="方正仿宋_GBK" w:cs="方正仿宋_GBK"/>
          <w:szCs w:val="32"/>
        </w:rPr>
        <w:t>”</w:t>
      </w:r>
      <w:r>
        <w:rPr>
          <w:rFonts w:hint="eastAsia" w:cs="方正仿宋_GBK"/>
          <w:szCs w:val="32"/>
        </w:rPr>
        <w:t>的作风，树立</w:t>
      </w:r>
      <w:r>
        <w:rPr>
          <w:rFonts w:hint="eastAsia" w:ascii="方正仿宋_GBK" w:cs="方正仿宋_GBK"/>
          <w:szCs w:val="32"/>
        </w:rPr>
        <w:t>“</w:t>
      </w:r>
      <w:r>
        <w:rPr>
          <w:rFonts w:hint="eastAsia" w:cs="方正仿宋_GBK"/>
          <w:szCs w:val="32"/>
        </w:rPr>
        <w:t>走在前、勇争先、创一流</w:t>
      </w:r>
      <w:r>
        <w:rPr>
          <w:rFonts w:hint="eastAsia" w:ascii="方正仿宋_GBK" w:cs="方正仿宋_GBK"/>
          <w:szCs w:val="32"/>
        </w:rPr>
        <w:t>”</w:t>
      </w:r>
      <w:r>
        <w:rPr>
          <w:rFonts w:hint="eastAsia" w:cs="方正仿宋_GBK"/>
          <w:szCs w:val="32"/>
        </w:rPr>
        <w:t>的标准，</w:t>
      </w:r>
      <w:r>
        <w:rPr>
          <w:rFonts w:cs="Times New Roman"/>
          <w:szCs w:val="32"/>
        </w:rPr>
        <w:t>精准研判</w:t>
      </w:r>
      <w:r>
        <w:rPr>
          <w:rFonts w:hint="eastAsia" w:cs="Times New Roman"/>
          <w:szCs w:val="32"/>
        </w:rPr>
        <w:t>财政</w:t>
      </w:r>
      <w:r>
        <w:rPr>
          <w:rFonts w:cs="Times New Roman"/>
          <w:szCs w:val="32"/>
        </w:rPr>
        <w:t>形势，精细编制</w:t>
      </w:r>
      <w:r>
        <w:rPr>
          <w:rFonts w:hint="eastAsia" w:cs="Times New Roman"/>
          <w:szCs w:val="32"/>
        </w:rPr>
        <w:t>收支</w:t>
      </w:r>
      <w:r>
        <w:rPr>
          <w:rFonts w:cs="Times New Roman"/>
          <w:szCs w:val="32"/>
        </w:rPr>
        <w:t>预算</w:t>
      </w:r>
      <w:r>
        <w:rPr>
          <w:rFonts w:hint="eastAsia" w:cs="方正仿宋_GBK"/>
          <w:szCs w:val="32"/>
        </w:rPr>
        <w:t>，牢牢把握稳进增效、改革创新、除险固安、强企富民工作导向，落实更加积极的财政政策，优化财政支出结构，用好政策这个</w:t>
      </w:r>
      <w:r>
        <w:rPr>
          <w:rFonts w:hint="eastAsia" w:ascii="方正仿宋_GBK" w:cs="方正仿宋_GBK"/>
          <w:szCs w:val="32"/>
        </w:rPr>
        <w:t>“</w:t>
      </w:r>
      <w:r>
        <w:rPr>
          <w:rFonts w:hint="eastAsia" w:cs="方正仿宋_GBK"/>
          <w:szCs w:val="32"/>
        </w:rPr>
        <w:t>船</w:t>
      </w:r>
      <w:r>
        <w:rPr>
          <w:rFonts w:hint="eastAsia" w:ascii="方正仿宋_GBK" w:cs="方正仿宋_GBK"/>
          <w:szCs w:val="32"/>
        </w:rPr>
        <w:t>”</w:t>
      </w:r>
      <w:r>
        <w:rPr>
          <w:rFonts w:hint="eastAsia" w:cs="方正仿宋_GBK"/>
          <w:szCs w:val="32"/>
        </w:rPr>
        <w:t>和</w:t>
      </w:r>
      <w:r>
        <w:rPr>
          <w:rFonts w:hint="eastAsia" w:ascii="方正仿宋_GBK" w:cs="方正仿宋_GBK"/>
          <w:szCs w:val="32"/>
        </w:rPr>
        <w:t>“</w:t>
      </w:r>
      <w:r>
        <w:rPr>
          <w:rFonts w:hint="eastAsia" w:cs="方正仿宋_GBK"/>
          <w:szCs w:val="32"/>
        </w:rPr>
        <w:t>桥</w:t>
      </w:r>
      <w:r>
        <w:rPr>
          <w:rFonts w:hint="eastAsia" w:ascii="方正仿宋_GBK" w:cs="方正仿宋_GBK"/>
          <w:szCs w:val="32"/>
        </w:rPr>
        <w:t>”</w:t>
      </w:r>
      <w:r>
        <w:rPr>
          <w:rFonts w:hint="eastAsia" w:cs="方正仿宋_GBK"/>
          <w:szCs w:val="32"/>
        </w:rPr>
        <w:t>，用实一揽子政策包，不断提高拼经济抓发展的能力，</w:t>
      </w:r>
      <w:r>
        <w:rPr>
          <w:rFonts w:hint="eastAsia" w:cs="方正仿宋_GBK"/>
          <w:sz w:val="33"/>
          <w:szCs w:val="33"/>
        </w:rPr>
        <w:t>为实现</w:t>
      </w:r>
      <w:r>
        <w:rPr>
          <w:rFonts w:hint="eastAsia" w:ascii="方正仿宋_GBK" w:cs="方正仿宋_GBK"/>
          <w:sz w:val="33"/>
          <w:szCs w:val="33"/>
        </w:rPr>
        <w:t>“</w:t>
      </w:r>
      <w:r>
        <w:rPr>
          <w:rFonts w:hint="eastAsia" w:cs="方正仿宋_GBK"/>
          <w:sz w:val="33"/>
          <w:szCs w:val="33"/>
        </w:rPr>
        <w:t>十五五</w:t>
      </w:r>
      <w:r>
        <w:rPr>
          <w:rFonts w:hint="eastAsia" w:ascii="方正仿宋_GBK" w:cs="方正仿宋_GBK"/>
          <w:sz w:val="33"/>
          <w:szCs w:val="33"/>
        </w:rPr>
        <w:t>”</w:t>
      </w:r>
      <w:r>
        <w:rPr>
          <w:rFonts w:hint="eastAsia" w:cs="方正仿宋_GBK"/>
          <w:sz w:val="33"/>
          <w:szCs w:val="33"/>
        </w:rPr>
        <w:t>良好开局打牢基础</w:t>
      </w:r>
      <w:r>
        <w:rPr>
          <w:rFonts w:cs="Times New Roman"/>
          <w:szCs w:val="32"/>
        </w:rPr>
        <w:t>。</w:t>
      </w:r>
    </w:p>
    <w:p>
      <w:pPr>
        <w:spacing w:after="0"/>
        <w:ind w:firstLine="640"/>
        <w:rPr>
          <w:rFonts w:ascii="方正楷体_GBK" w:hAnsi="方正楷体_GBK" w:eastAsia="方正楷体_GBK" w:cs="方正楷体_GBK"/>
          <w:szCs w:val="32"/>
        </w:rPr>
      </w:pPr>
      <w:r>
        <w:rPr>
          <w:rFonts w:hint="eastAsia" w:ascii="方正楷体_GBK" w:hAnsi="方正楷体_GBK" w:eastAsia="方正楷体_GBK" w:cs="方正楷体_GBK"/>
          <w:szCs w:val="32"/>
        </w:rPr>
        <w:t>（一）坚持稳进增效、以稳促进。</w:t>
      </w:r>
    </w:p>
    <w:p>
      <w:pPr>
        <w:pStyle w:val="7"/>
        <w:spacing w:after="0"/>
        <w:ind w:firstLine="640"/>
        <w:rPr>
          <w:rFonts w:ascii="方正仿宋_GBK" w:hAnsi="方正仿宋_GBK" w:eastAsia="方正仿宋_GBK" w:cs="方正仿宋_GBK"/>
          <w:szCs w:val="32"/>
        </w:rPr>
      </w:pPr>
      <w:r>
        <w:rPr>
          <w:rFonts w:hint="eastAsia" w:ascii="方正仿宋_GBK" w:hAnsi="方正仿宋_GBK" w:eastAsia="方正仿宋_GBK" w:cs="方正仿宋_GBK"/>
          <w:szCs w:val="32"/>
        </w:rPr>
        <w:t>强化高质量发展目标引领，集成运用各项财税政策工具，发挥财政政策、资金引导作用，多措并举涵养培植财源。</w:t>
      </w:r>
      <w:r>
        <w:rPr>
          <w:rFonts w:hint="eastAsia" w:ascii="方正仿宋_GBK" w:hAnsi="方正仿宋_GBK" w:eastAsia="方正仿宋_GBK" w:cs="方正仿宋_GBK"/>
          <w:b/>
          <w:bCs/>
          <w:szCs w:val="32"/>
        </w:rPr>
        <w:t>推进财源建设。</w:t>
      </w:r>
      <w:r>
        <w:rPr>
          <w:rFonts w:hint="eastAsia" w:ascii="方正仿宋_GBK" w:hAnsi="方正仿宋_GBK" w:eastAsia="方正仿宋_GBK" w:cs="方正仿宋_GBK"/>
          <w:szCs w:val="32"/>
        </w:rPr>
        <w:t>聚焦重点行业、重点企业、重点项目精准施策、靶向发力，持续优化营商环境，强化税源培植。持续推进“聚沙强基、税费共治”工程，配合开展各类专项检查，及时堵塞管理漏洞，确保颗粒归仓。建立健全全区重点项目清单，以项目为依托强化征管，助推非税收入足额入库。</w:t>
      </w:r>
      <w:r>
        <w:rPr>
          <w:rFonts w:hint="eastAsia" w:ascii="方正仿宋_GBK" w:hAnsi="方正仿宋_GBK" w:eastAsia="方正仿宋_GBK" w:cs="方正仿宋_GBK"/>
          <w:b/>
          <w:bCs/>
          <w:szCs w:val="32"/>
        </w:rPr>
        <w:t>紧抓向上争取。</w:t>
      </w:r>
      <w:r>
        <w:rPr>
          <w:rFonts w:hint="eastAsia" w:eastAsia="方正仿宋_GBK"/>
          <w:szCs w:val="32"/>
        </w:rPr>
        <w:t>盯紧</w:t>
      </w:r>
      <w:r>
        <w:rPr>
          <w:rFonts w:eastAsia="方正仿宋_GBK"/>
          <w:szCs w:val="32"/>
        </w:rPr>
        <w:t>上级政策风向，</w:t>
      </w:r>
      <w:r>
        <w:rPr>
          <w:rFonts w:hint="eastAsia" w:eastAsia="方正仿宋_GBK"/>
          <w:szCs w:val="32"/>
        </w:rPr>
        <w:t>锚定适配性资金</w:t>
      </w:r>
      <w:r>
        <w:rPr>
          <w:rFonts w:hint="eastAsia" w:ascii="方正仿宋_GBK" w:eastAsia="方正仿宋_GBK"/>
          <w:szCs w:val="32"/>
        </w:rPr>
        <w:t>“</w:t>
      </w:r>
      <w:r>
        <w:rPr>
          <w:rFonts w:eastAsia="方正仿宋_GBK"/>
          <w:szCs w:val="32"/>
        </w:rPr>
        <w:t>机遇窗口</w:t>
      </w:r>
      <w:r>
        <w:rPr>
          <w:rFonts w:hint="eastAsia" w:ascii="方正仿宋_GBK" w:eastAsia="方正仿宋_GBK"/>
          <w:szCs w:val="32"/>
        </w:rPr>
        <w:t>”</w:t>
      </w:r>
      <w:r>
        <w:rPr>
          <w:rFonts w:eastAsia="方正仿宋_GBK"/>
          <w:szCs w:val="32"/>
        </w:rPr>
        <w:t>，结合产业转型战略蓝图，梳理争资项目架构，提升争资实效</w:t>
      </w:r>
      <w:r>
        <w:rPr>
          <w:rFonts w:hint="eastAsia" w:eastAsia="方正仿宋_GBK"/>
          <w:szCs w:val="32"/>
        </w:rPr>
        <w:t>。</w:t>
      </w:r>
      <w:r>
        <w:rPr>
          <w:rFonts w:eastAsia="方正仿宋_GBK"/>
          <w:szCs w:val="32"/>
        </w:rPr>
        <w:t>厘清部门职责，压实主体责任，保障</w:t>
      </w:r>
      <w:r>
        <w:rPr>
          <w:rFonts w:hint="eastAsia" w:eastAsia="方正仿宋_GBK"/>
          <w:szCs w:val="32"/>
        </w:rPr>
        <w:t>争资</w:t>
      </w:r>
      <w:r>
        <w:rPr>
          <w:rFonts w:eastAsia="方正仿宋_GBK"/>
          <w:szCs w:val="32"/>
        </w:rPr>
        <w:t>工作连贯性</w:t>
      </w:r>
      <w:r>
        <w:rPr>
          <w:rFonts w:hint="eastAsia" w:eastAsia="方正仿宋_GBK"/>
          <w:szCs w:val="32"/>
        </w:rPr>
        <w:t>。</w:t>
      </w:r>
      <w:r>
        <w:rPr>
          <w:rFonts w:eastAsia="方正仿宋_GBK"/>
          <w:szCs w:val="32"/>
        </w:rPr>
        <w:t>优化考核办法，精细划分考核</w:t>
      </w:r>
      <w:r>
        <w:rPr>
          <w:rFonts w:hint="eastAsia" w:eastAsia="方正仿宋_GBK"/>
          <w:szCs w:val="32"/>
        </w:rPr>
        <w:t>事</w:t>
      </w:r>
      <w:r>
        <w:rPr>
          <w:rFonts w:eastAsia="方正仿宋_GBK"/>
          <w:szCs w:val="32"/>
        </w:rPr>
        <w:t>项，将争资成果与资源分配紧密挂钩，激发</w:t>
      </w:r>
      <w:r>
        <w:rPr>
          <w:rFonts w:hint="eastAsia" w:eastAsia="方正仿宋_GBK"/>
          <w:szCs w:val="32"/>
        </w:rPr>
        <w:t>争资</w:t>
      </w:r>
      <w:r>
        <w:rPr>
          <w:rFonts w:eastAsia="方正仿宋_GBK"/>
          <w:szCs w:val="32"/>
        </w:rPr>
        <w:t>动力。</w:t>
      </w:r>
      <w:r>
        <w:rPr>
          <w:rFonts w:hint="eastAsia" w:ascii="方正仿宋_GBK" w:hAnsi="方正仿宋_GBK" w:eastAsia="方正仿宋_GBK" w:cs="方正仿宋_GBK"/>
          <w:b/>
          <w:bCs/>
          <w:szCs w:val="32"/>
        </w:rPr>
        <w:t>全力盘活土地。</w:t>
      </w:r>
      <w:r>
        <w:rPr>
          <w:rFonts w:hint="eastAsia" w:eastAsia="方正仿宋_GBK"/>
          <w:szCs w:val="32"/>
        </w:rPr>
        <w:t>聚焦重点项目建设，稳步推进征地拆迁，及时兑现各项补贴及优惠政策，着力稳住楼市。积极盘活存量土地资源，加快推进建设项目土地权证办理，凝聚招商合力，力促出让</w:t>
      </w:r>
      <w:r>
        <w:rPr>
          <w:rFonts w:eastAsia="方正仿宋_GBK"/>
          <w:szCs w:val="32"/>
        </w:rPr>
        <w:t>土地500余</w:t>
      </w:r>
      <w:r>
        <w:rPr>
          <w:rFonts w:hint="eastAsia" w:eastAsia="方正仿宋_GBK"/>
          <w:szCs w:val="32"/>
        </w:rPr>
        <w:t>亩。加大土地出让金征收和催缴力度，全力实现土地收入预算。</w:t>
      </w:r>
    </w:p>
    <w:p>
      <w:pPr>
        <w:pStyle w:val="7"/>
        <w:spacing w:after="0"/>
        <w:ind w:firstLine="640"/>
        <w:rPr>
          <w:rFonts w:ascii="方正楷体_GBK" w:hAnsi="方正楷体_GBK" w:eastAsia="方正楷体_GBK" w:cs="方正楷体_GBK"/>
          <w:szCs w:val="32"/>
        </w:rPr>
      </w:pPr>
      <w:r>
        <w:rPr>
          <w:rFonts w:hint="eastAsia" w:ascii="方正楷体_GBK" w:hAnsi="方正楷体_GBK" w:eastAsia="方正楷体_GBK" w:cs="方正楷体_GBK"/>
          <w:szCs w:val="32"/>
        </w:rPr>
        <w:t>（二）坚持改革创新、先立后破。</w:t>
      </w:r>
    </w:p>
    <w:p>
      <w:pPr>
        <w:pStyle w:val="8"/>
        <w:spacing w:after="0"/>
        <w:ind w:left="0" w:firstLine="640"/>
        <w:jc w:val="both"/>
        <w:rPr>
          <w:rFonts w:ascii="方正仿宋_GBK" w:hAnsi="方正仿宋_GBK" w:cs="方正仿宋_GBK"/>
          <w:sz w:val="32"/>
          <w:szCs w:val="32"/>
        </w:rPr>
      </w:pPr>
      <w:r>
        <w:rPr>
          <w:rFonts w:hint="eastAsia" w:ascii="方正仿宋_GBK" w:hAnsi="方正仿宋_GBK" w:cs="方正仿宋_GBK"/>
          <w:sz w:val="32"/>
          <w:szCs w:val="32"/>
        </w:rPr>
        <w:t>积极探索首创型改革，不断推进实践创新、理论创新、制度创新、模式创新，更好激发高质量发展内生动力。</w:t>
      </w:r>
      <w:r>
        <w:rPr>
          <w:rFonts w:hint="eastAsia" w:ascii="方正仿宋_GBK" w:hAnsi="方正仿宋_GBK" w:cs="方正仿宋_GBK"/>
          <w:b/>
          <w:bCs/>
          <w:sz w:val="32"/>
          <w:szCs w:val="32"/>
        </w:rPr>
        <w:t>推进财税体制改革。</w:t>
      </w:r>
      <w:r>
        <w:rPr>
          <w:rFonts w:hint="eastAsia" w:ascii="方正仿宋_GBK" w:hAnsi="方正仿宋_GBK" w:cs="方正仿宋_GBK"/>
          <w:sz w:val="32"/>
          <w:szCs w:val="32"/>
        </w:rPr>
        <w:t>通过出台新一轮镇街财政管理体制，深化镇街财政体制改革，围绕“兜底线、促均衡、保重点”目标，优化转移支付机制，注重事权与财权相统一，着力资金绩效与落实政策相协同，完善奖补机制破解“动力不足”难题。</w:t>
      </w:r>
      <w:r>
        <w:rPr>
          <w:rFonts w:hint="eastAsia" w:ascii="方正仿宋_GBK" w:hAnsi="方正仿宋_GBK" w:cs="方正仿宋_GBK"/>
          <w:b/>
          <w:bCs/>
          <w:sz w:val="32"/>
          <w:szCs w:val="32"/>
        </w:rPr>
        <w:t>深化零基预算改革。</w:t>
      </w:r>
      <w:r>
        <w:rPr>
          <w:rFonts w:hint="eastAsia" w:ascii="方正仿宋_GBK" w:hAnsi="方正仿宋_GBK" w:cs="方正仿宋_GBK"/>
          <w:sz w:val="32"/>
          <w:szCs w:val="32"/>
        </w:rPr>
        <w:t>始终将“三保”底线摆在首要位置，按照政策规定的范围和标准足额编制“三保”支出预算，不留缺口。强化库款运行监测，合理安排资金调度，优先保障“三保”支出资金需求。建立健全“三保”支出监管预警机制，运用信息化手段对“三保”资金的流向、使用进度等进行全程监控，确保资金专款专用。</w:t>
      </w:r>
      <w:r>
        <w:rPr>
          <w:rFonts w:hint="eastAsia" w:ascii="方正仿宋_GBK" w:hAnsi="方正仿宋_GBK" w:cs="方正仿宋_GBK"/>
          <w:b/>
          <w:bCs/>
          <w:sz w:val="32"/>
          <w:szCs w:val="32"/>
        </w:rPr>
        <w:t>强化资产盘活攻坚。</w:t>
      </w:r>
      <w:r>
        <w:rPr>
          <w:rFonts w:ascii="Times New Roman" w:hAnsi="Times New Roman" w:cs="Times New Roman"/>
          <w:sz w:val="32"/>
          <w:szCs w:val="32"/>
        </w:rPr>
        <w:t>紧紧抓住中央超常规逆周期政策叠加释放机遇，</w:t>
      </w:r>
      <w:r>
        <w:rPr>
          <w:rFonts w:hint="eastAsia" w:ascii="Times New Roman" w:hAnsi="Times New Roman" w:cs="Times New Roman"/>
          <w:sz w:val="32"/>
          <w:szCs w:val="32"/>
        </w:rPr>
        <w:t>主动作为、快速行动，积极盘活存量资产资源。推进公租房租转售改革试点，打破公租房</w:t>
      </w:r>
      <w:r>
        <w:rPr>
          <w:rFonts w:hint="eastAsia" w:ascii="方正仿宋_GBK" w:hAnsi="Times New Roman" w:cs="Times New Roman"/>
          <w:sz w:val="32"/>
          <w:szCs w:val="32"/>
        </w:rPr>
        <w:t>“</w:t>
      </w:r>
      <w:r>
        <w:rPr>
          <w:rFonts w:hint="eastAsia" w:ascii="Times New Roman" w:hAnsi="Times New Roman" w:cs="Times New Roman"/>
          <w:sz w:val="32"/>
          <w:szCs w:val="32"/>
        </w:rPr>
        <w:t>只租不售</w:t>
      </w:r>
      <w:r>
        <w:rPr>
          <w:rFonts w:hint="eastAsia" w:ascii="方正仿宋_GBK" w:hAnsi="Times New Roman" w:cs="Times New Roman"/>
          <w:sz w:val="32"/>
          <w:szCs w:val="32"/>
        </w:rPr>
        <w:t>”</w:t>
      </w:r>
      <w:r>
        <w:rPr>
          <w:rFonts w:hint="eastAsia" w:ascii="Times New Roman" w:hAnsi="Times New Roman" w:cs="Times New Roman"/>
          <w:sz w:val="32"/>
          <w:szCs w:val="32"/>
        </w:rPr>
        <w:t>规则，让公租房资产流动起来。持续加大宣传力度，引入专业销售团队促进房屋类资产盘活，多渠道促进资产处置。</w:t>
      </w:r>
    </w:p>
    <w:p>
      <w:pPr>
        <w:pStyle w:val="8"/>
        <w:spacing w:after="0"/>
        <w:ind w:left="0" w:firstLine="640"/>
        <w:jc w:val="both"/>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（三）坚持除险固安、风险管控。</w:t>
      </w:r>
    </w:p>
    <w:p>
      <w:pPr>
        <w:spacing w:after="0"/>
        <w:ind w:firstLine="640"/>
        <w:rPr>
          <w:rFonts w:cs="Times New Roman"/>
          <w:b/>
          <w:bCs/>
          <w:szCs w:val="32"/>
        </w:rPr>
      </w:pPr>
      <w:r>
        <w:rPr>
          <w:rFonts w:hint="eastAsia" w:ascii="方正仿宋_GBK" w:hAnsi="方正仿宋_GBK" w:cs="方正仿宋_GBK"/>
          <w:szCs w:val="32"/>
        </w:rPr>
        <w:t>强化底线思维、极限思维，健全完善风险闭环管控机制，为高质量发展创造安全稳定环境。</w:t>
      </w:r>
      <w:r>
        <w:rPr>
          <w:rFonts w:hint="eastAsia" w:cs="方正仿宋_GBK"/>
          <w:b/>
          <w:bCs/>
          <w:szCs w:val="32"/>
        </w:rPr>
        <w:t>严守</w:t>
      </w:r>
      <w:r>
        <w:rPr>
          <w:rFonts w:hint="eastAsia" w:ascii="方正仿宋_GBK" w:cs="方正仿宋_GBK"/>
          <w:b/>
          <w:bCs/>
          <w:szCs w:val="32"/>
        </w:rPr>
        <w:t>“</w:t>
      </w:r>
      <w:r>
        <w:rPr>
          <w:rFonts w:hint="eastAsia" w:cs="方正仿宋_GBK"/>
          <w:b/>
          <w:bCs/>
          <w:szCs w:val="32"/>
        </w:rPr>
        <w:t>三保</w:t>
      </w:r>
      <w:r>
        <w:rPr>
          <w:rFonts w:hint="eastAsia" w:ascii="方正仿宋_GBK" w:cs="方正仿宋_GBK"/>
          <w:b/>
          <w:bCs/>
          <w:szCs w:val="32"/>
        </w:rPr>
        <w:t>”</w:t>
      </w:r>
      <w:r>
        <w:rPr>
          <w:rFonts w:hint="eastAsia" w:cs="方正仿宋_GBK"/>
          <w:b/>
          <w:bCs/>
          <w:szCs w:val="32"/>
        </w:rPr>
        <w:t>支出底线。</w:t>
      </w:r>
      <w:r>
        <w:rPr>
          <w:rFonts w:hint="eastAsia" w:cs="Times New Roman"/>
          <w:szCs w:val="32"/>
        </w:rPr>
        <w:t>加强财政运行风险研判，强化库款监测，始终将</w:t>
      </w:r>
      <w:r>
        <w:rPr>
          <w:rFonts w:hint="eastAsia" w:ascii="方正仿宋_GBK" w:cs="Times New Roman"/>
          <w:szCs w:val="32"/>
        </w:rPr>
        <w:t>“</w:t>
      </w:r>
      <w:r>
        <w:rPr>
          <w:rFonts w:hint="eastAsia" w:cs="Times New Roman"/>
          <w:szCs w:val="32"/>
        </w:rPr>
        <w:t>三保</w:t>
      </w:r>
      <w:r>
        <w:rPr>
          <w:rFonts w:hint="eastAsia" w:ascii="方正仿宋_GBK" w:cs="Times New Roman"/>
          <w:szCs w:val="32"/>
        </w:rPr>
        <w:t>”</w:t>
      </w:r>
      <w:r>
        <w:rPr>
          <w:rFonts w:hint="eastAsia" w:cs="Times New Roman"/>
          <w:szCs w:val="32"/>
        </w:rPr>
        <w:t>底线摆在首要位置。按照</w:t>
      </w:r>
      <w:r>
        <w:rPr>
          <w:rFonts w:hint="eastAsia" w:ascii="方正仿宋_GBK" w:cs="Times New Roman"/>
          <w:szCs w:val="32"/>
        </w:rPr>
        <w:t>“</w:t>
      </w:r>
      <w:r>
        <w:rPr>
          <w:rFonts w:hint="eastAsia" w:cs="Times New Roman"/>
          <w:szCs w:val="32"/>
        </w:rPr>
        <w:t>特事特办、急事急办</w:t>
      </w:r>
      <w:r>
        <w:rPr>
          <w:rFonts w:hint="eastAsia" w:ascii="方正仿宋_GBK" w:cs="Times New Roman"/>
          <w:szCs w:val="32"/>
        </w:rPr>
        <w:t>”</w:t>
      </w:r>
      <w:r>
        <w:rPr>
          <w:rFonts w:hint="eastAsia" w:cs="Times New Roman"/>
          <w:szCs w:val="32"/>
        </w:rPr>
        <w:t>原则，严格执行预算管理，强化预算对执行的控制，实行</w:t>
      </w:r>
      <w:r>
        <w:rPr>
          <w:rFonts w:hint="eastAsia" w:ascii="方正仿宋_GBK" w:cs="Times New Roman"/>
          <w:szCs w:val="32"/>
        </w:rPr>
        <w:t>“</w:t>
      </w:r>
      <w:r>
        <w:rPr>
          <w:rFonts w:hint="eastAsia" w:cs="Times New Roman"/>
          <w:szCs w:val="32"/>
        </w:rPr>
        <w:t>三保</w:t>
      </w:r>
      <w:r>
        <w:rPr>
          <w:rFonts w:hint="eastAsia" w:ascii="方正仿宋_GBK" w:cs="Times New Roman"/>
          <w:szCs w:val="32"/>
        </w:rPr>
        <w:t>”</w:t>
      </w:r>
      <w:r>
        <w:rPr>
          <w:rFonts w:hint="eastAsia" w:cs="Times New Roman"/>
          <w:szCs w:val="32"/>
        </w:rPr>
        <w:t>标识管理制度，实现</w:t>
      </w:r>
      <w:r>
        <w:rPr>
          <w:rFonts w:hint="eastAsia" w:ascii="方正仿宋_GBK" w:cs="Times New Roman"/>
          <w:szCs w:val="32"/>
        </w:rPr>
        <w:t>“</w:t>
      </w:r>
      <w:r>
        <w:rPr>
          <w:rFonts w:hint="eastAsia" w:cs="Times New Roman"/>
          <w:szCs w:val="32"/>
        </w:rPr>
        <w:t>三保</w:t>
      </w:r>
      <w:r>
        <w:rPr>
          <w:rFonts w:hint="eastAsia" w:ascii="方正仿宋_GBK" w:cs="Times New Roman"/>
          <w:szCs w:val="32"/>
        </w:rPr>
        <w:t>”</w:t>
      </w:r>
      <w:r>
        <w:rPr>
          <w:rFonts w:hint="eastAsia" w:cs="Times New Roman"/>
          <w:szCs w:val="32"/>
        </w:rPr>
        <w:t>预算和执行的信息化、动态化管理，确保</w:t>
      </w:r>
      <w:r>
        <w:rPr>
          <w:rFonts w:hint="eastAsia" w:ascii="方正仿宋_GBK" w:cs="Times New Roman"/>
          <w:szCs w:val="32"/>
        </w:rPr>
        <w:t>“</w:t>
      </w:r>
      <w:r>
        <w:rPr>
          <w:rFonts w:hint="eastAsia" w:cs="Times New Roman"/>
          <w:szCs w:val="32"/>
        </w:rPr>
        <w:t>三保</w:t>
      </w:r>
      <w:r>
        <w:rPr>
          <w:rFonts w:hint="eastAsia" w:ascii="方正仿宋_GBK" w:cs="Times New Roman"/>
          <w:szCs w:val="32"/>
        </w:rPr>
        <w:t>”</w:t>
      </w:r>
      <w:r>
        <w:rPr>
          <w:rFonts w:hint="eastAsia" w:cs="Times New Roman"/>
          <w:szCs w:val="32"/>
        </w:rPr>
        <w:t>资金精准高效落实到位。</w:t>
      </w:r>
      <w:r>
        <w:rPr>
          <w:rFonts w:hint="eastAsia" w:cs="方正仿宋_GBK"/>
          <w:b/>
          <w:bCs/>
          <w:szCs w:val="32"/>
        </w:rPr>
        <w:t>严密债务风险防线。</w:t>
      </w:r>
      <w:r>
        <w:rPr>
          <w:rFonts w:hint="eastAsia" w:cs="Times New Roman"/>
          <w:szCs w:val="32"/>
        </w:rPr>
        <w:t>严守底线思维，严禁新增隐性债务，严格落实化债</w:t>
      </w:r>
      <w:r>
        <w:rPr>
          <w:rFonts w:cs="Times New Roman"/>
          <w:szCs w:val="32"/>
        </w:rPr>
        <w:t>措施</w:t>
      </w:r>
      <w:r>
        <w:rPr>
          <w:rFonts w:hint="eastAsia" w:cs="Times New Roman"/>
          <w:szCs w:val="32"/>
        </w:rPr>
        <w:t>，打好</w:t>
      </w:r>
      <w:r>
        <w:rPr>
          <w:rFonts w:cs="Times New Roman"/>
          <w:szCs w:val="32"/>
        </w:rPr>
        <w:t>债务风险防范化解</w:t>
      </w:r>
      <w:r>
        <w:rPr>
          <w:rFonts w:hint="eastAsia" w:cs="Times New Roman"/>
          <w:szCs w:val="32"/>
        </w:rPr>
        <w:t>的组合拳。定期开展债务风险排查，适时开展评估预警，确保不发生债务还本付息风险。强化专项债券全生命周期管理，及早实现项目预期收益。加大力度争取再融资债券，有效缓释到期政府债务本息</w:t>
      </w:r>
      <w:r>
        <w:rPr>
          <w:rFonts w:cs="Times New Roman"/>
          <w:szCs w:val="32"/>
        </w:rPr>
        <w:t>兑付</w:t>
      </w:r>
      <w:r>
        <w:rPr>
          <w:rFonts w:hint="eastAsia" w:cs="Times New Roman"/>
          <w:szCs w:val="32"/>
        </w:rPr>
        <w:t>压力。</w:t>
      </w:r>
      <w:r>
        <w:rPr>
          <w:rFonts w:hint="eastAsia" w:cs="Times New Roman"/>
          <w:b/>
          <w:bCs/>
          <w:szCs w:val="32"/>
        </w:rPr>
        <w:t>严肃财经纪律红线。</w:t>
      </w:r>
      <w:r>
        <w:rPr>
          <w:szCs w:val="32"/>
        </w:rPr>
        <w:t>全面复盘人大预算监督、审计及各类检查暴露的问题，以问题整改为契机，完善配套政策与制度</w:t>
      </w:r>
      <w:r>
        <w:rPr>
          <w:rFonts w:hint="eastAsia"/>
          <w:szCs w:val="32"/>
        </w:rPr>
        <w:t>办法</w:t>
      </w:r>
      <w:r>
        <w:rPr>
          <w:szCs w:val="32"/>
        </w:rPr>
        <w:t>，精准补齐短板、加固弱项</w:t>
      </w:r>
      <w:r>
        <w:rPr>
          <w:rFonts w:hint="eastAsia"/>
          <w:szCs w:val="32"/>
        </w:rPr>
        <w:t>。</w:t>
      </w:r>
      <w:r>
        <w:rPr>
          <w:szCs w:val="32"/>
        </w:rPr>
        <w:t>持续完善</w:t>
      </w:r>
      <w:r>
        <w:rPr>
          <w:rFonts w:hint="eastAsia" w:ascii="方正仿宋_GBK" w:cs="Times New Roman"/>
          <w:szCs w:val="32"/>
        </w:rPr>
        <w:t>“</w:t>
      </w:r>
      <w:r>
        <w:rPr>
          <w:rFonts w:cs="Times New Roman"/>
          <w:szCs w:val="32"/>
        </w:rPr>
        <w:t>1</w:t>
      </w:r>
      <w:r>
        <w:rPr>
          <w:rFonts w:hint="eastAsia" w:cs="Times New Roman"/>
          <w:szCs w:val="32"/>
        </w:rPr>
        <w:t>+</w:t>
      </w:r>
      <w:r>
        <w:rPr>
          <w:rFonts w:cs="Times New Roman"/>
          <w:szCs w:val="32"/>
        </w:rPr>
        <w:t>N</w:t>
      </w:r>
      <w:r>
        <w:rPr>
          <w:rFonts w:hint="eastAsia" w:ascii="方正仿宋_GBK" w:cs="Times New Roman"/>
          <w:szCs w:val="32"/>
        </w:rPr>
        <w:t>”</w:t>
      </w:r>
      <w:r>
        <w:rPr>
          <w:szCs w:val="32"/>
        </w:rPr>
        <w:t>财会监督协作配合机制，推动财会监督与各类监督贯通协调，促进财政资金规范高效使用</w:t>
      </w:r>
      <w:r>
        <w:rPr>
          <w:rFonts w:hint="eastAsia"/>
          <w:szCs w:val="32"/>
        </w:rPr>
        <w:t>。</w:t>
      </w:r>
      <w:r>
        <w:rPr>
          <w:szCs w:val="32"/>
        </w:rPr>
        <w:t>运用</w:t>
      </w:r>
      <w:r>
        <w:rPr>
          <w:rFonts w:hint="eastAsia" w:ascii="方正仿宋_GBK" w:cs="Times New Roman"/>
          <w:szCs w:val="32"/>
        </w:rPr>
        <w:t>“</w:t>
      </w:r>
      <w:r>
        <w:rPr>
          <w:rFonts w:hint="eastAsia" w:cs="Times New Roman"/>
          <w:szCs w:val="32"/>
        </w:rPr>
        <w:t>互联网+监管</w:t>
      </w:r>
      <w:r>
        <w:rPr>
          <w:rFonts w:hint="eastAsia" w:ascii="方正仿宋_GBK" w:cs="Times New Roman"/>
          <w:szCs w:val="32"/>
        </w:rPr>
        <w:t>”</w:t>
      </w:r>
      <w:r>
        <w:rPr>
          <w:szCs w:val="32"/>
        </w:rPr>
        <w:t>等现代信息技术手段，强化会计信息质量检查、内控制度建设，全面提升资金管理综合水平。</w:t>
      </w:r>
    </w:p>
    <w:p>
      <w:pPr>
        <w:spacing w:after="0"/>
        <w:ind w:firstLine="640"/>
        <w:rPr>
          <w:rFonts w:cs="Times New Roman"/>
          <w:szCs w:val="32"/>
        </w:rPr>
      </w:pPr>
      <w:r>
        <w:rPr>
          <w:rFonts w:hint="eastAsia" w:ascii="方正楷体_GBK" w:hAnsi="方正楷体_GBK" w:eastAsia="方正楷体_GBK" w:cs="方正楷体_GBK"/>
          <w:szCs w:val="32"/>
        </w:rPr>
        <w:t>（四）坚持强企富民、民呼我为。</w:t>
      </w:r>
    </w:p>
    <w:p>
      <w:pPr>
        <w:spacing w:after="0"/>
        <w:ind w:firstLine="640"/>
        <w:rPr>
          <w:rFonts w:cs="Times New Roman"/>
        </w:rPr>
      </w:pPr>
      <w:r>
        <w:rPr>
          <w:rFonts w:hint="eastAsia" w:ascii="方正仿宋_GBK" w:hAnsi="方正仿宋_GBK" w:cs="方正仿宋_GBK"/>
          <w:szCs w:val="32"/>
        </w:rPr>
        <w:t>树牢“强经济必须强主体”观念，更加注重惠民生、促消费、增后劲，努力扩大就业、拓展居民增收渠道，巩固脱贫攻坚，切实增强群众获得感。</w:t>
      </w:r>
      <w:r>
        <w:rPr>
          <w:rFonts w:ascii="方正仿宋_GBK" w:hAnsi="方正仿宋_GBK" w:cs="方正仿宋_GBK"/>
          <w:b/>
          <w:bCs/>
          <w:szCs w:val="32"/>
        </w:rPr>
        <w:t>强政策优服务</w:t>
      </w:r>
      <w:r>
        <w:rPr>
          <w:rFonts w:hint="eastAsia" w:ascii="方正仿宋_GBK" w:hAnsi="方正仿宋_GBK" w:cs="方正仿宋_GBK"/>
          <w:szCs w:val="32"/>
        </w:rPr>
        <w:t>。</w:t>
      </w:r>
      <w:r>
        <w:rPr>
          <w:rFonts w:ascii="方正仿宋_GBK" w:hAnsi="方正仿宋_GBK" w:cs="方正仿宋_GBK"/>
          <w:szCs w:val="32"/>
        </w:rPr>
        <w:t>全面落实各类惠企政策，持续深化减税降费，降低企业运营成本。搭建政银企对接平台，协调金融机构为企业提供低息贷款、信用贷款等多元化融资渠道，解决企业资金难题。</w:t>
      </w:r>
      <w:r>
        <w:rPr>
          <w:rFonts w:hint="eastAsia" w:ascii="方正仿宋_GBK" w:hAnsi="方正仿宋_GBK" w:cs="方正仿宋_GBK"/>
          <w:szCs w:val="32"/>
        </w:rPr>
        <w:t>通过</w:t>
      </w:r>
      <w:r>
        <w:rPr>
          <w:rFonts w:ascii="方正仿宋_GBK" w:hAnsi="方正仿宋_GBK" w:cs="方正仿宋_GBK"/>
          <w:szCs w:val="32"/>
        </w:rPr>
        <w:t>专项扶持资金，助力企业在研发投入、设备购置、市场拓展等关键环节的发展</w:t>
      </w:r>
      <w:r>
        <w:rPr>
          <w:rFonts w:hint="eastAsia" w:ascii="方正仿宋_GBK" w:hAnsi="方正仿宋_GBK" w:cs="方正仿宋_GBK"/>
          <w:szCs w:val="32"/>
        </w:rPr>
        <w:t>，</w:t>
      </w:r>
      <w:r>
        <w:rPr>
          <w:rFonts w:ascii="方正仿宋_GBK" w:hAnsi="方正仿宋_GBK" w:cs="方正仿宋_GBK"/>
          <w:szCs w:val="32"/>
        </w:rPr>
        <w:t>激励企业向高附加值、高科技含量方向转型升级</w:t>
      </w:r>
      <w:r>
        <w:rPr>
          <w:rFonts w:hint="eastAsia" w:ascii="方正仿宋_GBK" w:hAnsi="方正仿宋_GBK" w:cs="方正仿宋_GBK"/>
          <w:szCs w:val="32"/>
        </w:rPr>
        <w:t>，</w:t>
      </w:r>
      <w:r>
        <w:rPr>
          <w:rFonts w:ascii="方正仿宋_GBK" w:hAnsi="方正仿宋_GBK" w:cs="方正仿宋_GBK"/>
          <w:szCs w:val="32"/>
        </w:rPr>
        <w:t>推动企业做大做强，为区域经济发展注入强劲动力。</w:t>
      </w:r>
      <w:r>
        <w:rPr>
          <w:rFonts w:ascii="方正仿宋_GBK" w:hAnsi="方正仿宋_GBK" w:cs="方正仿宋_GBK"/>
          <w:b/>
          <w:bCs/>
          <w:szCs w:val="32"/>
        </w:rPr>
        <w:t>促消费</w:t>
      </w:r>
      <w:r>
        <w:rPr>
          <w:rFonts w:hint="eastAsia" w:ascii="方正仿宋_GBK" w:hAnsi="方正仿宋_GBK" w:cs="方正仿宋_GBK"/>
          <w:b/>
          <w:bCs/>
          <w:szCs w:val="32"/>
        </w:rPr>
        <w:t>增</w:t>
      </w:r>
      <w:r>
        <w:rPr>
          <w:rFonts w:ascii="方正仿宋_GBK" w:hAnsi="方正仿宋_GBK" w:cs="方正仿宋_GBK"/>
          <w:b/>
          <w:bCs/>
          <w:szCs w:val="32"/>
        </w:rPr>
        <w:t>活力</w:t>
      </w:r>
      <w:r>
        <w:rPr>
          <w:rFonts w:hint="eastAsia" w:ascii="方正仿宋_GBK" w:hAnsi="方正仿宋_GBK" w:cs="方正仿宋_GBK"/>
          <w:b/>
          <w:bCs/>
          <w:szCs w:val="32"/>
        </w:rPr>
        <w:t>。</w:t>
      </w:r>
      <w:r>
        <w:rPr>
          <w:rFonts w:hint="eastAsia" w:ascii="方正仿宋_GBK" w:hAnsi="方正仿宋_GBK" w:cs="方正仿宋_GBK"/>
          <w:szCs w:val="32"/>
        </w:rPr>
        <w:t>面对多元化需求促消费，发挥财政资金撬动作用，</w:t>
      </w:r>
      <w:r>
        <w:rPr>
          <w:rFonts w:hint="eastAsia"/>
          <w:szCs w:val="32"/>
        </w:rPr>
        <w:t>推动商旅文体健大消费融合。落实好</w:t>
      </w:r>
      <w:r>
        <w:rPr>
          <w:rFonts w:hint="eastAsia" w:ascii="方正仿宋_GBK"/>
          <w:szCs w:val="32"/>
        </w:rPr>
        <w:t>“</w:t>
      </w:r>
      <w:r>
        <w:rPr>
          <w:rFonts w:hint="eastAsia"/>
          <w:szCs w:val="32"/>
        </w:rPr>
        <w:t>以旧换新</w:t>
      </w:r>
      <w:r>
        <w:rPr>
          <w:rFonts w:hint="eastAsia" w:ascii="方正仿宋_GBK"/>
          <w:szCs w:val="32"/>
        </w:rPr>
        <w:t>”</w:t>
      </w:r>
      <w:r>
        <w:rPr>
          <w:rFonts w:hint="eastAsia"/>
          <w:szCs w:val="32"/>
        </w:rPr>
        <w:t>和购房补贴消费券专项奖补政策，提振区域消费活力。积极支持培育商贸消费品牌，打造一批有特色、有影响的网红品牌和消费新场景</w:t>
      </w:r>
      <w:r>
        <w:rPr>
          <w:rFonts w:hint="eastAsia" w:ascii="方正仿宋_GBK" w:hAnsi="方正仿宋_GBK" w:cs="方正仿宋_GBK"/>
          <w:szCs w:val="32"/>
        </w:rPr>
        <w:t>。聚焦重点群体稳就业，大力发展生产性服务业，做大做强区域经济，留住青年人、吸引大学生。</w:t>
      </w:r>
      <w:r>
        <w:rPr>
          <w:rFonts w:ascii="方正仿宋_GBK" w:hAnsi="方正仿宋_GBK" w:cs="方正仿宋_GBK"/>
          <w:b/>
          <w:bCs/>
          <w:szCs w:val="32"/>
        </w:rPr>
        <w:t>稳民生促发展</w:t>
      </w:r>
      <w:r>
        <w:rPr>
          <w:rFonts w:hint="eastAsia" w:ascii="方正仿宋_GBK" w:hAnsi="方正仿宋_GBK" w:cs="方正仿宋_GBK"/>
          <w:szCs w:val="32"/>
        </w:rPr>
        <w:t>。持续推进教育强区建设，</w:t>
      </w:r>
      <w:r>
        <w:rPr>
          <w:rFonts w:ascii="方正仿宋_GBK" w:hAnsi="方正仿宋_GBK" w:cs="方正仿宋_GBK"/>
          <w:szCs w:val="32"/>
        </w:rPr>
        <w:t>全力推进西大附中新建项目、茄子溪中学改扩建项目，改善办学条件，提升教育质量。注重普惠性、基础性民生建设，</w:t>
      </w:r>
      <w:r>
        <w:rPr>
          <w:rFonts w:hint="eastAsia" w:ascii="方正仿宋_GBK" w:hAnsi="方正仿宋_GBK" w:cs="方正仿宋_GBK"/>
          <w:szCs w:val="32"/>
        </w:rPr>
        <w:t>保障</w:t>
      </w:r>
      <w:r>
        <w:rPr>
          <w:rFonts w:ascii="方正仿宋_GBK" w:hAnsi="方正仿宋_GBK" w:cs="方正仿宋_GBK"/>
          <w:szCs w:val="32"/>
        </w:rPr>
        <w:t>医疗、就业、救助等基本民生需求。加强资金拨付与监管，</w:t>
      </w:r>
      <w:r>
        <w:rPr>
          <w:rFonts w:hint="eastAsia" w:ascii="方正仿宋_GBK" w:hAnsi="方正仿宋_GBK" w:cs="方正仿宋_GBK"/>
          <w:szCs w:val="32"/>
        </w:rPr>
        <w:t>增强财政资金</w:t>
      </w:r>
      <w:r>
        <w:rPr>
          <w:rFonts w:ascii="方正仿宋_GBK" w:hAnsi="方正仿宋_GBK" w:cs="方正仿宋_GBK"/>
          <w:szCs w:val="32"/>
        </w:rPr>
        <w:t>惠</w:t>
      </w:r>
      <w:r>
        <w:rPr>
          <w:rFonts w:hint="eastAsia" w:ascii="方正仿宋_GBK" w:hAnsi="方正仿宋_GBK" w:cs="方正仿宋_GBK"/>
          <w:szCs w:val="32"/>
        </w:rPr>
        <w:t>企利民的政策效果</w:t>
      </w:r>
      <w:r>
        <w:rPr>
          <w:rFonts w:ascii="方正仿宋_GBK" w:hAnsi="方正仿宋_GBK" w:cs="方正仿宋_GBK"/>
          <w:szCs w:val="32"/>
        </w:rPr>
        <w:t>。多渠道筹集资金，统筹推进托育服务中心、双山体育公园、老旧小区改造等公共基础设施建设，切实增强群众获得感。</w:t>
      </w:r>
    </w:p>
    <w:p>
      <w:pPr>
        <w:spacing w:after="0"/>
        <w:ind w:firstLine="640"/>
        <w:rPr>
          <w:rFonts w:cs="Times New Roman"/>
          <w:szCs w:val="32"/>
        </w:rPr>
      </w:pPr>
      <w:r>
        <w:rPr>
          <w:rFonts w:cs="Times New Roman"/>
          <w:szCs w:val="32"/>
        </w:rPr>
        <w:t>各位代表</w:t>
      </w:r>
      <w:r>
        <w:rPr>
          <w:rFonts w:hint="eastAsia" w:cs="Times New Roman"/>
          <w:szCs w:val="32"/>
        </w:rPr>
        <w:t>！追风赶月莫停留，平芜尽处是青山。</w:t>
      </w:r>
      <w:r>
        <w:rPr>
          <w:rFonts w:cs="Times New Roman"/>
          <w:szCs w:val="32"/>
        </w:rPr>
        <w:t>2025</w:t>
      </w:r>
      <w:r>
        <w:rPr>
          <w:rFonts w:hint="eastAsia" w:cs="Times New Roman"/>
          <w:szCs w:val="32"/>
        </w:rPr>
        <w:t>年，区财政局将坚持以习近平新时代中国特色社会主义思想为指导，在区委的坚强领导下，自觉接受区人大指导监督，虚心听取人民政协意见建议，准确把握产业和就业这个基本面，创新和创业这个突破口，投资和消费这个动力源，招商和项目这个主抓手，税收和主体这张晴雨表，民生和安全这个压舱石，不等不靠主动出击、创新工作思路、强化服务保障，雷厉风行干好各项工作，为我区努力开创</w:t>
      </w:r>
      <w:r>
        <w:rPr>
          <w:rFonts w:hint="eastAsia" w:ascii="方正仿宋_GBK" w:cs="Times New Roman"/>
          <w:szCs w:val="32"/>
        </w:rPr>
        <w:t>“</w:t>
      </w:r>
      <w:r>
        <w:rPr>
          <w:rFonts w:hint="eastAsia" w:cs="Times New Roman"/>
          <w:szCs w:val="32"/>
        </w:rPr>
        <w:t>兴业兴城、强区富民</w:t>
      </w:r>
      <w:r>
        <w:rPr>
          <w:rFonts w:hint="eastAsia" w:ascii="方正仿宋_GBK" w:cs="Times New Roman"/>
          <w:szCs w:val="32"/>
        </w:rPr>
        <w:t>”</w:t>
      </w:r>
      <w:r>
        <w:rPr>
          <w:rFonts w:hint="eastAsia" w:cs="Times New Roman"/>
          <w:szCs w:val="32"/>
        </w:rPr>
        <w:t>崭新局面贡献财政力量，</w:t>
      </w:r>
      <w:r>
        <w:rPr>
          <w:color w:val="000000"/>
          <w:szCs w:val="32"/>
        </w:rPr>
        <w:t>在奋力谱写中国式现代化重庆篇章中展现大渡口新作为。</w:t>
      </w:r>
      <w:r>
        <w:rPr>
          <w:rFonts w:hint="eastAsia" w:cs="Times New Roman"/>
          <w:szCs w:val="32"/>
        </w:rPr>
        <w:t xml:space="preserve"> </w:t>
      </w:r>
    </w:p>
    <w:p>
      <w:pPr>
        <w:spacing w:after="0"/>
        <w:ind w:firstLine="640"/>
        <w:rPr>
          <w:szCs w:val="32"/>
        </w:rPr>
      </w:pPr>
      <w:r>
        <w:rPr>
          <w:szCs w:val="32"/>
        </w:rPr>
        <w:br w:type="page"/>
      </w:r>
    </w:p>
    <w:p>
      <w:pPr>
        <w:spacing w:after="0"/>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名词解释</w:t>
      </w:r>
    </w:p>
    <w:p>
      <w:pPr>
        <w:spacing w:after="0"/>
        <w:ind w:firstLine="640"/>
      </w:pPr>
    </w:p>
    <w:p>
      <w:pPr>
        <w:spacing w:after="0"/>
        <w:ind w:firstLine="640"/>
      </w:pPr>
      <w:r>
        <w:rPr>
          <w:rFonts w:hint="eastAsia" w:ascii="方正黑体_GBK" w:hAnsi="方正黑体_GBK" w:eastAsia="方正黑体_GBK" w:cs="方正黑体_GBK"/>
        </w:rPr>
        <w:t>财政预算：</w:t>
      </w:r>
      <w:r>
        <w:t>财政预算是政府活动计划的一个反映，它体现了政府及其财政活动的范围、政府在特定时期所要实现的政策目标和政策手段。预算是对未来一定时期内收支安排的预测、计划。它作为一种管理工具，在日常生活乃至国家行政管理中被广泛采用。就财政而言，财政预算就是由政府编制、经立法机关审批、反映政府一个财政年度内的收支状况的计划。</w:t>
      </w:r>
    </w:p>
    <w:p>
      <w:pPr>
        <w:spacing w:after="0"/>
        <w:ind w:firstLine="640"/>
      </w:pPr>
      <w:r>
        <w:rPr>
          <w:rFonts w:ascii="方正黑体_GBK" w:hAnsi="方正黑体_GBK" w:eastAsia="方正黑体_GBK" w:cs="方正黑体_GBK"/>
        </w:rPr>
        <w:t>预算数：</w:t>
      </w:r>
      <w:r>
        <w:t>经人大批准的预算，执行中发生收支增减变化，由政府委托财政部门编制预算调整方案并报同级人大常委会审查批准。</w:t>
      </w:r>
      <w:r>
        <w:rPr>
          <w:rFonts w:cs="Times New Roman"/>
        </w:rPr>
        <w:t>2024</w:t>
      </w:r>
      <w:r>
        <w:t>年预算草案经区十四届人大</w:t>
      </w:r>
      <w:r>
        <w:rPr>
          <w:rFonts w:hint="eastAsia"/>
        </w:rPr>
        <w:t>四</w:t>
      </w:r>
      <w:r>
        <w:t>次会议审查批准后，</w:t>
      </w:r>
      <w:r>
        <w:rPr>
          <w:rFonts w:hint="eastAsia" w:cs="Times New Roman"/>
          <w:szCs w:val="32"/>
        </w:rPr>
        <w:t>由于新一轮债券分配政策出台，我区债务规模发变化，按照《预算法》相关规定</w:t>
      </w:r>
      <w:r>
        <w:t>编制预算调整方案，报区十四届人大常委会第</w:t>
      </w:r>
      <w:r>
        <w:rPr>
          <w:rFonts w:hint="eastAsia"/>
        </w:rPr>
        <w:t>二十一</w:t>
      </w:r>
      <w:r>
        <w:t>次会议审查批准。按照要求，报告中的</w:t>
      </w:r>
      <w:r>
        <w:rPr>
          <w:rFonts w:cs="Times New Roman"/>
        </w:rPr>
        <w:t>2024</w:t>
      </w:r>
      <w:r>
        <w:t>年预算数为调整预算数。</w:t>
      </w:r>
    </w:p>
    <w:p>
      <w:pPr>
        <w:spacing w:after="0"/>
        <w:ind w:firstLine="640"/>
      </w:pPr>
      <w:r>
        <w:rPr>
          <w:rFonts w:ascii="方正黑体_GBK" w:hAnsi="方正黑体_GBK" w:eastAsia="方正黑体_GBK" w:cs="方正黑体_GBK"/>
        </w:rPr>
        <w:t>三本预算：</w:t>
      </w:r>
      <w:r>
        <w:t>指一般公共预算、政府性基金预算和国有资本经营预算。</w:t>
      </w:r>
    </w:p>
    <w:p>
      <w:pPr>
        <w:spacing w:after="0"/>
        <w:ind w:firstLine="640"/>
      </w:pPr>
      <w:r>
        <w:rPr>
          <w:rFonts w:ascii="方正黑体_GBK" w:hAnsi="方正黑体_GBK" w:eastAsia="方正黑体_GBK" w:cs="方正黑体_GBK"/>
        </w:rPr>
        <w:t>一般公共预算：</w:t>
      </w:r>
      <w:r>
        <w:t>指政府凭借国家政治权力，以社会管理者身份筹集以税收为主体的财政收入，用于保障和改善民生、维持国家行政职能正常运转、保障国家安全等方面的收支预算。</w:t>
      </w:r>
    </w:p>
    <w:p>
      <w:pPr>
        <w:spacing w:after="0"/>
        <w:ind w:firstLine="640"/>
      </w:pPr>
      <w:r>
        <w:rPr>
          <w:rFonts w:ascii="方正黑体_GBK" w:hAnsi="方正黑体_GBK" w:eastAsia="方正黑体_GBK" w:cs="方正黑体_GBK"/>
        </w:rPr>
        <w:t>政府性基金预算：</w:t>
      </w:r>
      <w:r>
        <w:t>指国家通过向社会征收以及出让土地、发行彩票等方式取得收入，并专项用于支持特定基础设施建设和社会事业发展的财政收支预算，是政府预算体系的重要组成部分。</w:t>
      </w:r>
    </w:p>
    <w:p>
      <w:pPr>
        <w:spacing w:after="0"/>
        <w:ind w:firstLine="640"/>
      </w:pPr>
      <w:r>
        <w:rPr>
          <w:rFonts w:ascii="方正黑体_GBK" w:hAnsi="方正黑体_GBK" w:eastAsia="方正黑体_GBK" w:cs="方正黑体_GBK"/>
        </w:rPr>
        <w:t>国有资本经营预算：</w:t>
      </w:r>
      <w:r>
        <w:t>指国家以所有者身份对国有资本实行存量调整和增量分配而发生的各项收支预算，是政府预算体系的重要组成部分。</w:t>
      </w:r>
    </w:p>
    <w:p>
      <w:pPr>
        <w:spacing w:after="0"/>
        <w:ind w:firstLine="640"/>
      </w:pPr>
      <w:r>
        <w:rPr>
          <w:rFonts w:ascii="方正黑体_GBK" w:hAnsi="方正黑体_GBK" w:eastAsia="方正黑体_GBK" w:cs="方正黑体_GBK"/>
        </w:rPr>
        <w:t>预算稳定调节基金：</w:t>
      </w:r>
      <w:r>
        <w:t>指财政通过超收收入和支出预算结余安排的具有储备性质的基金，视预算平衡情况，在安排下年度预算时调入并安排使用，或用于弥补短收年份预算执行的收支缺口，基金的安排使用接受同级人大及其常委会的监督。</w:t>
      </w:r>
    </w:p>
    <w:p>
      <w:pPr>
        <w:spacing w:after="0"/>
        <w:ind w:firstLine="640"/>
      </w:pPr>
      <w:r>
        <w:rPr>
          <w:rFonts w:ascii="方正黑体_GBK" w:hAnsi="方正黑体_GBK" w:eastAsia="方正黑体_GBK" w:cs="方正黑体_GBK"/>
        </w:rPr>
        <w:t>零基预算</w:t>
      </w:r>
      <w:r>
        <w:rPr>
          <w:rFonts w:hint="eastAsia" w:ascii="方正黑体_GBK" w:hAnsi="方正黑体_GBK" w:eastAsia="方正黑体_GBK" w:cs="方正黑体_GBK"/>
        </w:rPr>
        <w:t>：</w:t>
      </w:r>
      <w:r>
        <w:t>指不受以往预算安排情况的影响，一切从实际需要出发，逐项审议</w:t>
      </w:r>
      <w:r>
        <w:fldChar w:fldCharType="begin"/>
      </w:r>
      <w:r>
        <w:instrText xml:space="preserve"> HYPERLINK "https://baike.baidu.com/item/%E9%A2%84%E7%AE%97%E5%B9%B4%E5%BA%A6/10818295?fromModule=lemma_inlink" \t "_blank" </w:instrText>
      </w:r>
      <w:r>
        <w:fldChar w:fldCharType="separate"/>
      </w:r>
      <w:r>
        <w:t>预算年度</w:t>
      </w:r>
      <w:r>
        <w:fldChar w:fldCharType="end"/>
      </w:r>
      <w:r>
        <w:t>内各项费用的内容及其开支标准，结合财力状况，在综合平衡的基础上编制预算的一种科学的现代</w:t>
      </w:r>
      <w:r>
        <w:fldChar w:fldCharType="begin"/>
      </w:r>
      <w:r>
        <w:instrText xml:space="preserve"> HYPERLINK "https://baike.baidu.com/item/%E9%A2%84%E7%AE%97%E7%BC%96%E5%88%B6/9662830?fromModule=lemma_inlink" \t "_blank" </w:instrText>
      </w:r>
      <w:r>
        <w:fldChar w:fldCharType="separate"/>
      </w:r>
      <w:r>
        <w:t>预算编制</w:t>
      </w:r>
      <w:r>
        <w:fldChar w:fldCharType="end"/>
      </w:r>
      <w:r>
        <w:t>方法。</w:t>
      </w:r>
    </w:p>
    <w:p>
      <w:pPr>
        <w:spacing w:after="0"/>
        <w:ind w:firstLine="640"/>
      </w:pPr>
      <w:r>
        <w:rPr>
          <w:rFonts w:ascii="方正黑体_GBK" w:hAnsi="方正黑体_GBK" w:eastAsia="方正黑体_GBK" w:cs="方正黑体_GBK"/>
        </w:rPr>
        <w:t>非税收入：</w:t>
      </w:r>
      <w:r>
        <w:t>指除税收以外，由各级政府、国家机关、事业单位、代行政府职能的社会团体及其他组织依法利用政府权力、政府信誉、国家资源、国有资产或提供特定公共服务、准公共服务取得用于满足社会公共需要或准公共需要的财政性资金。</w:t>
      </w:r>
    </w:p>
    <w:p>
      <w:pPr>
        <w:spacing w:after="0"/>
        <w:ind w:firstLine="640"/>
      </w:pPr>
      <w:r>
        <w:rPr>
          <w:rFonts w:ascii="方正黑体_GBK" w:hAnsi="方正黑体_GBK" w:eastAsia="方正黑体_GBK" w:cs="方正黑体_GBK"/>
        </w:rPr>
        <w:t>上级补助收入：</w:t>
      </w:r>
      <w:r>
        <w:t>指上级财政按照有关法律法规、财政体制和政策规定，给予下级财政的补助资金，主要包括返还性收入、一般性转移支付收入、专项转移支付收入。</w:t>
      </w:r>
    </w:p>
    <w:p>
      <w:pPr>
        <w:spacing w:after="0"/>
        <w:ind w:firstLine="640"/>
      </w:pPr>
      <w:r>
        <w:rPr>
          <w:rFonts w:ascii="方正黑体_GBK" w:hAnsi="方正黑体_GBK" w:eastAsia="方正黑体_GBK" w:cs="方正黑体_GBK"/>
        </w:rPr>
        <w:t>上解支出：</w:t>
      </w:r>
      <w:r>
        <w:t>指下级财政按照有关法律法规、财政体制和政策规定，上解上级财政的支出，主要包括体制上解支出和专项上解支出。</w:t>
      </w:r>
    </w:p>
    <w:p>
      <w:pPr>
        <w:spacing w:after="0"/>
        <w:ind w:firstLine="640"/>
      </w:pPr>
      <w:r>
        <w:rPr>
          <w:rFonts w:ascii="方正黑体_GBK" w:hAnsi="方正黑体_GBK" w:eastAsia="方正黑体_GBK" w:cs="方正黑体_GBK"/>
        </w:rPr>
        <w:t>财政预算绩效评价：</w:t>
      </w:r>
      <w:r>
        <w:t>指财政部门和预算部门（单位）根据设定的绩效目标，运用科学、合理的绩效评价指标、评价标准和评价方法，对财政支出的经济性、效率性和效益性进行客观、公正的评价。财政预算绩效评价是市场经济条件下现代财政科学管理的重要手段，建立和健全财政支出的追踪问效和问责制度，对提高财政资金的规范高效运作程度、增加财政资金的使用效果和效益、促进政府财力的可持续发展以及有效转变政府职能等都具有重大意义。</w:t>
      </w:r>
    </w:p>
    <w:p>
      <w:pPr>
        <w:spacing w:after="0"/>
        <w:ind w:firstLine="640"/>
      </w:pPr>
      <w:r>
        <w:rPr>
          <w:rFonts w:ascii="方正黑体_GBK" w:hAnsi="方正黑体_GBK" w:eastAsia="方正黑体_GBK" w:cs="方正黑体_GBK"/>
        </w:rPr>
        <w:t>预算公开评审：</w:t>
      </w:r>
      <w:r>
        <w:t>指在年初预算编制过程中，采取成立评审组联合评审方式，对预算单位申报的项目支出预算进行评审论证，提出评审意见和建议的预算管理活动。评审组由区人大常委会专门机构、区审计局等监督部门、区财政局等专业部门有关人员组成，同时，邀请部分区人大代表、区政协委员、相关专家等人员参与。预算公开评审范围包括所有区级财力安排的项目支出。</w:t>
      </w:r>
    </w:p>
    <w:p>
      <w:pPr>
        <w:spacing w:after="0"/>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814" w:right="1446" w:bottom="1814" w:left="1446" w:header="851" w:footer="1134" w:gutter="0"/>
          <w:pgNumType w:fmt="decimal"/>
          <w:cols w:space="0" w:num="1"/>
          <w:docGrid w:type="lines" w:linePitch="435" w:charSpace="0"/>
        </w:sectPr>
      </w:pPr>
      <w:r>
        <w:rPr>
          <w:rFonts w:hint="eastAsia" w:ascii="方正仿宋_GBK" w:cs="Times New Roman"/>
        </w:rPr>
        <w:t>“</w:t>
      </w:r>
      <w:r>
        <w:rPr>
          <w:rFonts w:eastAsia="方正黑体_GBK" w:cs="Times New Roman"/>
        </w:rPr>
        <w:t>1+N</w:t>
      </w:r>
      <w:r>
        <w:rPr>
          <w:rFonts w:hint="eastAsia" w:ascii="方正仿宋_GBK" w:cs="Times New Roman"/>
        </w:rPr>
        <w:t>”</w:t>
      </w:r>
      <w:r>
        <w:rPr>
          <w:rFonts w:eastAsia="方正黑体_GBK" w:cs="Times New Roman"/>
        </w:rPr>
        <w:t>财会监督协作配合机制：</w:t>
      </w:r>
      <w:r>
        <w:t>为深入贯彻落实中共中央办公厅国务院办公厅《关于进一步加强财会监督工作的意见》。切实履行财会监督主责，推动各单位扎实落实好各项任务，维护中央政令畅通、规范财经秩序，大渡口区财政局与区纪委监委联合拟定《重庆市大渡口区</w:t>
      </w:r>
      <w:r>
        <w:rPr>
          <w:rFonts w:hint="eastAsia" w:ascii="方正仿宋_GBK"/>
        </w:rPr>
        <w:t>“</w:t>
      </w:r>
      <w:r>
        <w:rPr>
          <w:rFonts w:cs="Times New Roman"/>
        </w:rPr>
        <w:t>1</w:t>
      </w:r>
      <w:r>
        <w:t>+</w:t>
      </w:r>
      <w:r>
        <w:rPr>
          <w:rFonts w:cs="Times New Roman"/>
        </w:rPr>
        <w:t>N</w:t>
      </w:r>
      <w:r>
        <w:rPr>
          <w:rFonts w:hint="eastAsia" w:ascii="方正仿宋_GBK"/>
        </w:rPr>
        <w:t>”</w:t>
      </w:r>
      <w:r>
        <w:t>财会监督协作配合机制》（渡财发〔</w:t>
      </w:r>
      <w:r>
        <w:rPr>
          <w:rFonts w:cs="Times New Roman"/>
        </w:rPr>
        <w:t>2023</w:t>
      </w:r>
      <w:r>
        <w:t>〕</w:t>
      </w:r>
      <w:r>
        <w:rPr>
          <w:rFonts w:cs="Times New Roman"/>
        </w:rPr>
        <w:t>58</w:t>
      </w:r>
      <w:r>
        <w:t>号），区纪委监委、区财政局作为主体，除相互建立协作机制外，根据工作需要，可与区人大、区政协、区委巡察办、区委政法委、区审计局、区统计局、区信访办等任何一个单位建立协作机制（即子机制），构建全方位财会监督体系。</w:t>
      </w:r>
    </w:p>
    <w:p>
      <w:pPr>
        <w:pStyle w:val="2"/>
        <w:spacing w:after="0" w:line="240" w:lineRule="auto"/>
        <w:ind w:left="0" w:leftChars="0" w:firstLine="0" w:firstLineChars="0"/>
        <w:rPr>
          <w:rFonts w:ascii="Calibri" w:hAnsi="Calibri" w:eastAsia="宋体" w:cs="Times New Roman"/>
          <w:sz w:val="21"/>
          <w:szCs w:val="24"/>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525"/>
        </w:tabs>
        <w:bidi w:val="0"/>
        <w:ind w:left="0" w:leftChars="0" w:firstLine="0" w:firstLineChars="0"/>
        <w:jc w:val="left"/>
        <w:rPr>
          <w:rFonts w:hint="eastAsia" w:eastAsia="方正仿宋_GBK"/>
          <w:lang w:eastAsia="zh-CN"/>
        </w:rPr>
      </w:pPr>
    </w:p>
    <w:sectPr>
      <w:footerReference r:id="rId11" w:type="default"/>
      <w:footerReference r:id="rId12" w:type="even"/>
      <w:pgSz w:w="11906" w:h="16838"/>
      <w:pgMar w:top="1814" w:right="1446" w:bottom="1814" w:left="1446" w:header="851" w:footer="1134" w:gutter="0"/>
      <w:pgNumType w:fmt="decimal"/>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FZFSK--GBK1-0">
    <w:altName w:val="Times New Roman"/>
    <w:panose1 w:val="00000000000000000000"/>
    <w:charset w:val="00"/>
    <w:family w:val="roman"/>
    <w:pitch w:val="default"/>
    <w:sig w:usb0="00000000" w:usb1="00000000" w:usb2="00000000" w:usb3="00000000" w:csb0="00040001" w:csb1="00000000"/>
  </w:font>
  <w:font w:name="E-BZ">
    <w:altName w:val="Arial"/>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1Times New Roman">
    <w:altName w:val="Times New Roman"/>
    <w:panose1 w:val="00000000000000000000"/>
    <w:charset w:val="00"/>
    <w:family w:val="auto"/>
    <w:pitch w:val="default"/>
    <w:sig w:usb0="00000000" w:usb1="00000000" w:usb2="00000008" w:usb3="00000000" w:csb0="400001FF" w:csb1="FFFF0000"/>
  </w:font>
  <w:font w:name="___WRD_EMBED_SUB_52">
    <w:altName w:val="宋体"/>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0" w:line="240" w:lineRule="auto"/>
      <w:ind w:firstLine="5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hAnsi="宋体" w:eastAsia="宋体"/>
                              <w:sz w:val="28"/>
                              <w:szCs w:val="28"/>
                            </w:rPr>
                            <w:id w:val="726879701"/>
                          </w:sdtPr>
                          <w:sdtEndPr>
                            <w:rPr>
                              <w:rFonts w:ascii="宋体" w:hAnsi="宋体" w:eastAsia="宋体"/>
                              <w:sz w:val="28"/>
                              <w:szCs w:val="28"/>
                            </w:rPr>
                          </w:sdtEndPr>
                          <w:sdtContent>
                            <w:p>
                              <w:pPr>
                                <w:pStyle w:val="11"/>
                                <w:spacing w:after="0" w:line="240" w:lineRule="auto"/>
                                <w:ind w:firstLine="560"/>
                                <w:jc w:val="right"/>
                                <w:rPr>
                                  <w:rFonts w:ascii="宋体" w:hAnsi="宋体" w:eastAsia="宋体"/>
                                  <w:sz w:val="28"/>
                                  <w:szCs w:val="28"/>
                                </w:rPr>
                              </w:pPr>
                              <w:r>
                                <w:rPr>
                                  <w:rFonts w:ascii="宋体" w:hAnsi="宋体" w:eastAsia="宋体" w:cs="Times New Roman"/>
                                  <w:sz w:val="28"/>
                                  <w:szCs w:val="28"/>
                                  <w:lang w:bidi="ar"/>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25</w:t>
                              </w:r>
                              <w:r>
                                <w:rPr>
                                  <w:rFonts w:ascii="宋体" w:hAnsi="宋体" w:eastAsia="宋体"/>
                                  <w:sz w:val="28"/>
                                  <w:szCs w:val="28"/>
                                </w:rPr>
                                <w:fldChar w:fldCharType="end"/>
                              </w:r>
                              <w:r>
                                <w:rPr>
                                  <w:rFonts w:ascii="宋体" w:hAnsi="宋体" w:eastAsia="宋体"/>
                                  <w:sz w:val="28"/>
                                  <w:szCs w:val="28"/>
                                </w:rPr>
                                <w:t xml:space="preserve"> </w:t>
                              </w:r>
                              <w:r>
                                <w:rPr>
                                  <w:rFonts w:ascii="宋体" w:hAnsi="宋体" w:eastAsia="宋体" w:cs="Times New Roman"/>
                                  <w:sz w:val="28"/>
                                  <w:szCs w:val="28"/>
                                  <w:lang w:bidi="ar"/>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sdt>
                    <w:sdtPr>
                      <w:rPr>
                        <w:rFonts w:ascii="宋体" w:hAnsi="宋体" w:eastAsia="宋体"/>
                        <w:sz w:val="28"/>
                        <w:szCs w:val="28"/>
                      </w:rPr>
                      <w:id w:val="726879701"/>
                    </w:sdtPr>
                    <w:sdtEndPr>
                      <w:rPr>
                        <w:rFonts w:ascii="宋体" w:hAnsi="宋体" w:eastAsia="宋体"/>
                        <w:sz w:val="28"/>
                        <w:szCs w:val="28"/>
                      </w:rPr>
                    </w:sdtEndPr>
                    <w:sdtContent>
                      <w:p>
                        <w:pPr>
                          <w:pStyle w:val="11"/>
                          <w:spacing w:after="0" w:line="240" w:lineRule="auto"/>
                          <w:ind w:firstLine="560"/>
                          <w:jc w:val="right"/>
                          <w:rPr>
                            <w:rFonts w:ascii="宋体" w:hAnsi="宋体" w:eastAsia="宋体"/>
                            <w:sz w:val="28"/>
                            <w:szCs w:val="28"/>
                          </w:rPr>
                        </w:pPr>
                        <w:r>
                          <w:rPr>
                            <w:rFonts w:ascii="宋体" w:hAnsi="宋体" w:eastAsia="宋体" w:cs="Times New Roman"/>
                            <w:sz w:val="28"/>
                            <w:szCs w:val="28"/>
                            <w:lang w:bidi="ar"/>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25</w:t>
                        </w:r>
                        <w:r>
                          <w:rPr>
                            <w:rFonts w:ascii="宋体" w:hAnsi="宋体" w:eastAsia="宋体"/>
                            <w:sz w:val="28"/>
                            <w:szCs w:val="28"/>
                          </w:rPr>
                          <w:fldChar w:fldCharType="end"/>
                        </w:r>
                        <w:r>
                          <w:rPr>
                            <w:rFonts w:ascii="宋体" w:hAnsi="宋体" w:eastAsia="宋体"/>
                            <w:sz w:val="28"/>
                            <w:szCs w:val="28"/>
                          </w:rPr>
                          <w:t xml:space="preserve"> </w:t>
                        </w:r>
                        <w:r>
                          <w:rPr>
                            <w:rFonts w:ascii="宋体" w:hAnsi="宋体" w:eastAsia="宋体" w:cs="Times New Roman"/>
                            <w:sz w:val="28"/>
                            <w:szCs w:val="28"/>
                            <w:lang w:bidi="ar"/>
                          </w:rPr>
                          <w:t>—</w:t>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0" w:line="240" w:lineRule="auto"/>
      <w:ind w:firstLine="0" w:firstLineChars="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spacing w:after="0" w:line="240" w:lineRule="auto"/>
                            <w:ind w:firstLine="0" w:firstLineChars="0"/>
                          </w:pPr>
                          <w:r>
                            <w:rPr>
                              <w:rFonts w:ascii="宋体" w:hAnsi="宋体" w:eastAsia="宋体" w:cs="Times New Roman"/>
                              <w:sz w:val="28"/>
                              <w:szCs w:val="28"/>
                              <w:lang w:bidi="ar"/>
                            </w:rPr>
                            <w:t xml:space="preserve">— </w:t>
                          </w:r>
                          <w:sdt>
                            <w:sdtPr>
                              <w:rPr>
                                <w:rFonts w:ascii="宋体" w:hAnsi="宋体" w:eastAsia="宋体"/>
                                <w:sz w:val="28"/>
                                <w:szCs w:val="28"/>
                              </w:rPr>
                              <w:id w:val="-1"/>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26</w:t>
                              </w:r>
                              <w:r>
                                <w:rPr>
                                  <w:rFonts w:ascii="宋体" w:hAnsi="宋体" w:eastAsia="宋体"/>
                                  <w:sz w:val="28"/>
                                  <w:szCs w:val="28"/>
                                </w:rPr>
                                <w:fldChar w:fldCharType="end"/>
                              </w:r>
                              <w:r>
                                <w:rPr>
                                  <w:rFonts w:ascii="宋体" w:hAnsi="宋体" w:eastAsia="宋体"/>
                                  <w:sz w:val="28"/>
                                  <w:szCs w:val="28"/>
                                </w:rPr>
                                <w:t xml:space="preserve"> </w:t>
                              </w:r>
                              <w:r>
                                <w:rPr>
                                  <w:rFonts w:ascii="宋体" w:hAnsi="宋体" w:eastAsia="宋体" w:cs="Times New Roman"/>
                                  <w:sz w:val="28"/>
                                  <w:szCs w:val="28"/>
                                  <w:lang w:bidi="ar"/>
                                </w:rPr>
                                <w:t>—</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1"/>
                      <w:spacing w:after="0" w:line="240" w:lineRule="auto"/>
                      <w:ind w:firstLine="0" w:firstLineChars="0"/>
                    </w:pPr>
                    <w:r>
                      <w:rPr>
                        <w:rFonts w:ascii="宋体" w:hAnsi="宋体" w:eastAsia="宋体" w:cs="Times New Roman"/>
                        <w:sz w:val="28"/>
                        <w:szCs w:val="28"/>
                        <w:lang w:bidi="ar"/>
                      </w:rPr>
                      <w:t xml:space="preserve">— </w:t>
                    </w:r>
                    <w:sdt>
                      <w:sdtPr>
                        <w:rPr>
                          <w:rFonts w:ascii="宋体" w:hAnsi="宋体" w:eastAsia="宋体"/>
                          <w:sz w:val="28"/>
                          <w:szCs w:val="28"/>
                        </w:rPr>
                        <w:id w:val="-1"/>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26</w:t>
                        </w:r>
                        <w:r>
                          <w:rPr>
                            <w:rFonts w:ascii="宋体" w:hAnsi="宋体" w:eastAsia="宋体"/>
                            <w:sz w:val="28"/>
                            <w:szCs w:val="28"/>
                          </w:rPr>
                          <w:fldChar w:fldCharType="end"/>
                        </w:r>
                        <w:r>
                          <w:rPr>
                            <w:rFonts w:ascii="宋体" w:hAnsi="宋体" w:eastAsia="宋体"/>
                            <w:sz w:val="28"/>
                            <w:szCs w:val="28"/>
                          </w:rPr>
                          <w:t xml:space="preserve"> </w:t>
                        </w:r>
                        <w:r>
                          <w:rPr>
                            <w:rFonts w:ascii="宋体" w:hAnsi="宋体" w:eastAsia="宋体" w:cs="Times New Roman"/>
                            <w:sz w:val="28"/>
                            <w:szCs w:val="28"/>
                            <w:lang w:bidi="ar"/>
                          </w:rPr>
                          <w:t>—</w:t>
                        </w:r>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0" w:line="240" w:lineRule="auto"/>
      <w:ind w:firstLine="560"/>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0" w:line="240" w:lineRule="auto"/>
      <w:ind w:firstLine="0" w:firstLineChars="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1"/>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A484F"/>
    <w:multiLevelType w:val="singleLevel"/>
    <w:tmpl w:val="97FA48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2Y2U0ZDczNWU4YTk3NDY1MDRmMzg5MWM2ZTIzZjIifQ=="/>
  </w:docVars>
  <w:rsids>
    <w:rsidRoot w:val="00AD48AC"/>
    <w:rsid w:val="0000773E"/>
    <w:rsid w:val="00023B5E"/>
    <w:rsid w:val="00055E9C"/>
    <w:rsid w:val="00067B16"/>
    <w:rsid w:val="00071371"/>
    <w:rsid w:val="000A1312"/>
    <w:rsid w:val="000A5B69"/>
    <w:rsid w:val="0014555B"/>
    <w:rsid w:val="00217B86"/>
    <w:rsid w:val="0027566A"/>
    <w:rsid w:val="002D3A42"/>
    <w:rsid w:val="002F5BAB"/>
    <w:rsid w:val="002F7AAA"/>
    <w:rsid w:val="0031603E"/>
    <w:rsid w:val="00341D4C"/>
    <w:rsid w:val="00345EF5"/>
    <w:rsid w:val="00390385"/>
    <w:rsid w:val="00392C14"/>
    <w:rsid w:val="003A226B"/>
    <w:rsid w:val="003D192D"/>
    <w:rsid w:val="003F1AF7"/>
    <w:rsid w:val="004527FE"/>
    <w:rsid w:val="00461133"/>
    <w:rsid w:val="004C7B4A"/>
    <w:rsid w:val="00500C23"/>
    <w:rsid w:val="00517C12"/>
    <w:rsid w:val="0052041B"/>
    <w:rsid w:val="005462A4"/>
    <w:rsid w:val="005A56ED"/>
    <w:rsid w:val="005B6D97"/>
    <w:rsid w:val="005D6592"/>
    <w:rsid w:val="006043DD"/>
    <w:rsid w:val="00621131"/>
    <w:rsid w:val="0064140C"/>
    <w:rsid w:val="00666AAC"/>
    <w:rsid w:val="00672676"/>
    <w:rsid w:val="006B2B0A"/>
    <w:rsid w:val="00714F91"/>
    <w:rsid w:val="00741CE6"/>
    <w:rsid w:val="007760FB"/>
    <w:rsid w:val="007B310B"/>
    <w:rsid w:val="007D0C37"/>
    <w:rsid w:val="007D64D5"/>
    <w:rsid w:val="007E5F80"/>
    <w:rsid w:val="0080232D"/>
    <w:rsid w:val="00802E77"/>
    <w:rsid w:val="0081045C"/>
    <w:rsid w:val="00873AE8"/>
    <w:rsid w:val="00875F51"/>
    <w:rsid w:val="008B6899"/>
    <w:rsid w:val="008F3F07"/>
    <w:rsid w:val="009266F5"/>
    <w:rsid w:val="00935C90"/>
    <w:rsid w:val="00965819"/>
    <w:rsid w:val="009B6100"/>
    <w:rsid w:val="009C2E2B"/>
    <w:rsid w:val="00A30E2D"/>
    <w:rsid w:val="00A47AFE"/>
    <w:rsid w:val="00A94E4D"/>
    <w:rsid w:val="00AA2080"/>
    <w:rsid w:val="00AB70DE"/>
    <w:rsid w:val="00AD48AC"/>
    <w:rsid w:val="00B03A91"/>
    <w:rsid w:val="00B364F8"/>
    <w:rsid w:val="00B558E0"/>
    <w:rsid w:val="00B76E8A"/>
    <w:rsid w:val="00B774B0"/>
    <w:rsid w:val="00B869A5"/>
    <w:rsid w:val="00B87A40"/>
    <w:rsid w:val="00B948BF"/>
    <w:rsid w:val="00BB3A85"/>
    <w:rsid w:val="00BF3E31"/>
    <w:rsid w:val="00BF5D7D"/>
    <w:rsid w:val="00C07B77"/>
    <w:rsid w:val="00C14F13"/>
    <w:rsid w:val="00C51B47"/>
    <w:rsid w:val="00CC7DF3"/>
    <w:rsid w:val="00DA1325"/>
    <w:rsid w:val="00DA244B"/>
    <w:rsid w:val="00DA35BF"/>
    <w:rsid w:val="00DB25FF"/>
    <w:rsid w:val="00DC6566"/>
    <w:rsid w:val="00DE0EE0"/>
    <w:rsid w:val="00DF377B"/>
    <w:rsid w:val="00E038AD"/>
    <w:rsid w:val="00E134AD"/>
    <w:rsid w:val="00E16F6D"/>
    <w:rsid w:val="00E17B49"/>
    <w:rsid w:val="00E24956"/>
    <w:rsid w:val="00E876BB"/>
    <w:rsid w:val="00EB73CC"/>
    <w:rsid w:val="00ED182D"/>
    <w:rsid w:val="00ED51C7"/>
    <w:rsid w:val="00EE1D64"/>
    <w:rsid w:val="00F77BE7"/>
    <w:rsid w:val="00FC4379"/>
    <w:rsid w:val="00FD17D4"/>
    <w:rsid w:val="00FD6AB7"/>
    <w:rsid w:val="01006013"/>
    <w:rsid w:val="014E489A"/>
    <w:rsid w:val="01922CF6"/>
    <w:rsid w:val="01A0106F"/>
    <w:rsid w:val="01BE76B4"/>
    <w:rsid w:val="01C34939"/>
    <w:rsid w:val="01C568F5"/>
    <w:rsid w:val="01C8359E"/>
    <w:rsid w:val="01DB0BBC"/>
    <w:rsid w:val="01E255CF"/>
    <w:rsid w:val="01F23B15"/>
    <w:rsid w:val="0203350F"/>
    <w:rsid w:val="02176081"/>
    <w:rsid w:val="021B0292"/>
    <w:rsid w:val="022C4EFD"/>
    <w:rsid w:val="02380E83"/>
    <w:rsid w:val="0263033E"/>
    <w:rsid w:val="02706BB8"/>
    <w:rsid w:val="0270791B"/>
    <w:rsid w:val="027F4EC7"/>
    <w:rsid w:val="02830579"/>
    <w:rsid w:val="028B41AB"/>
    <w:rsid w:val="02902431"/>
    <w:rsid w:val="02A5306C"/>
    <w:rsid w:val="02C14837"/>
    <w:rsid w:val="02C22E67"/>
    <w:rsid w:val="02C509C8"/>
    <w:rsid w:val="02F4546D"/>
    <w:rsid w:val="02FE3E7B"/>
    <w:rsid w:val="030E04F5"/>
    <w:rsid w:val="03113449"/>
    <w:rsid w:val="031A4A2D"/>
    <w:rsid w:val="031A6C3F"/>
    <w:rsid w:val="03286A27"/>
    <w:rsid w:val="034026E5"/>
    <w:rsid w:val="034269D4"/>
    <w:rsid w:val="03634320"/>
    <w:rsid w:val="036A11C3"/>
    <w:rsid w:val="036A6130"/>
    <w:rsid w:val="038F71C9"/>
    <w:rsid w:val="03AE6B94"/>
    <w:rsid w:val="03B67F49"/>
    <w:rsid w:val="03BE7AAE"/>
    <w:rsid w:val="03C93050"/>
    <w:rsid w:val="03DC7377"/>
    <w:rsid w:val="03E405DE"/>
    <w:rsid w:val="040974B9"/>
    <w:rsid w:val="043124DA"/>
    <w:rsid w:val="04347DD5"/>
    <w:rsid w:val="04412ACB"/>
    <w:rsid w:val="04564891"/>
    <w:rsid w:val="04581CB1"/>
    <w:rsid w:val="04664992"/>
    <w:rsid w:val="04773870"/>
    <w:rsid w:val="047D4412"/>
    <w:rsid w:val="047F1D53"/>
    <w:rsid w:val="04997407"/>
    <w:rsid w:val="04B13ACF"/>
    <w:rsid w:val="04CA3380"/>
    <w:rsid w:val="04CF4B5A"/>
    <w:rsid w:val="04E02086"/>
    <w:rsid w:val="04EB4DE3"/>
    <w:rsid w:val="04FA70D7"/>
    <w:rsid w:val="04FF66FE"/>
    <w:rsid w:val="0508755C"/>
    <w:rsid w:val="050D4050"/>
    <w:rsid w:val="05272BF5"/>
    <w:rsid w:val="053075E9"/>
    <w:rsid w:val="0535606F"/>
    <w:rsid w:val="053710BA"/>
    <w:rsid w:val="0539061F"/>
    <w:rsid w:val="053967A4"/>
    <w:rsid w:val="054C48B1"/>
    <w:rsid w:val="05A33A8B"/>
    <w:rsid w:val="05A750DF"/>
    <w:rsid w:val="05AE2A11"/>
    <w:rsid w:val="05B3149A"/>
    <w:rsid w:val="05BC2835"/>
    <w:rsid w:val="05BD1F9E"/>
    <w:rsid w:val="05D22059"/>
    <w:rsid w:val="05E7509A"/>
    <w:rsid w:val="05EB7BA4"/>
    <w:rsid w:val="05F3AA23"/>
    <w:rsid w:val="05FD088C"/>
    <w:rsid w:val="05FD4A1E"/>
    <w:rsid w:val="061A29D1"/>
    <w:rsid w:val="064A17BB"/>
    <w:rsid w:val="064D274A"/>
    <w:rsid w:val="065B5AB5"/>
    <w:rsid w:val="065D710A"/>
    <w:rsid w:val="066071A8"/>
    <w:rsid w:val="066C4A14"/>
    <w:rsid w:val="068034B9"/>
    <w:rsid w:val="06862E5E"/>
    <w:rsid w:val="06922D52"/>
    <w:rsid w:val="069465E7"/>
    <w:rsid w:val="06967C92"/>
    <w:rsid w:val="06A109D4"/>
    <w:rsid w:val="06B1754A"/>
    <w:rsid w:val="06F159F8"/>
    <w:rsid w:val="071A478A"/>
    <w:rsid w:val="071E0F8F"/>
    <w:rsid w:val="072670D1"/>
    <w:rsid w:val="073C28D6"/>
    <w:rsid w:val="074A11F7"/>
    <w:rsid w:val="0752173A"/>
    <w:rsid w:val="07771EA8"/>
    <w:rsid w:val="07824D5A"/>
    <w:rsid w:val="07866368"/>
    <w:rsid w:val="0791605A"/>
    <w:rsid w:val="079923C4"/>
    <w:rsid w:val="07AF5AE8"/>
    <w:rsid w:val="07AF695B"/>
    <w:rsid w:val="07BC2FE1"/>
    <w:rsid w:val="07CC56E3"/>
    <w:rsid w:val="07CD6512"/>
    <w:rsid w:val="07CF2B2E"/>
    <w:rsid w:val="07D07D97"/>
    <w:rsid w:val="07D72153"/>
    <w:rsid w:val="07E00AE6"/>
    <w:rsid w:val="07EF3C34"/>
    <w:rsid w:val="080E31F7"/>
    <w:rsid w:val="081E3231"/>
    <w:rsid w:val="081F41A4"/>
    <w:rsid w:val="08202D73"/>
    <w:rsid w:val="083206F1"/>
    <w:rsid w:val="084367D4"/>
    <w:rsid w:val="084C6104"/>
    <w:rsid w:val="084D4F86"/>
    <w:rsid w:val="085922ED"/>
    <w:rsid w:val="086749B7"/>
    <w:rsid w:val="0873372A"/>
    <w:rsid w:val="0884682C"/>
    <w:rsid w:val="0887061A"/>
    <w:rsid w:val="0893591F"/>
    <w:rsid w:val="0895087F"/>
    <w:rsid w:val="089814B8"/>
    <w:rsid w:val="08984EB5"/>
    <w:rsid w:val="08A073B6"/>
    <w:rsid w:val="08B55388"/>
    <w:rsid w:val="08B95E86"/>
    <w:rsid w:val="08BA42CA"/>
    <w:rsid w:val="08E23118"/>
    <w:rsid w:val="09025217"/>
    <w:rsid w:val="093C031A"/>
    <w:rsid w:val="096C0417"/>
    <w:rsid w:val="096D4D17"/>
    <w:rsid w:val="09796227"/>
    <w:rsid w:val="098C7F03"/>
    <w:rsid w:val="099070EB"/>
    <w:rsid w:val="0994694C"/>
    <w:rsid w:val="09A6429E"/>
    <w:rsid w:val="09B2449F"/>
    <w:rsid w:val="09B47989"/>
    <w:rsid w:val="09BB2179"/>
    <w:rsid w:val="09DD5418"/>
    <w:rsid w:val="09F73A65"/>
    <w:rsid w:val="09FE5583"/>
    <w:rsid w:val="0A063D35"/>
    <w:rsid w:val="0A16109C"/>
    <w:rsid w:val="0A200A27"/>
    <w:rsid w:val="0A27682A"/>
    <w:rsid w:val="0A331A7F"/>
    <w:rsid w:val="0A34702F"/>
    <w:rsid w:val="0A3B2546"/>
    <w:rsid w:val="0A485715"/>
    <w:rsid w:val="0A5B23B0"/>
    <w:rsid w:val="0A5C592B"/>
    <w:rsid w:val="0A5E1724"/>
    <w:rsid w:val="0A662E70"/>
    <w:rsid w:val="0A856C30"/>
    <w:rsid w:val="0A864CD4"/>
    <w:rsid w:val="0A8C7B7E"/>
    <w:rsid w:val="0AA33182"/>
    <w:rsid w:val="0AA82365"/>
    <w:rsid w:val="0AAB4536"/>
    <w:rsid w:val="0ABD286A"/>
    <w:rsid w:val="0AD33E25"/>
    <w:rsid w:val="0AE001D0"/>
    <w:rsid w:val="0AED6071"/>
    <w:rsid w:val="0B0034C3"/>
    <w:rsid w:val="0B0D5690"/>
    <w:rsid w:val="0B310A42"/>
    <w:rsid w:val="0B316DB7"/>
    <w:rsid w:val="0B564018"/>
    <w:rsid w:val="0B567D97"/>
    <w:rsid w:val="0B6151C6"/>
    <w:rsid w:val="0B7A65B0"/>
    <w:rsid w:val="0B845845"/>
    <w:rsid w:val="0B9368AE"/>
    <w:rsid w:val="0B986E2C"/>
    <w:rsid w:val="0BA22ECC"/>
    <w:rsid w:val="0BA930FF"/>
    <w:rsid w:val="0BB62CDB"/>
    <w:rsid w:val="0BC87F5F"/>
    <w:rsid w:val="0BD72C69"/>
    <w:rsid w:val="0BFF6152"/>
    <w:rsid w:val="0C21751C"/>
    <w:rsid w:val="0C376214"/>
    <w:rsid w:val="0C392856"/>
    <w:rsid w:val="0C4C7EB9"/>
    <w:rsid w:val="0C721BC9"/>
    <w:rsid w:val="0C76741A"/>
    <w:rsid w:val="0C794328"/>
    <w:rsid w:val="0C9504DB"/>
    <w:rsid w:val="0C95349C"/>
    <w:rsid w:val="0CA00EDB"/>
    <w:rsid w:val="0CA529A8"/>
    <w:rsid w:val="0CB40AE9"/>
    <w:rsid w:val="0CB77B7F"/>
    <w:rsid w:val="0CC5785D"/>
    <w:rsid w:val="0CCD3E37"/>
    <w:rsid w:val="0D0620C2"/>
    <w:rsid w:val="0D1654E7"/>
    <w:rsid w:val="0D4E4864"/>
    <w:rsid w:val="0D5C3123"/>
    <w:rsid w:val="0D78734C"/>
    <w:rsid w:val="0D956F4B"/>
    <w:rsid w:val="0DD016A8"/>
    <w:rsid w:val="0DD22341"/>
    <w:rsid w:val="0DEC6642"/>
    <w:rsid w:val="0E2D253A"/>
    <w:rsid w:val="0E3850A3"/>
    <w:rsid w:val="0E424BB9"/>
    <w:rsid w:val="0E7246FE"/>
    <w:rsid w:val="0E814CBC"/>
    <w:rsid w:val="0E854224"/>
    <w:rsid w:val="0E871FE4"/>
    <w:rsid w:val="0E89753D"/>
    <w:rsid w:val="0E912068"/>
    <w:rsid w:val="0EA555F2"/>
    <w:rsid w:val="0EA8087A"/>
    <w:rsid w:val="0EB33970"/>
    <w:rsid w:val="0EBC238B"/>
    <w:rsid w:val="0EC3241C"/>
    <w:rsid w:val="0ED41111"/>
    <w:rsid w:val="0EDF7237"/>
    <w:rsid w:val="0EF24821"/>
    <w:rsid w:val="0F207E36"/>
    <w:rsid w:val="0F293F61"/>
    <w:rsid w:val="0F3F5FF6"/>
    <w:rsid w:val="0F40352A"/>
    <w:rsid w:val="0F4378BC"/>
    <w:rsid w:val="0F641785"/>
    <w:rsid w:val="0F885B0A"/>
    <w:rsid w:val="0FA552EC"/>
    <w:rsid w:val="0FAC0D64"/>
    <w:rsid w:val="0FB36757"/>
    <w:rsid w:val="0FB44D0A"/>
    <w:rsid w:val="0FB51AC1"/>
    <w:rsid w:val="0FBD6F4F"/>
    <w:rsid w:val="0FD474A3"/>
    <w:rsid w:val="0FE900AB"/>
    <w:rsid w:val="0FF64BD6"/>
    <w:rsid w:val="100A03A2"/>
    <w:rsid w:val="100B2370"/>
    <w:rsid w:val="10100D48"/>
    <w:rsid w:val="10103AA1"/>
    <w:rsid w:val="102B7309"/>
    <w:rsid w:val="10352D44"/>
    <w:rsid w:val="103A30BC"/>
    <w:rsid w:val="103D6A44"/>
    <w:rsid w:val="105817D9"/>
    <w:rsid w:val="10652901"/>
    <w:rsid w:val="107A165C"/>
    <w:rsid w:val="107A37FD"/>
    <w:rsid w:val="108D2EAD"/>
    <w:rsid w:val="10920EDC"/>
    <w:rsid w:val="10974B76"/>
    <w:rsid w:val="10C61934"/>
    <w:rsid w:val="10C9235E"/>
    <w:rsid w:val="10CF0F95"/>
    <w:rsid w:val="10D64CC0"/>
    <w:rsid w:val="10E9716C"/>
    <w:rsid w:val="10FA719A"/>
    <w:rsid w:val="11014C26"/>
    <w:rsid w:val="11035D0B"/>
    <w:rsid w:val="11141A03"/>
    <w:rsid w:val="1117099C"/>
    <w:rsid w:val="11243719"/>
    <w:rsid w:val="11316F3C"/>
    <w:rsid w:val="1133429E"/>
    <w:rsid w:val="11370AB8"/>
    <w:rsid w:val="11451B81"/>
    <w:rsid w:val="114A06AA"/>
    <w:rsid w:val="115C5B58"/>
    <w:rsid w:val="119144FC"/>
    <w:rsid w:val="119D61F9"/>
    <w:rsid w:val="11A86ED7"/>
    <w:rsid w:val="11AA73B1"/>
    <w:rsid w:val="11AE32C4"/>
    <w:rsid w:val="11BF6065"/>
    <w:rsid w:val="11C34329"/>
    <w:rsid w:val="11CD08B2"/>
    <w:rsid w:val="11D82F37"/>
    <w:rsid w:val="11FF708B"/>
    <w:rsid w:val="12082D4A"/>
    <w:rsid w:val="12171C33"/>
    <w:rsid w:val="12244303"/>
    <w:rsid w:val="122E42BF"/>
    <w:rsid w:val="123C3973"/>
    <w:rsid w:val="123C4DBB"/>
    <w:rsid w:val="12596163"/>
    <w:rsid w:val="12645540"/>
    <w:rsid w:val="126824A6"/>
    <w:rsid w:val="127B7303"/>
    <w:rsid w:val="127F13B0"/>
    <w:rsid w:val="12D10EBF"/>
    <w:rsid w:val="12D90460"/>
    <w:rsid w:val="12F26B17"/>
    <w:rsid w:val="12F406A3"/>
    <w:rsid w:val="12FC2400"/>
    <w:rsid w:val="13013308"/>
    <w:rsid w:val="130F5D26"/>
    <w:rsid w:val="132C2FE4"/>
    <w:rsid w:val="13322521"/>
    <w:rsid w:val="13371F4B"/>
    <w:rsid w:val="13807C50"/>
    <w:rsid w:val="138471FF"/>
    <w:rsid w:val="13871441"/>
    <w:rsid w:val="138D1D5B"/>
    <w:rsid w:val="139D323C"/>
    <w:rsid w:val="13B413A4"/>
    <w:rsid w:val="13B970CB"/>
    <w:rsid w:val="13BF67DB"/>
    <w:rsid w:val="13D3211D"/>
    <w:rsid w:val="13FE517B"/>
    <w:rsid w:val="141C2CE4"/>
    <w:rsid w:val="142521EB"/>
    <w:rsid w:val="1427433B"/>
    <w:rsid w:val="142E0338"/>
    <w:rsid w:val="144910C6"/>
    <w:rsid w:val="14597501"/>
    <w:rsid w:val="1460444C"/>
    <w:rsid w:val="147937A9"/>
    <w:rsid w:val="14812BFC"/>
    <w:rsid w:val="149A59CD"/>
    <w:rsid w:val="14AB4542"/>
    <w:rsid w:val="14B215FC"/>
    <w:rsid w:val="14C00CF8"/>
    <w:rsid w:val="14CD090E"/>
    <w:rsid w:val="14D1441C"/>
    <w:rsid w:val="14DC6490"/>
    <w:rsid w:val="14E119B6"/>
    <w:rsid w:val="14EF5BB7"/>
    <w:rsid w:val="14FB46BE"/>
    <w:rsid w:val="15160F0F"/>
    <w:rsid w:val="15192D96"/>
    <w:rsid w:val="151D2886"/>
    <w:rsid w:val="15284D87"/>
    <w:rsid w:val="15363948"/>
    <w:rsid w:val="156075A5"/>
    <w:rsid w:val="15624166"/>
    <w:rsid w:val="1578412D"/>
    <w:rsid w:val="158749D1"/>
    <w:rsid w:val="15956F42"/>
    <w:rsid w:val="159C050D"/>
    <w:rsid w:val="159D0DF6"/>
    <w:rsid w:val="15B42ABF"/>
    <w:rsid w:val="15B77AD5"/>
    <w:rsid w:val="15C251DC"/>
    <w:rsid w:val="15C821A9"/>
    <w:rsid w:val="15D67C61"/>
    <w:rsid w:val="15E13A56"/>
    <w:rsid w:val="15E2587E"/>
    <w:rsid w:val="15F22921"/>
    <w:rsid w:val="15FB50D7"/>
    <w:rsid w:val="160F72E7"/>
    <w:rsid w:val="16230DB3"/>
    <w:rsid w:val="16464112"/>
    <w:rsid w:val="164E202D"/>
    <w:rsid w:val="16512788"/>
    <w:rsid w:val="166A71BF"/>
    <w:rsid w:val="166B7324"/>
    <w:rsid w:val="166C6770"/>
    <w:rsid w:val="167119BF"/>
    <w:rsid w:val="167504A0"/>
    <w:rsid w:val="167B058D"/>
    <w:rsid w:val="168202B3"/>
    <w:rsid w:val="168359AA"/>
    <w:rsid w:val="16870E2B"/>
    <w:rsid w:val="16C65804"/>
    <w:rsid w:val="16F71E66"/>
    <w:rsid w:val="16FF8B2B"/>
    <w:rsid w:val="17051E41"/>
    <w:rsid w:val="17255CE9"/>
    <w:rsid w:val="173339B0"/>
    <w:rsid w:val="17435EA8"/>
    <w:rsid w:val="174B51D1"/>
    <w:rsid w:val="17621304"/>
    <w:rsid w:val="17656F32"/>
    <w:rsid w:val="176B574F"/>
    <w:rsid w:val="176D6575"/>
    <w:rsid w:val="17702278"/>
    <w:rsid w:val="17905EDE"/>
    <w:rsid w:val="17B803AA"/>
    <w:rsid w:val="17C26641"/>
    <w:rsid w:val="17C30C43"/>
    <w:rsid w:val="17CD51D3"/>
    <w:rsid w:val="17F315CA"/>
    <w:rsid w:val="17F8300B"/>
    <w:rsid w:val="180E5D6E"/>
    <w:rsid w:val="18355169"/>
    <w:rsid w:val="18756816"/>
    <w:rsid w:val="187F1B81"/>
    <w:rsid w:val="188B06F2"/>
    <w:rsid w:val="188D4025"/>
    <w:rsid w:val="189E74C7"/>
    <w:rsid w:val="18AE67AD"/>
    <w:rsid w:val="18B838E7"/>
    <w:rsid w:val="18C3358C"/>
    <w:rsid w:val="18CC1BE6"/>
    <w:rsid w:val="18DF41FF"/>
    <w:rsid w:val="18F9224D"/>
    <w:rsid w:val="18F93DF7"/>
    <w:rsid w:val="19063C86"/>
    <w:rsid w:val="191B7EEF"/>
    <w:rsid w:val="1928493C"/>
    <w:rsid w:val="1935110F"/>
    <w:rsid w:val="194B6D2C"/>
    <w:rsid w:val="196848F9"/>
    <w:rsid w:val="196C0696"/>
    <w:rsid w:val="196F7429"/>
    <w:rsid w:val="197B4124"/>
    <w:rsid w:val="197D09FB"/>
    <w:rsid w:val="197E58BE"/>
    <w:rsid w:val="198527A8"/>
    <w:rsid w:val="198570FD"/>
    <w:rsid w:val="19924E0F"/>
    <w:rsid w:val="19A16791"/>
    <w:rsid w:val="19A8714A"/>
    <w:rsid w:val="19BB6F33"/>
    <w:rsid w:val="19F85C5C"/>
    <w:rsid w:val="19FE11E9"/>
    <w:rsid w:val="1A1155B9"/>
    <w:rsid w:val="1A1E18FA"/>
    <w:rsid w:val="1A2E0660"/>
    <w:rsid w:val="1A375B24"/>
    <w:rsid w:val="1A3F329F"/>
    <w:rsid w:val="1A546EDD"/>
    <w:rsid w:val="1AA000BD"/>
    <w:rsid w:val="1AA02869"/>
    <w:rsid w:val="1AA17AB6"/>
    <w:rsid w:val="1AA56239"/>
    <w:rsid w:val="1AAA0E72"/>
    <w:rsid w:val="1AB64480"/>
    <w:rsid w:val="1ADE52ED"/>
    <w:rsid w:val="1AE46991"/>
    <w:rsid w:val="1AEB150E"/>
    <w:rsid w:val="1AF119F7"/>
    <w:rsid w:val="1AFA2409"/>
    <w:rsid w:val="1B1D220C"/>
    <w:rsid w:val="1B247BD9"/>
    <w:rsid w:val="1B3F7DC3"/>
    <w:rsid w:val="1B507F0B"/>
    <w:rsid w:val="1B6F1D56"/>
    <w:rsid w:val="1BCB3865"/>
    <w:rsid w:val="1BD1641A"/>
    <w:rsid w:val="1BE821D9"/>
    <w:rsid w:val="1BF240E6"/>
    <w:rsid w:val="1C003FF3"/>
    <w:rsid w:val="1C360A1B"/>
    <w:rsid w:val="1C373D6C"/>
    <w:rsid w:val="1C38261B"/>
    <w:rsid w:val="1C43194C"/>
    <w:rsid w:val="1C606A26"/>
    <w:rsid w:val="1C747163"/>
    <w:rsid w:val="1C750503"/>
    <w:rsid w:val="1C7A3CE1"/>
    <w:rsid w:val="1C7B6763"/>
    <w:rsid w:val="1C8377F1"/>
    <w:rsid w:val="1CA174BF"/>
    <w:rsid w:val="1CB70E38"/>
    <w:rsid w:val="1CCF06B4"/>
    <w:rsid w:val="1CDD28FB"/>
    <w:rsid w:val="1CEA6F2A"/>
    <w:rsid w:val="1D183E04"/>
    <w:rsid w:val="1D1D56B6"/>
    <w:rsid w:val="1D30196B"/>
    <w:rsid w:val="1D362D92"/>
    <w:rsid w:val="1D586BC9"/>
    <w:rsid w:val="1D6034A1"/>
    <w:rsid w:val="1D7B3B9C"/>
    <w:rsid w:val="1D833A1D"/>
    <w:rsid w:val="1D9D0E88"/>
    <w:rsid w:val="1DA22867"/>
    <w:rsid w:val="1DA83B43"/>
    <w:rsid w:val="1DB17A6B"/>
    <w:rsid w:val="1DC15D79"/>
    <w:rsid w:val="1DD31B1F"/>
    <w:rsid w:val="1DD43FC3"/>
    <w:rsid w:val="1DEE17D6"/>
    <w:rsid w:val="1DF84D92"/>
    <w:rsid w:val="1DFF1031"/>
    <w:rsid w:val="1E0454E0"/>
    <w:rsid w:val="1E0B7889"/>
    <w:rsid w:val="1E275330"/>
    <w:rsid w:val="1E43688B"/>
    <w:rsid w:val="1E5304BA"/>
    <w:rsid w:val="1E540716"/>
    <w:rsid w:val="1E5B61CE"/>
    <w:rsid w:val="1E645C21"/>
    <w:rsid w:val="1E6B5074"/>
    <w:rsid w:val="1E6C205B"/>
    <w:rsid w:val="1E765436"/>
    <w:rsid w:val="1E880499"/>
    <w:rsid w:val="1E9A4F48"/>
    <w:rsid w:val="1EAA2CB1"/>
    <w:rsid w:val="1ED04867"/>
    <w:rsid w:val="1ED2266E"/>
    <w:rsid w:val="1ED427CB"/>
    <w:rsid w:val="1ED805B0"/>
    <w:rsid w:val="1ED94C81"/>
    <w:rsid w:val="1EDA03A5"/>
    <w:rsid w:val="1EDA79A5"/>
    <w:rsid w:val="1EDB4D29"/>
    <w:rsid w:val="1EDC305D"/>
    <w:rsid w:val="1EDE28AA"/>
    <w:rsid w:val="1EF7591A"/>
    <w:rsid w:val="1F04187F"/>
    <w:rsid w:val="1F0C571A"/>
    <w:rsid w:val="1F0D396C"/>
    <w:rsid w:val="1F18288D"/>
    <w:rsid w:val="1F242187"/>
    <w:rsid w:val="1F3548CD"/>
    <w:rsid w:val="1F457705"/>
    <w:rsid w:val="1F992D82"/>
    <w:rsid w:val="1FBA266B"/>
    <w:rsid w:val="1FD67569"/>
    <w:rsid w:val="1FDA74DA"/>
    <w:rsid w:val="1FE50EA3"/>
    <w:rsid w:val="1FE62671"/>
    <w:rsid w:val="1FE8057E"/>
    <w:rsid w:val="200510A0"/>
    <w:rsid w:val="20107336"/>
    <w:rsid w:val="202A5E57"/>
    <w:rsid w:val="202B226F"/>
    <w:rsid w:val="202B77C9"/>
    <w:rsid w:val="20312AC4"/>
    <w:rsid w:val="204C61DA"/>
    <w:rsid w:val="2073229C"/>
    <w:rsid w:val="2081488B"/>
    <w:rsid w:val="20867BFF"/>
    <w:rsid w:val="20A66811"/>
    <w:rsid w:val="20D76FCF"/>
    <w:rsid w:val="20DD4DB1"/>
    <w:rsid w:val="20F85F56"/>
    <w:rsid w:val="21041F62"/>
    <w:rsid w:val="2121305B"/>
    <w:rsid w:val="21341295"/>
    <w:rsid w:val="21372EA7"/>
    <w:rsid w:val="215625E9"/>
    <w:rsid w:val="216918F1"/>
    <w:rsid w:val="2180126C"/>
    <w:rsid w:val="219D2A06"/>
    <w:rsid w:val="21A12375"/>
    <w:rsid w:val="21BB3537"/>
    <w:rsid w:val="21C44213"/>
    <w:rsid w:val="21CB3A0E"/>
    <w:rsid w:val="21D2761A"/>
    <w:rsid w:val="21D36AAE"/>
    <w:rsid w:val="21DD6EFA"/>
    <w:rsid w:val="21ED6093"/>
    <w:rsid w:val="21F0730F"/>
    <w:rsid w:val="21F479B5"/>
    <w:rsid w:val="21F54C13"/>
    <w:rsid w:val="21FC788F"/>
    <w:rsid w:val="22045350"/>
    <w:rsid w:val="221725A9"/>
    <w:rsid w:val="221E65D1"/>
    <w:rsid w:val="22394C2E"/>
    <w:rsid w:val="224362B3"/>
    <w:rsid w:val="224C5455"/>
    <w:rsid w:val="226F0499"/>
    <w:rsid w:val="228538FC"/>
    <w:rsid w:val="22995EBB"/>
    <w:rsid w:val="22AE2582"/>
    <w:rsid w:val="22BD5B1F"/>
    <w:rsid w:val="22BF2DB9"/>
    <w:rsid w:val="22D327D6"/>
    <w:rsid w:val="22EB1B20"/>
    <w:rsid w:val="22EC3898"/>
    <w:rsid w:val="230070D6"/>
    <w:rsid w:val="230C2ABD"/>
    <w:rsid w:val="232374FF"/>
    <w:rsid w:val="23390E06"/>
    <w:rsid w:val="2339769A"/>
    <w:rsid w:val="2349195A"/>
    <w:rsid w:val="23595C12"/>
    <w:rsid w:val="23613156"/>
    <w:rsid w:val="23636C99"/>
    <w:rsid w:val="23681B50"/>
    <w:rsid w:val="2374333A"/>
    <w:rsid w:val="23897339"/>
    <w:rsid w:val="23AA54A1"/>
    <w:rsid w:val="23BF5AF8"/>
    <w:rsid w:val="23CD6315"/>
    <w:rsid w:val="23E05572"/>
    <w:rsid w:val="23E66010"/>
    <w:rsid w:val="23EF371F"/>
    <w:rsid w:val="23EF4C0A"/>
    <w:rsid w:val="23EF6A15"/>
    <w:rsid w:val="2402731D"/>
    <w:rsid w:val="24107EBF"/>
    <w:rsid w:val="242660D1"/>
    <w:rsid w:val="24530A70"/>
    <w:rsid w:val="24537B41"/>
    <w:rsid w:val="24544C2F"/>
    <w:rsid w:val="24660E9F"/>
    <w:rsid w:val="246E22C4"/>
    <w:rsid w:val="247C062F"/>
    <w:rsid w:val="24A71DF6"/>
    <w:rsid w:val="24FA30FD"/>
    <w:rsid w:val="24FD2FF4"/>
    <w:rsid w:val="25140E84"/>
    <w:rsid w:val="25177BAA"/>
    <w:rsid w:val="2518114C"/>
    <w:rsid w:val="251A3586"/>
    <w:rsid w:val="25326F24"/>
    <w:rsid w:val="253A6428"/>
    <w:rsid w:val="253B4663"/>
    <w:rsid w:val="25495DEB"/>
    <w:rsid w:val="25655C01"/>
    <w:rsid w:val="256D2F4B"/>
    <w:rsid w:val="2571363E"/>
    <w:rsid w:val="25784DCD"/>
    <w:rsid w:val="259B177A"/>
    <w:rsid w:val="25A160E0"/>
    <w:rsid w:val="25AC3E98"/>
    <w:rsid w:val="25BE4D9B"/>
    <w:rsid w:val="25DF5FD9"/>
    <w:rsid w:val="26064C71"/>
    <w:rsid w:val="26182AE9"/>
    <w:rsid w:val="26230406"/>
    <w:rsid w:val="26321F0A"/>
    <w:rsid w:val="263955C3"/>
    <w:rsid w:val="26396DF4"/>
    <w:rsid w:val="26472DAD"/>
    <w:rsid w:val="264B0AC5"/>
    <w:rsid w:val="26566753"/>
    <w:rsid w:val="2661594D"/>
    <w:rsid w:val="266675DE"/>
    <w:rsid w:val="2667064C"/>
    <w:rsid w:val="26711EC9"/>
    <w:rsid w:val="2684214B"/>
    <w:rsid w:val="268E2E7B"/>
    <w:rsid w:val="26951956"/>
    <w:rsid w:val="26A65099"/>
    <w:rsid w:val="26AA1AA0"/>
    <w:rsid w:val="26AC720E"/>
    <w:rsid w:val="26AD464B"/>
    <w:rsid w:val="26CC2EB0"/>
    <w:rsid w:val="26EA5F4A"/>
    <w:rsid w:val="27191AAC"/>
    <w:rsid w:val="271E6C96"/>
    <w:rsid w:val="27262172"/>
    <w:rsid w:val="273601BB"/>
    <w:rsid w:val="273D581E"/>
    <w:rsid w:val="273E6093"/>
    <w:rsid w:val="27504E53"/>
    <w:rsid w:val="27520469"/>
    <w:rsid w:val="275A64B8"/>
    <w:rsid w:val="276A64EE"/>
    <w:rsid w:val="27797FCA"/>
    <w:rsid w:val="27864680"/>
    <w:rsid w:val="27983FEE"/>
    <w:rsid w:val="27BD02A3"/>
    <w:rsid w:val="27BD3326"/>
    <w:rsid w:val="27BF0B3F"/>
    <w:rsid w:val="27C8304A"/>
    <w:rsid w:val="27CF7691"/>
    <w:rsid w:val="27D643DC"/>
    <w:rsid w:val="27DD0A2B"/>
    <w:rsid w:val="27DD75AA"/>
    <w:rsid w:val="27FF3B9C"/>
    <w:rsid w:val="28085483"/>
    <w:rsid w:val="28101033"/>
    <w:rsid w:val="2830021C"/>
    <w:rsid w:val="283E4B90"/>
    <w:rsid w:val="28614ADC"/>
    <w:rsid w:val="28754ACB"/>
    <w:rsid w:val="287D3905"/>
    <w:rsid w:val="287E6490"/>
    <w:rsid w:val="28881221"/>
    <w:rsid w:val="289F2267"/>
    <w:rsid w:val="28B71842"/>
    <w:rsid w:val="291C7135"/>
    <w:rsid w:val="29251F93"/>
    <w:rsid w:val="29265CB1"/>
    <w:rsid w:val="292D102A"/>
    <w:rsid w:val="292E32A0"/>
    <w:rsid w:val="2935260C"/>
    <w:rsid w:val="294C4A19"/>
    <w:rsid w:val="295D534F"/>
    <w:rsid w:val="296839BA"/>
    <w:rsid w:val="29740B7C"/>
    <w:rsid w:val="298B0B24"/>
    <w:rsid w:val="29A3305B"/>
    <w:rsid w:val="29BD5CE9"/>
    <w:rsid w:val="29C707BA"/>
    <w:rsid w:val="29CB5D59"/>
    <w:rsid w:val="29D11BF1"/>
    <w:rsid w:val="29D605B0"/>
    <w:rsid w:val="29DC2318"/>
    <w:rsid w:val="29E11C7D"/>
    <w:rsid w:val="29EF51E9"/>
    <w:rsid w:val="29F13F4E"/>
    <w:rsid w:val="29F2728E"/>
    <w:rsid w:val="29F86FC6"/>
    <w:rsid w:val="29FD38A3"/>
    <w:rsid w:val="2A027E45"/>
    <w:rsid w:val="2A186EB4"/>
    <w:rsid w:val="2A32001E"/>
    <w:rsid w:val="2A346DC3"/>
    <w:rsid w:val="2A570195"/>
    <w:rsid w:val="2A672BE1"/>
    <w:rsid w:val="2A6C2F6D"/>
    <w:rsid w:val="2A7179BB"/>
    <w:rsid w:val="2A724C17"/>
    <w:rsid w:val="2A737E43"/>
    <w:rsid w:val="2A896EB9"/>
    <w:rsid w:val="2AA66A22"/>
    <w:rsid w:val="2AB00CDB"/>
    <w:rsid w:val="2AB3404F"/>
    <w:rsid w:val="2AB84596"/>
    <w:rsid w:val="2AD61758"/>
    <w:rsid w:val="2AD76656"/>
    <w:rsid w:val="2AD77356"/>
    <w:rsid w:val="2ADA6053"/>
    <w:rsid w:val="2ADC2701"/>
    <w:rsid w:val="2AF00025"/>
    <w:rsid w:val="2AFE6D29"/>
    <w:rsid w:val="2B254C30"/>
    <w:rsid w:val="2B284F38"/>
    <w:rsid w:val="2B2C3C27"/>
    <w:rsid w:val="2B3C7829"/>
    <w:rsid w:val="2B443D39"/>
    <w:rsid w:val="2B446147"/>
    <w:rsid w:val="2B486E44"/>
    <w:rsid w:val="2B711554"/>
    <w:rsid w:val="2B763637"/>
    <w:rsid w:val="2B807E0C"/>
    <w:rsid w:val="2B8D4BAA"/>
    <w:rsid w:val="2B9B6245"/>
    <w:rsid w:val="2BA87E76"/>
    <w:rsid w:val="2BB04C47"/>
    <w:rsid w:val="2BB63BB3"/>
    <w:rsid w:val="2BFF1DD3"/>
    <w:rsid w:val="2BFFC827"/>
    <w:rsid w:val="2C0055A0"/>
    <w:rsid w:val="2C060962"/>
    <w:rsid w:val="2C0C746E"/>
    <w:rsid w:val="2C2C28B2"/>
    <w:rsid w:val="2C4A5653"/>
    <w:rsid w:val="2C671741"/>
    <w:rsid w:val="2C882884"/>
    <w:rsid w:val="2C941AFF"/>
    <w:rsid w:val="2C9455AE"/>
    <w:rsid w:val="2CC070A7"/>
    <w:rsid w:val="2CE929D4"/>
    <w:rsid w:val="2CEC6557"/>
    <w:rsid w:val="2CF326E1"/>
    <w:rsid w:val="2D0828B2"/>
    <w:rsid w:val="2D123224"/>
    <w:rsid w:val="2D124F4F"/>
    <w:rsid w:val="2D1548C7"/>
    <w:rsid w:val="2D220663"/>
    <w:rsid w:val="2D302E8F"/>
    <w:rsid w:val="2D38074F"/>
    <w:rsid w:val="2D3B5532"/>
    <w:rsid w:val="2D3F1B0F"/>
    <w:rsid w:val="2D4719D4"/>
    <w:rsid w:val="2D502387"/>
    <w:rsid w:val="2D636E4D"/>
    <w:rsid w:val="2D654C55"/>
    <w:rsid w:val="2D742FF2"/>
    <w:rsid w:val="2D8C63A3"/>
    <w:rsid w:val="2DA276D4"/>
    <w:rsid w:val="2DBC5704"/>
    <w:rsid w:val="2DD71E9D"/>
    <w:rsid w:val="2DF22335"/>
    <w:rsid w:val="2DF3247D"/>
    <w:rsid w:val="2DF6401D"/>
    <w:rsid w:val="2E1B361E"/>
    <w:rsid w:val="2E2D6078"/>
    <w:rsid w:val="2E656BC7"/>
    <w:rsid w:val="2E764C7A"/>
    <w:rsid w:val="2E800A46"/>
    <w:rsid w:val="2E9B17D1"/>
    <w:rsid w:val="2EB5328F"/>
    <w:rsid w:val="2EDA0826"/>
    <w:rsid w:val="2EE17987"/>
    <w:rsid w:val="2EE9608B"/>
    <w:rsid w:val="2EF024E3"/>
    <w:rsid w:val="2F1810E4"/>
    <w:rsid w:val="2F3903D4"/>
    <w:rsid w:val="2F3DEA8D"/>
    <w:rsid w:val="2F4045CF"/>
    <w:rsid w:val="2F5C37AA"/>
    <w:rsid w:val="2F620307"/>
    <w:rsid w:val="2F621E08"/>
    <w:rsid w:val="2F7E2E20"/>
    <w:rsid w:val="2F8F4BF3"/>
    <w:rsid w:val="2FBF26E1"/>
    <w:rsid w:val="2FCF0FD6"/>
    <w:rsid w:val="2FEF3B00"/>
    <w:rsid w:val="2FF7772B"/>
    <w:rsid w:val="2FFC0480"/>
    <w:rsid w:val="2FFF28E0"/>
    <w:rsid w:val="30224D9D"/>
    <w:rsid w:val="302717B9"/>
    <w:rsid w:val="302A0134"/>
    <w:rsid w:val="304D2D7F"/>
    <w:rsid w:val="30664FF1"/>
    <w:rsid w:val="30670846"/>
    <w:rsid w:val="30723E80"/>
    <w:rsid w:val="307F1F78"/>
    <w:rsid w:val="309327DD"/>
    <w:rsid w:val="30973C56"/>
    <w:rsid w:val="30B230AB"/>
    <w:rsid w:val="30B57C06"/>
    <w:rsid w:val="30D03191"/>
    <w:rsid w:val="30D32917"/>
    <w:rsid w:val="30E22DFF"/>
    <w:rsid w:val="31144F51"/>
    <w:rsid w:val="311B3900"/>
    <w:rsid w:val="31262821"/>
    <w:rsid w:val="313F1A7F"/>
    <w:rsid w:val="31861E26"/>
    <w:rsid w:val="318A1273"/>
    <w:rsid w:val="318E6004"/>
    <w:rsid w:val="31B934DF"/>
    <w:rsid w:val="31D22CF6"/>
    <w:rsid w:val="31D43285"/>
    <w:rsid w:val="31F73798"/>
    <w:rsid w:val="321C2939"/>
    <w:rsid w:val="322D0DA5"/>
    <w:rsid w:val="322D5C93"/>
    <w:rsid w:val="3238697A"/>
    <w:rsid w:val="323C0139"/>
    <w:rsid w:val="326A6C03"/>
    <w:rsid w:val="326D3856"/>
    <w:rsid w:val="32700042"/>
    <w:rsid w:val="32707DDD"/>
    <w:rsid w:val="327B22D2"/>
    <w:rsid w:val="327D360B"/>
    <w:rsid w:val="32972AE1"/>
    <w:rsid w:val="3298346C"/>
    <w:rsid w:val="32B946DB"/>
    <w:rsid w:val="32BC4B72"/>
    <w:rsid w:val="32CD7021"/>
    <w:rsid w:val="32D00AE0"/>
    <w:rsid w:val="32D310E1"/>
    <w:rsid w:val="32D37229"/>
    <w:rsid w:val="32E01DD7"/>
    <w:rsid w:val="32E715EF"/>
    <w:rsid w:val="32EA08A7"/>
    <w:rsid w:val="32F065E9"/>
    <w:rsid w:val="32F17A87"/>
    <w:rsid w:val="32F20545"/>
    <w:rsid w:val="32FC18D5"/>
    <w:rsid w:val="330A4617"/>
    <w:rsid w:val="33154C90"/>
    <w:rsid w:val="3338095C"/>
    <w:rsid w:val="335014C4"/>
    <w:rsid w:val="335D5CE1"/>
    <w:rsid w:val="33614AB8"/>
    <w:rsid w:val="33824818"/>
    <w:rsid w:val="33BB6E65"/>
    <w:rsid w:val="33C95C3E"/>
    <w:rsid w:val="33E32A95"/>
    <w:rsid w:val="33E54BBF"/>
    <w:rsid w:val="33E85277"/>
    <w:rsid w:val="33EC586D"/>
    <w:rsid w:val="33EF293D"/>
    <w:rsid w:val="34005DCF"/>
    <w:rsid w:val="34022162"/>
    <w:rsid w:val="34031034"/>
    <w:rsid w:val="340C6483"/>
    <w:rsid w:val="340D6959"/>
    <w:rsid w:val="341E5F75"/>
    <w:rsid w:val="34204E79"/>
    <w:rsid w:val="3424499B"/>
    <w:rsid w:val="34292A3C"/>
    <w:rsid w:val="3433211A"/>
    <w:rsid w:val="344A2B14"/>
    <w:rsid w:val="345A3E1A"/>
    <w:rsid w:val="345D4148"/>
    <w:rsid w:val="347507EB"/>
    <w:rsid w:val="348F2958"/>
    <w:rsid w:val="348F462E"/>
    <w:rsid w:val="3490637E"/>
    <w:rsid w:val="34951F07"/>
    <w:rsid w:val="349825E0"/>
    <w:rsid w:val="34A17F84"/>
    <w:rsid w:val="34A42225"/>
    <w:rsid w:val="34AA6B6A"/>
    <w:rsid w:val="34CE19C1"/>
    <w:rsid w:val="34D73A15"/>
    <w:rsid w:val="34DE5D84"/>
    <w:rsid w:val="34E1294F"/>
    <w:rsid w:val="34E56A9F"/>
    <w:rsid w:val="34F37E30"/>
    <w:rsid w:val="35026F4B"/>
    <w:rsid w:val="351C6BAD"/>
    <w:rsid w:val="35235ADD"/>
    <w:rsid w:val="352915AC"/>
    <w:rsid w:val="352E3523"/>
    <w:rsid w:val="3534171D"/>
    <w:rsid w:val="354E3F3E"/>
    <w:rsid w:val="357C5189"/>
    <w:rsid w:val="3583008C"/>
    <w:rsid w:val="35870219"/>
    <w:rsid w:val="358E0EB5"/>
    <w:rsid w:val="358E6D65"/>
    <w:rsid w:val="35994829"/>
    <w:rsid w:val="35B652B1"/>
    <w:rsid w:val="35BB2321"/>
    <w:rsid w:val="35F32113"/>
    <w:rsid w:val="35F66AB0"/>
    <w:rsid w:val="36093B27"/>
    <w:rsid w:val="360E1DE1"/>
    <w:rsid w:val="36136901"/>
    <w:rsid w:val="36140F66"/>
    <w:rsid w:val="36144458"/>
    <w:rsid w:val="361B225D"/>
    <w:rsid w:val="362B27BF"/>
    <w:rsid w:val="36394B26"/>
    <w:rsid w:val="36505C2A"/>
    <w:rsid w:val="365E6596"/>
    <w:rsid w:val="36602007"/>
    <w:rsid w:val="36642FB2"/>
    <w:rsid w:val="366618C7"/>
    <w:rsid w:val="36677B91"/>
    <w:rsid w:val="366B1AD6"/>
    <w:rsid w:val="367A25C9"/>
    <w:rsid w:val="367B3F0F"/>
    <w:rsid w:val="36890A2C"/>
    <w:rsid w:val="369D2E5E"/>
    <w:rsid w:val="36B77F56"/>
    <w:rsid w:val="36B9358C"/>
    <w:rsid w:val="36C52FCE"/>
    <w:rsid w:val="36DB1CFE"/>
    <w:rsid w:val="36DC0BC0"/>
    <w:rsid w:val="37041F24"/>
    <w:rsid w:val="371A51A9"/>
    <w:rsid w:val="372B1404"/>
    <w:rsid w:val="37443E25"/>
    <w:rsid w:val="37686223"/>
    <w:rsid w:val="378A2E1D"/>
    <w:rsid w:val="37AB51C5"/>
    <w:rsid w:val="37B75FCD"/>
    <w:rsid w:val="37C4321A"/>
    <w:rsid w:val="37D86F38"/>
    <w:rsid w:val="38170AF8"/>
    <w:rsid w:val="381F6C79"/>
    <w:rsid w:val="38270E2E"/>
    <w:rsid w:val="382865BD"/>
    <w:rsid w:val="382D04E7"/>
    <w:rsid w:val="38507154"/>
    <w:rsid w:val="385D1E89"/>
    <w:rsid w:val="386A4E2C"/>
    <w:rsid w:val="38855EC9"/>
    <w:rsid w:val="38922AEC"/>
    <w:rsid w:val="38B24EE1"/>
    <w:rsid w:val="38B35EA6"/>
    <w:rsid w:val="38B81424"/>
    <w:rsid w:val="38E064AE"/>
    <w:rsid w:val="38E075A3"/>
    <w:rsid w:val="390D2FE8"/>
    <w:rsid w:val="39117723"/>
    <w:rsid w:val="39267507"/>
    <w:rsid w:val="392A5D78"/>
    <w:rsid w:val="392C587A"/>
    <w:rsid w:val="39365FDF"/>
    <w:rsid w:val="39433A43"/>
    <w:rsid w:val="39443BA8"/>
    <w:rsid w:val="395D3729"/>
    <w:rsid w:val="3985199A"/>
    <w:rsid w:val="398F1B9F"/>
    <w:rsid w:val="39D864CC"/>
    <w:rsid w:val="39DE3136"/>
    <w:rsid w:val="39E5570C"/>
    <w:rsid w:val="39E62EF9"/>
    <w:rsid w:val="39F601F7"/>
    <w:rsid w:val="3A074D5E"/>
    <w:rsid w:val="3A2A20D4"/>
    <w:rsid w:val="3A2B228F"/>
    <w:rsid w:val="3A2C28B9"/>
    <w:rsid w:val="3A3951BD"/>
    <w:rsid w:val="3A5A5534"/>
    <w:rsid w:val="3A5E3E04"/>
    <w:rsid w:val="3A7B03C1"/>
    <w:rsid w:val="3A9643BE"/>
    <w:rsid w:val="3AA36123"/>
    <w:rsid w:val="3AAB54F6"/>
    <w:rsid w:val="3AB0119B"/>
    <w:rsid w:val="3AB42A96"/>
    <w:rsid w:val="3ABC7CEE"/>
    <w:rsid w:val="3AC35E1E"/>
    <w:rsid w:val="3ACC3B85"/>
    <w:rsid w:val="3AE12E79"/>
    <w:rsid w:val="3AE470CA"/>
    <w:rsid w:val="3AE725E2"/>
    <w:rsid w:val="3AF110C8"/>
    <w:rsid w:val="3B04673F"/>
    <w:rsid w:val="3B093B64"/>
    <w:rsid w:val="3B280B77"/>
    <w:rsid w:val="3B3B7AA0"/>
    <w:rsid w:val="3B3B7EEC"/>
    <w:rsid w:val="3B3C6E0B"/>
    <w:rsid w:val="3B406BAE"/>
    <w:rsid w:val="3B421F55"/>
    <w:rsid w:val="3B4B7710"/>
    <w:rsid w:val="3B5216C6"/>
    <w:rsid w:val="3B5B7DED"/>
    <w:rsid w:val="3B6F29A8"/>
    <w:rsid w:val="3B8A3802"/>
    <w:rsid w:val="3B8B11C5"/>
    <w:rsid w:val="3B9D64C2"/>
    <w:rsid w:val="3BAF1C21"/>
    <w:rsid w:val="3BB84807"/>
    <w:rsid w:val="3BBF29BC"/>
    <w:rsid w:val="3BCA035A"/>
    <w:rsid w:val="3BCB4110"/>
    <w:rsid w:val="3BDF5F38"/>
    <w:rsid w:val="3BE21FF8"/>
    <w:rsid w:val="3BEA4858"/>
    <w:rsid w:val="3BF25EE0"/>
    <w:rsid w:val="3BF95F85"/>
    <w:rsid w:val="3BFFB35B"/>
    <w:rsid w:val="3C1B6646"/>
    <w:rsid w:val="3C367968"/>
    <w:rsid w:val="3C3F2833"/>
    <w:rsid w:val="3C6978B0"/>
    <w:rsid w:val="3C730849"/>
    <w:rsid w:val="3C8446EA"/>
    <w:rsid w:val="3C876A6E"/>
    <w:rsid w:val="3C8B75B2"/>
    <w:rsid w:val="3C932B53"/>
    <w:rsid w:val="3C934253"/>
    <w:rsid w:val="3C952F21"/>
    <w:rsid w:val="3CAB4812"/>
    <w:rsid w:val="3CB70483"/>
    <w:rsid w:val="3CBF56F8"/>
    <w:rsid w:val="3CC062AF"/>
    <w:rsid w:val="3CC21436"/>
    <w:rsid w:val="3CD53E49"/>
    <w:rsid w:val="3CD7353E"/>
    <w:rsid w:val="3CD9248D"/>
    <w:rsid w:val="3CE17A99"/>
    <w:rsid w:val="3CF839E5"/>
    <w:rsid w:val="3CFC6473"/>
    <w:rsid w:val="3CFF097C"/>
    <w:rsid w:val="3D0D3AB7"/>
    <w:rsid w:val="3D2009B3"/>
    <w:rsid w:val="3D424548"/>
    <w:rsid w:val="3D441600"/>
    <w:rsid w:val="3D562BE4"/>
    <w:rsid w:val="3D6576AF"/>
    <w:rsid w:val="3D713E7A"/>
    <w:rsid w:val="3D785FFC"/>
    <w:rsid w:val="3D8077AA"/>
    <w:rsid w:val="3D9731D4"/>
    <w:rsid w:val="3DAA285B"/>
    <w:rsid w:val="3DB73594"/>
    <w:rsid w:val="3DBD6105"/>
    <w:rsid w:val="3DCB5A20"/>
    <w:rsid w:val="3DCD307C"/>
    <w:rsid w:val="3DE511B8"/>
    <w:rsid w:val="3E356FEE"/>
    <w:rsid w:val="3E4F5CCD"/>
    <w:rsid w:val="3E575639"/>
    <w:rsid w:val="3E640799"/>
    <w:rsid w:val="3E6678E5"/>
    <w:rsid w:val="3E946AE9"/>
    <w:rsid w:val="3EAA7772"/>
    <w:rsid w:val="3EBA0B39"/>
    <w:rsid w:val="3ED03C16"/>
    <w:rsid w:val="3F074BA6"/>
    <w:rsid w:val="3F214472"/>
    <w:rsid w:val="3F277090"/>
    <w:rsid w:val="3F2D0D19"/>
    <w:rsid w:val="3F33329F"/>
    <w:rsid w:val="3F464F9A"/>
    <w:rsid w:val="3F470F3D"/>
    <w:rsid w:val="3F48254A"/>
    <w:rsid w:val="3F607DA8"/>
    <w:rsid w:val="3F696585"/>
    <w:rsid w:val="3F944B53"/>
    <w:rsid w:val="3F980540"/>
    <w:rsid w:val="3FB750CC"/>
    <w:rsid w:val="3FBD063E"/>
    <w:rsid w:val="3FC4377B"/>
    <w:rsid w:val="3FD92E1C"/>
    <w:rsid w:val="3FE963CA"/>
    <w:rsid w:val="3FEA6BD8"/>
    <w:rsid w:val="3FFF5065"/>
    <w:rsid w:val="400762EA"/>
    <w:rsid w:val="401E5514"/>
    <w:rsid w:val="40220D3F"/>
    <w:rsid w:val="403D3393"/>
    <w:rsid w:val="403E6021"/>
    <w:rsid w:val="40477F08"/>
    <w:rsid w:val="405173B8"/>
    <w:rsid w:val="40670557"/>
    <w:rsid w:val="40677B95"/>
    <w:rsid w:val="407751C1"/>
    <w:rsid w:val="407B3292"/>
    <w:rsid w:val="407F3B46"/>
    <w:rsid w:val="408D1DBF"/>
    <w:rsid w:val="409018AF"/>
    <w:rsid w:val="40D33740"/>
    <w:rsid w:val="40F71410"/>
    <w:rsid w:val="41093958"/>
    <w:rsid w:val="41126CAF"/>
    <w:rsid w:val="411E5B27"/>
    <w:rsid w:val="41263FC1"/>
    <w:rsid w:val="41371814"/>
    <w:rsid w:val="41391F47"/>
    <w:rsid w:val="413A2E50"/>
    <w:rsid w:val="41633C19"/>
    <w:rsid w:val="416844EB"/>
    <w:rsid w:val="417361BD"/>
    <w:rsid w:val="41823724"/>
    <w:rsid w:val="41A60A06"/>
    <w:rsid w:val="41B44F07"/>
    <w:rsid w:val="41D41A8C"/>
    <w:rsid w:val="41DB6C88"/>
    <w:rsid w:val="41EA1493"/>
    <w:rsid w:val="41EB302C"/>
    <w:rsid w:val="41F82012"/>
    <w:rsid w:val="41FE16F1"/>
    <w:rsid w:val="42095484"/>
    <w:rsid w:val="420E4D20"/>
    <w:rsid w:val="421C029A"/>
    <w:rsid w:val="42472AB8"/>
    <w:rsid w:val="42540016"/>
    <w:rsid w:val="427109D1"/>
    <w:rsid w:val="42845443"/>
    <w:rsid w:val="428E4DB1"/>
    <w:rsid w:val="428E6F0B"/>
    <w:rsid w:val="428F5C13"/>
    <w:rsid w:val="429140FA"/>
    <w:rsid w:val="429F55E7"/>
    <w:rsid w:val="42CF5D9C"/>
    <w:rsid w:val="42E92FF6"/>
    <w:rsid w:val="42EA1489"/>
    <w:rsid w:val="430B3A46"/>
    <w:rsid w:val="430E2C62"/>
    <w:rsid w:val="432305B6"/>
    <w:rsid w:val="4345005C"/>
    <w:rsid w:val="43562EAC"/>
    <w:rsid w:val="436D4129"/>
    <w:rsid w:val="4374370A"/>
    <w:rsid w:val="437564F5"/>
    <w:rsid w:val="43843447"/>
    <w:rsid w:val="43860D47"/>
    <w:rsid w:val="439133A7"/>
    <w:rsid w:val="439704F8"/>
    <w:rsid w:val="439C77BE"/>
    <w:rsid w:val="43A82D15"/>
    <w:rsid w:val="43AA6A32"/>
    <w:rsid w:val="43AC33C8"/>
    <w:rsid w:val="43AC47FE"/>
    <w:rsid w:val="43B07126"/>
    <w:rsid w:val="43B709CB"/>
    <w:rsid w:val="43D80E4A"/>
    <w:rsid w:val="43DD6A67"/>
    <w:rsid w:val="441E6B18"/>
    <w:rsid w:val="44224E33"/>
    <w:rsid w:val="44472C6A"/>
    <w:rsid w:val="444C64FE"/>
    <w:rsid w:val="445057CF"/>
    <w:rsid w:val="446737C3"/>
    <w:rsid w:val="446D163F"/>
    <w:rsid w:val="446D3E2D"/>
    <w:rsid w:val="447B6146"/>
    <w:rsid w:val="44AB5468"/>
    <w:rsid w:val="44B21502"/>
    <w:rsid w:val="44C4440A"/>
    <w:rsid w:val="44CD6E7E"/>
    <w:rsid w:val="44D11A02"/>
    <w:rsid w:val="44E0005F"/>
    <w:rsid w:val="44EE62CA"/>
    <w:rsid w:val="45160C46"/>
    <w:rsid w:val="451D20B7"/>
    <w:rsid w:val="45350541"/>
    <w:rsid w:val="45467B6D"/>
    <w:rsid w:val="4558084C"/>
    <w:rsid w:val="456374C6"/>
    <w:rsid w:val="45676163"/>
    <w:rsid w:val="456F4189"/>
    <w:rsid w:val="456F4455"/>
    <w:rsid w:val="458B5528"/>
    <w:rsid w:val="459442FA"/>
    <w:rsid w:val="45A2444E"/>
    <w:rsid w:val="45AE0D99"/>
    <w:rsid w:val="45B908CB"/>
    <w:rsid w:val="45BA67B2"/>
    <w:rsid w:val="45D10E62"/>
    <w:rsid w:val="45F60406"/>
    <w:rsid w:val="45FD634B"/>
    <w:rsid w:val="46023C90"/>
    <w:rsid w:val="462E77BE"/>
    <w:rsid w:val="462F56C6"/>
    <w:rsid w:val="463858E1"/>
    <w:rsid w:val="463C040B"/>
    <w:rsid w:val="463D3582"/>
    <w:rsid w:val="46715A5D"/>
    <w:rsid w:val="46A252A1"/>
    <w:rsid w:val="46A33E8E"/>
    <w:rsid w:val="46AC620D"/>
    <w:rsid w:val="46B618D5"/>
    <w:rsid w:val="46B670B3"/>
    <w:rsid w:val="46BE31AD"/>
    <w:rsid w:val="46C3042B"/>
    <w:rsid w:val="46E034E7"/>
    <w:rsid w:val="46E10EDA"/>
    <w:rsid w:val="46E80A0F"/>
    <w:rsid w:val="46E93D34"/>
    <w:rsid w:val="46EC0546"/>
    <w:rsid w:val="46F66454"/>
    <w:rsid w:val="470806F6"/>
    <w:rsid w:val="471E6358"/>
    <w:rsid w:val="472E5D37"/>
    <w:rsid w:val="4734568A"/>
    <w:rsid w:val="475613F9"/>
    <w:rsid w:val="479A15EC"/>
    <w:rsid w:val="47A64966"/>
    <w:rsid w:val="47C51F1A"/>
    <w:rsid w:val="47C9694C"/>
    <w:rsid w:val="47CF7EFE"/>
    <w:rsid w:val="47D009F6"/>
    <w:rsid w:val="47DB1BF5"/>
    <w:rsid w:val="47FA55EB"/>
    <w:rsid w:val="48006810"/>
    <w:rsid w:val="48007DC3"/>
    <w:rsid w:val="481C2373"/>
    <w:rsid w:val="482161E5"/>
    <w:rsid w:val="4821621D"/>
    <w:rsid w:val="48252207"/>
    <w:rsid w:val="484301E1"/>
    <w:rsid w:val="484747D8"/>
    <w:rsid w:val="4849729D"/>
    <w:rsid w:val="48674619"/>
    <w:rsid w:val="48746FC1"/>
    <w:rsid w:val="488668AD"/>
    <w:rsid w:val="4892207A"/>
    <w:rsid w:val="489E7680"/>
    <w:rsid w:val="489F67F3"/>
    <w:rsid w:val="48B93B1A"/>
    <w:rsid w:val="48D671E2"/>
    <w:rsid w:val="48E73308"/>
    <w:rsid w:val="48F9122A"/>
    <w:rsid w:val="491247BF"/>
    <w:rsid w:val="491A6052"/>
    <w:rsid w:val="4929464F"/>
    <w:rsid w:val="495311C3"/>
    <w:rsid w:val="49603324"/>
    <w:rsid w:val="497A7C79"/>
    <w:rsid w:val="497B72DF"/>
    <w:rsid w:val="49914A0E"/>
    <w:rsid w:val="49971C14"/>
    <w:rsid w:val="499A7D82"/>
    <w:rsid w:val="49AC0384"/>
    <w:rsid w:val="49AF60DB"/>
    <w:rsid w:val="49D95C04"/>
    <w:rsid w:val="49EA0282"/>
    <w:rsid w:val="4A002008"/>
    <w:rsid w:val="4A070B63"/>
    <w:rsid w:val="4A085BA4"/>
    <w:rsid w:val="4A17645A"/>
    <w:rsid w:val="4A2E2E00"/>
    <w:rsid w:val="4A2E5A77"/>
    <w:rsid w:val="4A371AAD"/>
    <w:rsid w:val="4A375375"/>
    <w:rsid w:val="4A3D3962"/>
    <w:rsid w:val="4A462341"/>
    <w:rsid w:val="4A672521"/>
    <w:rsid w:val="4A793669"/>
    <w:rsid w:val="4A7965F3"/>
    <w:rsid w:val="4A7A685A"/>
    <w:rsid w:val="4A825C4D"/>
    <w:rsid w:val="4A8F4573"/>
    <w:rsid w:val="4A9D1896"/>
    <w:rsid w:val="4A9E08F8"/>
    <w:rsid w:val="4AB53EC6"/>
    <w:rsid w:val="4AE138A6"/>
    <w:rsid w:val="4AF52791"/>
    <w:rsid w:val="4AFE19D1"/>
    <w:rsid w:val="4B0B44D7"/>
    <w:rsid w:val="4B117A90"/>
    <w:rsid w:val="4B247974"/>
    <w:rsid w:val="4B3F4438"/>
    <w:rsid w:val="4B4B2527"/>
    <w:rsid w:val="4B5A31E5"/>
    <w:rsid w:val="4B79317B"/>
    <w:rsid w:val="4B98222D"/>
    <w:rsid w:val="4BB44FC9"/>
    <w:rsid w:val="4BBB0BF4"/>
    <w:rsid w:val="4BBF9457"/>
    <w:rsid w:val="4BCA6490"/>
    <w:rsid w:val="4BD64C9E"/>
    <w:rsid w:val="4C0C018E"/>
    <w:rsid w:val="4C215BCC"/>
    <w:rsid w:val="4C2D26A8"/>
    <w:rsid w:val="4C441701"/>
    <w:rsid w:val="4C523EBC"/>
    <w:rsid w:val="4C7A54C4"/>
    <w:rsid w:val="4C9055CB"/>
    <w:rsid w:val="4CA61D3E"/>
    <w:rsid w:val="4CBA0450"/>
    <w:rsid w:val="4CD55CA8"/>
    <w:rsid w:val="4CD81FB6"/>
    <w:rsid w:val="4CDB6F34"/>
    <w:rsid w:val="4CE0159B"/>
    <w:rsid w:val="4CFA2996"/>
    <w:rsid w:val="4CFA4D49"/>
    <w:rsid w:val="4D2C413A"/>
    <w:rsid w:val="4D614A75"/>
    <w:rsid w:val="4D620AB1"/>
    <w:rsid w:val="4D7C0764"/>
    <w:rsid w:val="4D7C29A4"/>
    <w:rsid w:val="4D8202C3"/>
    <w:rsid w:val="4DA4242C"/>
    <w:rsid w:val="4DD211E3"/>
    <w:rsid w:val="4DE670F0"/>
    <w:rsid w:val="4E013290"/>
    <w:rsid w:val="4E0153F6"/>
    <w:rsid w:val="4E0677AB"/>
    <w:rsid w:val="4E160E61"/>
    <w:rsid w:val="4E2016E8"/>
    <w:rsid w:val="4E250C08"/>
    <w:rsid w:val="4E2A0BA9"/>
    <w:rsid w:val="4E451130"/>
    <w:rsid w:val="4E472A4A"/>
    <w:rsid w:val="4E7D3E98"/>
    <w:rsid w:val="4E7D426D"/>
    <w:rsid w:val="4E9873BA"/>
    <w:rsid w:val="4EAD7AD0"/>
    <w:rsid w:val="4EB60E1C"/>
    <w:rsid w:val="4EDD6607"/>
    <w:rsid w:val="4EF13BB1"/>
    <w:rsid w:val="4F0F6C0B"/>
    <w:rsid w:val="4F153511"/>
    <w:rsid w:val="4F3042CC"/>
    <w:rsid w:val="4F317509"/>
    <w:rsid w:val="4F3C580B"/>
    <w:rsid w:val="4F556746"/>
    <w:rsid w:val="4F7C474A"/>
    <w:rsid w:val="4F872AFB"/>
    <w:rsid w:val="4F977AC7"/>
    <w:rsid w:val="4F9C38B6"/>
    <w:rsid w:val="4FA63196"/>
    <w:rsid w:val="4FAE494C"/>
    <w:rsid w:val="4FB32F8B"/>
    <w:rsid w:val="4FDF45D7"/>
    <w:rsid w:val="4FE3411C"/>
    <w:rsid w:val="4FFD2291"/>
    <w:rsid w:val="4FFD2D8E"/>
    <w:rsid w:val="50060ED4"/>
    <w:rsid w:val="50173D35"/>
    <w:rsid w:val="502C7182"/>
    <w:rsid w:val="50327331"/>
    <w:rsid w:val="504D5C09"/>
    <w:rsid w:val="505B4347"/>
    <w:rsid w:val="50783905"/>
    <w:rsid w:val="508748B6"/>
    <w:rsid w:val="50950C55"/>
    <w:rsid w:val="509B40AE"/>
    <w:rsid w:val="50A72E40"/>
    <w:rsid w:val="50AD0235"/>
    <w:rsid w:val="50B05655"/>
    <w:rsid w:val="50CA29B2"/>
    <w:rsid w:val="50CA2BBB"/>
    <w:rsid w:val="50D81E54"/>
    <w:rsid w:val="50E26DB5"/>
    <w:rsid w:val="511568F7"/>
    <w:rsid w:val="512613EC"/>
    <w:rsid w:val="512D3BEE"/>
    <w:rsid w:val="51451B79"/>
    <w:rsid w:val="51550604"/>
    <w:rsid w:val="518732BD"/>
    <w:rsid w:val="51883876"/>
    <w:rsid w:val="518876F1"/>
    <w:rsid w:val="51903F87"/>
    <w:rsid w:val="51991EA6"/>
    <w:rsid w:val="519C2235"/>
    <w:rsid w:val="51CA132F"/>
    <w:rsid w:val="51D354C2"/>
    <w:rsid w:val="51D8660F"/>
    <w:rsid w:val="51DD49B6"/>
    <w:rsid w:val="51E357C9"/>
    <w:rsid w:val="51FC0432"/>
    <w:rsid w:val="52113C82"/>
    <w:rsid w:val="52374D6B"/>
    <w:rsid w:val="524A223A"/>
    <w:rsid w:val="52543328"/>
    <w:rsid w:val="52567929"/>
    <w:rsid w:val="52773632"/>
    <w:rsid w:val="5293368D"/>
    <w:rsid w:val="529D3067"/>
    <w:rsid w:val="52BB13D8"/>
    <w:rsid w:val="52D37E05"/>
    <w:rsid w:val="52F503C1"/>
    <w:rsid w:val="52FB707B"/>
    <w:rsid w:val="53041A0C"/>
    <w:rsid w:val="532C2CE5"/>
    <w:rsid w:val="53373541"/>
    <w:rsid w:val="535F0CA0"/>
    <w:rsid w:val="53607323"/>
    <w:rsid w:val="53703FD8"/>
    <w:rsid w:val="537B3969"/>
    <w:rsid w:val="537D1B02"/>
    <w:rsid w:val="53892E96"/>
    <w:rsid w:val="538B2F83"/>
    <w:rsid w:val="53943CC0"/>
    <w:rsid w:val="539F76F1"/>
    <w:rsid w:val="53B02297"/>
    <w:rsid w:val="53F57F4F"/>
    <w:rsid w:val="53FA4499"/>
    <w:rsid w:val="540E2FEE"/>
    <w:rsid w:val="54120B01"/>
    <w:rsid w:val="54233251"/>
    <w:rsid w:val="542E5506"/>
    <w:rsid w:val="54502526"/>
    <w:rsid w:val="547654BE"/>
    <w:rsid w:val="54DC27D4"/>
    <w:rsid w:val="54EF125B"/>
    <w:rsid w:val="54FF638C"/>
    <w:rsid w:val="55083CA7"/>
    <w:rsid w:val="550F5E1A"/>
    <w:rsid w:val="55205819"/>
    <w:rsid w:val="55396159"/>
    <w:rsid w:val="553B1003"/>
    <w:rsid w:val="55460DEE"/>
    <w:rsid w:val="55476E54"/>
    <w:rsid w:val="555869E7"/>
    <w:rsid w:val="55643741"/>
    <w:rsid w:val="5580315F"/>
    <w:rsid w:val="55886176"/>
    <w:rsid w:val="558A2DA2"/>
    <w:rsid w:val="559D7818"/>
    <w:rsid w:val="55AC0D28"/>
    <w:rsid w:val="55CF7842"/>
    <w:rsid w:val="55D24BF7"/>
    <w:rsid w:val="55DA16E4"/>
    <w:rsid w:val="55FB24B9"/>
    <w:rsid w:val="55FD4044"/>
    <w:rsid w:val="561A4C40"/>
    <w:rsid w:val="561C70D1"/>
    <w:rsid w:val="56621F64"/>
    <w:rsid w:val="566675A3"/>
    <w:rsid w:val="56784363"/>
    <w:rsid w:val="5678465E"/>
    <w:rsid w:val="568C3B02"/>
    <w:rsid w:val="56E715E0"/>
    <w:rsid w:val="56F93B33"/>
    <w:rsid w:val="571710DA"/>
    <w:rsid w:val="572243C3"/>
    <w:rsid w:val="57233360"/>
    <w:rsid w:val="5725480C"/>
    <w:rsid w:val="572632B9"/>
    <w:rsid w:val="5729408B"/>
    <w:rsid w:val="57673C36"/>
    <w:rsid w:val="576A2C00"/>
    <w:rsid w:val="57772B6A"/>
    <w:rsid w:val="577D7BB6"/>
    <w:rsid w:val="57953A5B"/>
    <w:rsid w:val="579B1D8C"/>
    <w:rsid w:val="57B60CC4"/>
    <w:rsid w:val="57CB6F17"/>
    <w:rsid w:val="57DE4073"/>
    <w:rsid w:val="580945A1"/>
    <w:rsid w:val="58104AD4"/>
    <w:rsid w:val="58141D8F"/>
    <w:rsid w:val="58171DC2"/>
    <w:rsid w:val="58434A5F"/>
    <w:rsid w:val="584F166F"/>
    <w:rsid w:val="585A44E6"/>
    <w:rsid w:val="586036D6"/>
    <w:rsid w:val="58612D31"/>
    <w:rsid w:val="587B136B"/>
    <w:rsid w:val="587F072F"/>
    <w:rsid w:val="588007E3"/>
    <w:rsid w:val="58947A02"/>
    <w:rsid w:val="589C53DF"/>
    <w:rsid w:val="58A054D2"/>
    <w:rsid w:val="58A30CBE"/>
    <w:rsid w:val="58AA110C"/>
    <w:rsid w:val="58B1635A"/>
    <w:rsid w:val="58ED7E54"/>
    <w:rsid w:val="58F01C88"/>
    <w:rsid w:val="590169C3"/>
    <w:rsid w:val="5909659E"/>
    <w:rsid w:val="590F5291"/>
    <w:rsid w:val="59262959"/>
    <w:rsid w:val="592D43ED"/>
    <w:rsid w:val="59361A6F"/>
    <w:rsid w:val="59384B70"/>
    <w:rsid w:val="594B773C"/>
    <w:rsid w:val="595B7E8B"/>
    <w:rsid w:val="595C5FE5"/>
    <w:rsid w:val="59696CD7"/>
    <w:rsid w:val="596C1877"/>
    <w:rsid w:val="59777B5B"/>
    <w:rsid w:val="598130FE"/>
    <w:rsid w:val="59883613"/>
    <w:rsid w:val="598B4768"/>
    <w:rsid w:val="599E621A"/>
    <w:rsid w:val="599E62C6"/>
    <w:rsid w:val="59A13496"/>
    <w:rsid w:val="59A77A9F"/>
    <w:rsid w:val="59AB510D"/>
    <w:rsid w:val="59E91418"/>
    <w:rsid w:val="59F55A61"/>
    <w:rsid w:val="5A3F66BE"/>
    <w:rsid w:val="5A602D2A"/>
    <w:rsid w:val="5A6106D7"/>
    <w:rsid w:val="5A7165EB"/>
    <w:rsid w:val="5A754DE0"/>
    <w:rsid w:val="5A8F7D6E"/>
    <w:rsid w:val="5AB4012F"/>
    <w:rsid w:val="5AC57D04"/>
    <w:rsid w:val="5AF2671B"/>
    <w:rsid w:val="5AFA329D"/>
    <w:rsid w:val="5B0032B0"/>
    <w:rsid w:val="5B0806C3"/>
    <w:rsid w:val="5B0E5A5D"/>
    <w:rsid w:val="5B1328EB"/>
    <w:rsid w:val="5B140B0B"/>
    <w:rsid w:val="5B163119"/>
    <w:rsid w:val="5B2A6CEC"/>
    <w:rsid w:val="5B2E1A53"/>
    <w:rsid w:val="5B552736"/>
    <w:rsid w:val="5B6A0D6D"/>
    <w:rsid w:val="5B79050A"/>
    <w:rsid w:val="5B8300B1"/>
    <w:rsid w:val="5BA44BB9"/>
    <w:rsid w:val="5BB16E51"/>
    <w:rsid w:val="5BC40C3F"/>
    <w:rsid w:val="5BC763FA"/>
    <w:rsid w:val="5BCB2F7A"/>
    <w:rsid w:val="5BE61918"/>
    <w:rsid w:val="5BF16825"/>
    <w:rsid w:val="5BF226BA"/>
    <w:rsid w:val="5BFD00DC"/>
    <w:rsid w:val="5C07081F"/>
    <w:rsid w:val="5C0D7460"/>
    <w:rsid w:val="5C1B42CB"/>
    <w:rsid w:val="5C1E6F42"/>
    <w:rsid w:val="5C2736D6"/>
    <w:rsid w:val="5C276B42"/>
    <w:rsid w:val="5C3B71CF"/>
    <w:rsid w:val="5C4A013A"/>
    <w:rsid w:val="5C4F4DAC"/>
    <w:rsid w:val="5C8276A4"/>
    <w:rsid w:val="5C8521B9"/>
    <w:rsid w:val="5C962598"/>
    <w:rsid w:val="5CBB237A"/>
    <w:rsid w:val="5CD10B9A"/>
    <w:rsid w:val="5CD13336"/>
    <w:rsid w:val="5CD32C78"/>
    <w:rsid w:val="5CD95B7B"/>
    <w:rsid w:val="5CED6B26"/>
    <w:rsid w:val="5D032631"/>
    <w:rsid w:val="5D070A3A"/>
    <w:rsid w:val="5D28389C"/>
    <w:rsid w:val="5D317533"/>
    <w:rsid w:val="5D3C3FFA"/>
    <w:rsid w:val="5D467217"/>
    <w:rsid w:val="5D507E75"/>
    <w:rsid w:val="5D610296"/>
    <w:rsid w:val="5D796EB5"/>
    <w:rsid w:val="5D7C3368"/>
    <w:rsid w:val="5D7C46B9"/>
    <w:rsid w:val="5D7E37A9"/>
    <w:rsid w:val="5D7E5538"/>
    <w:rsid w:val="5D8F4B6A"/>
    <w:rsid w:val="5D9513EC"/>
    <w:rsid w:val="5D9E0579"/>
    <w:rsid w:val="5DAE569B"/>
    <w:rsid w:val="5DB70560"/>
    <w:rsid w:val="5DBC2F3B"/>
    <w:rsid w:val="5DBC44C3"/>
    <w:rsid w:val="5DC733C2"/>
    <w:rsid w:val="5DD0445A"/>
    <w:rsid w:val="5DD53F59"/>
    <w:rsid w:val="5DD63FDC"/>
    <w:rsid w:val="5DE64EFC"/>
    <w:rsid w:val="5DEB59C8"/>
    <w:rsid w:val="5DED691D"/>
    <w:rsid w:val="5DFD65DD"/>
    <w:rsid w:val="5E102AF4"/>
    <w:rsid w:val="5E1D07CE"/>
    <w:rsid w:val="5E360B0A"/>
    <w:rsid w:val="5E3C0228"/>
    <w:rsid w:val="5E671A49"/>
    <w:rsid w:val="5E80146C"/>
    <w:rsid w:val="5E9EA529"/>
    <w:rsid w:val="5EA50120"/>
    <w:rsid w:val="5EB15D0A"/>
    <w:rsid w:val="5EC01C40"/>
    <w:rsid w:val="5EE4753E"/>
    <w:rsid w:val="5EF40B25"/>
    <w:rsid w:val="5EF801CE"/>
    <w:rsid w:val="5F013A94"/>
    <w:rsid w:val="5F10740D"/>
    <w:rsid w:val="5F263E1E"/>
    <w:rsid w:val="5F26459A"/>
    <w:rsid w:val="5F2913F5"/>
    <w:rsid w:val="5F2C6754"/>
    <w:rsid w:val="5F4A1345"/>
    <w:rsid w:val="5F546C87"/>
    <w:rsid w:val="5F617CF3"/>
    <w:rsid w:val="5F782CE4"/>
    <w:rsid w:val="5F800DC9"/>
    <w:rsid w:val="5F9640C4"/>
    <w:rsid w:val="5F972F90"/>
    <w:rsid w:val="5F9E39E2"/>
    <w:rsid w:val="5FAF46CE"/>
    <w:rsid w:val="5FBB03B7"/>
    <w:rsid w:val="5FCA3C91"/>
    <w:rsid w:val="5FD122E2"/>
    <w:rsid w:val="5FD14362"/>
    <w:rsid w:val="5FE37D27"/>
    <w:rsid w:val="5FF11056"/>
    <w:rsid w:val="60187A77"/>
    <w:rsid w:val="60194ABD"/>
    <w:rsid w:val="602F0DBA"/>
    <w:rsid w:val="602F2781"/>
    <w:rsid w:val="6033049D"/>
    <w:rsid w:val="604D4C6F"/>
    <w:rsid w:val="6050346E"/>
    <w:rsid w:val="605F3613"/>
    <w:rsid w:val="60A522C5"/>
    <w:rsid w:val="60AB2E2F"/>
    <w:rsid w:val="60B078DD"/>
    <w:rsid w:val="60B27F91"/>
    <w:rsid w:val="60D128AF"/>
    <w:rsid w:val="60E14245"/>
    <w:rsid w:val="60E42BCC"/>
    <w:rsid w:val="60ED69E4"/>
    <w:rsid w:val="61020CE0"/>
    <w:rsid w:val="61275175"/>
    <w:rsid w:val="61675B66"/>
    <w:rsid w:val="617B4F34"/>
    <w:rsid w:val="6180099D"/>
    <w:rsid w:val="619D4ECE"/>
    <w:rsid w:val="61C1581A"/>
    <w:rsid w:val="61DA7327"/>
    <w:rsid w:val="61EA30E5"/>
    <w:rsid w:val="61F2531E"/>
    <w:rsid w:val="61F36109"/>
    <w:rsid w:val="61F97FB6"/>
    <w:rsid w:val="62067AF2"/>
    <w:rsid w:val="6211400A"/>
    <w:rsid w:val="62173BA3"/>
    <w:rsid w:val="621B1162"/>
    <w:rsid w:val="621E0EB2"/>
    <w:rsid w:val="62362F32"/>
    <w:rsid w:val="623F57E0"/>
    <w:rsid w:val="6256312D"/>
    <w:rsid w:val="626C5880"/>
    <w:rsid w:val="628232F6"/>
    <w:rsid w:val="629525B7"/>
    <w:rsid w:val="62A569BB"/>
    <w:rsid w:val="62B02C7A"/>
    <w:rsid w:val="62B63924"/>
    <w:rsid w:val="62B75841"/>
    <w:rsid w:val="62BC6478"/>
    <w:rsid w:val="62CD56A3"/>
    <w:rsid w:val="62D00AD0"/>
    <w:rsid w:val="62D35295"/>
    <w:rsid w:val="62DB6218"/>
    <w:rsid w:val="62E2270D"/>
    <w:rsid w:val="631A1FED"/>
    <w:rsid w:val="631A6445"/>
    <w:rsid w:val="631F16E2"/>
    <w:rsid w:val="632031E2"/>
    <w:rsid w:val="634B32BB"/>
    <w:rsid w:val="634C638E"/>
    <w:rsid w:val="63555971"/>
    <w:rsid w:val="63777387"/>
    <w:rsid w:val="637874E2"/>
    <w:rsid w:val="6381535B"/>
    <w:rsid w:val="6393188C"/>
    <w:rsid w:val="639A5286"/>
    <w:rsid w:val="63BE616A"/>
    <w:rsid w:val="63C658AE"/>
    <w:rsid w:val="6416294C"/>
    <w:rsid w:val="646A437F"/>
    <w:rsid w:val="64A20D94"/>
    <w:rsid w:val="64A54C2A"/>
    <w:rsid w:val="64AF53A8"/>
    <w:rsid w:val="64B82026"/>
    <w:rsid w:val="64C20C1C"/>
    <w:rsid w:val="64D46226"/>
    <w:rsid w:val="64E21E2A"/>
    <w:rsid w:val="64E322A8"/>
    <w:rsid w:val="64EE7EA7"/>
    <w:rsid w:val="64F367F6"/>
    <w:rsid w:val="64F963BF"/>
    <w:rsid w:val="64FF281B"/>
    <w:rsid w:val="650215F3"/>
    <w:rsid w:val="65292B1A"/>
    <w:rsid w:val="65593EB7"/>
    <w:rsid w:val="656E7B61"/>
    <w:rsid w:val="65835665"/>
    <w:rsid w:val="659F7D1B"/>
    <w:rsid w:val="65A71CFA"/>
    <w:rsid w:val="65AB4BEC"/>
    <w:rsid w:val="65C46267"/>
    <w:rsid w:val="65DB73B8"/>
    <w:rsid w:val="65DC4597"/>
    <w:rsid w:val="65F97A2D"/>
    <w:rsid w:val="66194447"/>
    <w:rsid w:val="661B1482"/>
    <w:rsid w:val="66513522"/>
    <w:rsid w:val="665E3CE8"/>
    <w:rsid w:val="66664556"/>
    <w:rsid w:val="667352C5"/>
    <w:rsid w:val="66A05A11"/>
    <w:rsid w:val="66A25F24"/>
    <w:rsid w:val="66A31D9C"/>
    <w:rsid w:val="66C739CD"/>
    <w:rsid w:val="66D537ED"/>
    <w:rsid w:val="66E84973"/>
    <w:rsid w:val="66FE6B6A"/>
    <w:rsid w:val="67072185"/>
    <w:rsid w:val="670D441D"/>
    <w:rsid w:val="671C1BD8"/>
    <w:rsid w:val="67443B21"/>
    <w:rsid w:val="67784BE4"/>
    <w:rsid w:val="677A6F48"/>
    <w:rsid w:val="677C2F50"/>
    <w:rsid w:val="678C0E7E"/>
    <w:rsid w:val="67A00ABC"/>
    <w:rsid w:val="67A65425"/>
    <w:rsid w:val="67CA318F"/>
    <w:rsid w:val="67DC5491"/>
    <w:rsid w:val="67E622B3"/>
    <w:rsid w:val="67EA2D0F"/>
    <w:rsid w:val="67F74F0C"/>
    <w:rsid w:val="67F925EE"/>
    <w:rsid w:val="680467AF"/>
    <w:rsid w:val="680D5332"/>
    <w:rsid w:val="681701CA"/>
    <w:rsid w:val="682D5BA0"/>
    <w:rsid w:val="683F3AC4"/>
    <w:rsid w:val="68430781"/>
    <w:rsid w:val="686F5423"/>
    <w:rsid w:val="688C3790"/>
    <w:rsid w:val="688D10E4"/>
    <w:rsid w:val="68B75C4E"/>
    <w:rsid w:val="68ED5A14"/>
    <w:rsid w:val="68FF17E6"/>
    <w:rsid w:val="690E3B78"/>
    <w:rsid w:val="69207390"/>
    <w:rsid w:val="69486ECC"/>
    <w:rsid w:val="69534E19"/>
    <w:rsid w:val="6953779A"/>
    <w:rsid w:val="69653029"/>
    <w:rsid w:val="69683E99"/>
    <w:rsid w:val="698C6D24"/>
    <w:rsid w:val="69B650A8"/>
    <w:rsid w:val="69C675CD"/>
    <w:rsid w:val="69D47648"/>
    <w:rsid w:val="69E96E0F"/>
    <w:rsid w:val="6A026ACA"/>
    <w:rsid w:val="6A072596"/>
    <w:rsid w:val="6A122C84"/>
    <w:rsid w:val="6A4A1BF9"/>
    <w:rsid w:val="6A5523F4"/>
    <w:rsid w:val="6A5812AE"/>
    <w:rsid w:val="6A8A55B7"/>
    <w:rsid w:val="6AA13BE3"/>
    <w:rsid w:val="6AA13E10"/>
    <w:rsid w:val="6AA51EAC"/>
    <w:rsid w:val="6AA933EA"/>
    <w:rsid w:val="6AB440A0"/>
    <w:rsid w:val="6AB95B63"/>
    <w:rsid w:val="6ABD2CB7"/>
    <w:rsid w:val="6ABF0F2A"/>
    <w:rsid w:val="6AC226C5"/>
    <w:rsid w:val="6AC66F70"/>
    <w:rsid w:val="6ACC2D06"/>
    <w:rsid w:val="6AEB5225"/>
    <w:rsid w:val="6AF50393"/>
    <w:rsid w:val="6AF65DFA"/>
    <w:rsid w:val="6AFA2A3D"/>
    <w:rsid w:val="6B2338BD"/>
    <w:rsid w:val="6B247622"/>
    <w:rsid w:val="6B4E700F"/>
    <w:rsid w:val="6B504C0A"/>
    <w:rsid w:val="6B965F39"/>
    <w:rsid w:val="6B9C496F"/>
    <w:rsid w:val="6BAC79E5"/>
    <w:rsid w:val="6BB12944"/>
    <w:rsid w:val="6BD567CF"/>
    <w:rsid w:val="6BD81E3D"/>
    <w:rsid w:val="6BF36FA5"/>
    <w:rsid w:val="6C1D7BEB"/>
    <w:rsid w:val="6C2B25A0"/>
    <w:rsid w:val="6C4E3609"/>
    <w:rsid w:val="6C5A6FB5"/>
    <w:rsid w:val="6C894407"/>
    <w:rsid w:val="6C995A38"/>
    <w:rsid w:val="6CA15ECC"/>
    <w:rsid w:val="6CB10752"/>
    <w:rsid w:val="6CB309EF"/>
    <w:rsid w:val="6CB87914"/>
    <w:rsid w:val="6CBA0D1F"/>
    <w:rsid w:val="6CC47B2F"/>
    <w:rsid w:val="6CCC17CE"/>
    <w:rsid w:val="6CE54BAD"/>
    <w:rsid w:val="6CE8101B"/>
    <w:rsid w:val="6CEC321F"/>
    <w:rsid w:val="6CEE7292"/>
    <w:rsid w:val="6CEF2FB1"/>
    <w:rsid w:val="6CFD1B93"/>
    <w:rsid w:val="6D266772"/>
    <w:rsid w:val="6D272642"/>
    <w:rsid w:val="6D2854A6"/>
    <w:rsid w:val="6D3309F8"/>
    <w:rsid w:val="6D3F1EC7"/>
    <w:rsid w:val="6D65362B"/>
    <w:rsid w:val="6D744E54"/>
    <w:rsid w:val="6D8617C0"/>
    <w:rsid w:val="6DB50993"/>
    <w:rsid w:val="6DB62B4B"/>
    <w:rsid w:val="6DC263FD"/>
    <w:rsid w:val="6DC47111"/>
    <w:rsid w:val="6DDE6CE7"/>
    <w:rsid w:val="6DF130DE"/>
    <w:rsid w:val="6DF78295"/>
    <w:rsid w:val="6DF87863"/>
    <w:rsid w:val="6E076DA5"/>
    <w:rsid w:val="6E113E4B"/>
    <w:rsid w:val="6E4E40C8"/>
    <w:rsid w:val="6E5A7850"/>
    <w:rsid w:val="6E636042"/>
    <w:rsid w:val="6E6D2C08"/>
    <w:rsid w:val="6E6E5B24"/>
    <w:rsid w:val="6E760EFB"/>
    <w:rsid w:val="6E7B44FE"/>
    <w:rsid w:val="6E8E394F"/>
    <w:rsid w:val="6EA15BB7"/>
    <w:rsid w:val="6EA30CEE"/>
    <w:rsid w:val="6EA63DEE"/>
    <w:rsid w:val="6EB8529A"/>
    <w:rsid w:val="6F1F655F"/>
    <w:rsid w:val="6F455859"/>
    <w:rsid w:val="6F4B6C67"/>
    <w:rsid w:val="6F712292"/>
    <w:rsid w:val="6F803FC0"/>
    <w:rsid w:val="6F8C266A"/>
    <w:rsid w:val="6F946ED5"/>
    <w:rsid w:val="6F9612CB"/>
    <w:rsid w:val="6F9C09A1"/>
    <w:rsid w:val="6FA786AF"/>
    <w:rsid w:val="6FC53F07"/>
    <w:rsid w:val="6FC55474"/>
    <w:rsid w:val="6FD41AE9"/>
    <w:rsid w:val="6FEDF8D5"/>
    <w:rsid w:val="6FF03E15"/>
    <w:rsid w:val="6FF530BD"/>
    <w:rsid w:val="6FF7056E"/>
    <w:rsid w:val="7014277E"/>
    <w:rsid w:val="70234FA9"/>
    <w:rsid w:val="70361638"/>
    <w:rsid w:val="70486310"/>
    <w:rsid w:val="70545BA6"/>
    <w:rsid w:val="70660A4D"/>
    <w:rsid w:val="706A7177"/>
    <w:rsid w:val="70727120"/>
    <w:rsid w:val="708E10B8"/>
    <w:rsid w:val="70B7045C"/>
    <w:rsid w:val="70E12CBD"/>
    <w:rsid w:val="70EA38C4"/>
    <w:rsid w:val="70FF6F71"/>
    <w:rsid w:val="71325D08"/>
    <w:rsid w:val="715E504B"/>
    <w:rsid w:val="715F5000"/>
    <w:rsid w:val="716E5D48"/>
    <w:rsid w:val="718379A0"/>
    <w:rsid w:val="71951823"/>
    <w:rsid w:val="71976C81"/>
    <w:rsid w:val="71AD26C2"/>
    <w:rsid w:val="71B93CFD"/>
    <w:rsid w:val="71CE5200"/>
    <w:rsid w:val="71D7450E"/>
    <w:rsid w:val="71DB6F3E"/>
    <w:rsid w:val="71E66F68"/>
    <w:rsid w:val="71F21818"/>
    <w:rsid w:val="71FE5DBD"/>
    <w:rsid w:val="72141825"/>
    <w:rsid w:val="721C2CB6"/>
    <w:rsid w:val="72330E5C"/>
    <w:rsid w:val="723776DA"/>
    <w:rsid w:val="723C010B"/>
    <w:rsid w:val="725918EB"/>
    <w:rsid w:val="725F0F5E"/>
    <w:rsid w:val="726A0424"/>
    <w:rsid w:val="726E1701"/>
    <w:rsid w:val="726F48E8"/>
    <w:rsid w:val="727A666E"/>
    <w:rsid w:val="72830CB3"/>
    <w:rsid w:val="728341DF"/>
    <w:rsid w:val="7284105E"/>
    <w:rsid w:val="728E59F2"/>
    <w:rsid w:val="728F2A08"/>
    <w:rsid w:val="72966949"/>
    <w:rsid w:val="72980A97"/>
    <w:rsid w:val="729F6648"/>
    <w:rsid w:val="72B10794"/>
    <w:rsid w:val="72B13AFE"/>
    <w:rsid w:val="72BA43E6"/>
    <w:rsid w:val="72E03208"/>
    <w:rsid w:val="72F10C5B"/>
    <w:rsid w:val="72FC1FD8"/>
    <w:rsid w:val="730205AC"/>
    <w:rsid w:val="730912E2"/>
    <w:rsid w:val="73111390"/>
    <w:rsid w:val="731400B3"/>
    <w:rsid w:val="73330F8D"/>
    <w:rsid w:val="73364D26"/>
    <w:rsid w:val="73382BD5"/>
    <w:rsid w:val="733A588C"/>
    <w:rsid w:val="73441BE4"/>
    <w:rsid w:val="734660C9"/>
    <w:rsid w:val="7357634A"/>
    <w:rsid w:val="735D2FC3"/>
    <w:rsid w:val="73635AF7"/>
    <w:rsid w:val="737443EE"/>
    <w:rsid w:val="73785109"/>
    <w:rsid w:val="737B0514"/>
    <w:rsid w:val="73881F79"/>
    <w:rsid w:val="739F195E"/>
    <w:rsid w:val="73AD0937"/>
    <w:rsid w:val="73BC005E"/>
    <w:rsid w:val="73C322AE"/>
    <w:rsid w:val="73E65287"/>
    <w:rsid w:val="73E74E7C"/>
    <w:rsid w:val="73ED761F"/>
    <w:rsid w:val="73F16462"/>
    <w:rsid w:val="73FE3A7B"/>
    <w:rsid w:val="743201EE"/>
    <w:rsid w:val="743B48C9"/>
    <w:rsid w:val="74441C85"/>
    <w:rsid w:val="744A6829"/>
    <w:rsid w:val="74744A02"/>
    <w:rsid w:val="747619DF"/>
    <w:rsid w:val="74847D88"/>
    <w:rsid w:val="74891E9B"/>
    <w:rsid w:val="74945700"/>
    <w:rsid w:val="74AE64AF"/>
    <w:rsid w:val="74CD60FC"/>
    <w:rsid w:val="74D52FDA"/>
    <w:rsid w:val="74DD2C14"/>
    <w:rsid w:val="74F52A34"/>
    <w:rsid w:val="74F86208"/>
    <w:rsid w:val="750A1D63"/>
    <w:rsid w:val="753E0935"/>
    <w:rsid w:val="753EFB76"/>
    <w:rsid w:val="754955A1"/>
    <w:rsid w:val="754E52B9"/>
    <w:rsid w:val="75527E9E"/>
    <w:rsid w:val="75696B9E"/>
    <w:rsid w:val="75700B76"/>
    <w:rsid w:val="75725679"/>
    <w:rsid w:val="757A78E8"/>
    <w:rsid w:val="757BFC2C"/>
    <w:rsid w:val="758C0963"/>
    <w:rsid w:val="759A405B"/>
    <w:rsid w:val="75A12E04"/>
    <w:rsid w:val="75A25FBE"/>
    <w:rsid w:val="75AB27CF"/>
    <w:rsid w:val="75B864B0"/>
    <w:rsid w:val="75DC00A7"/>
    <w:rsid w:val="75EA283A"/>
    <w:rsid w:val="75EA4FE2"/>
    <w:rsid w:val="75EF24BF"/>
    <w:rsid w:val="75F2404D"/>
    <w:rsid w:val="75F6664F"/>
    <w:rsid w:val="76197675"/>
    <w:rsid w:val="762A6F9F"/>
    <w:rsid w:val="763B6049"/>
    <w:rsid w:val="763F6E83"/>
    <w:rsid w:val="765C44AC"/>
    <w:rsid w:val="767E0A5F"/>
    <w:rsid w:val="76811BC0"/>
    <w:rsid w:val="76896EB2"/>
    <w:rsid w:val="768A5928"/>
    <w:rsid w:val="768D05FC"/>
    <w:rsid w:val="76A632DC"/>
    <w:rsid w:val="76B71830"/>
    <w:rsid w:val="76BF157A"/>
    <w:rsid w:val="76FB2E8F"/>
    <w:rsid w:val="771616A6"/>
    <w:rsid w:val="771A3720"/>
    <w:rsid w:val="771B4188"/>
    <w:rsid w:val="772818CF"/>
    <w:rsid w:val="7734024A"/>
    <w:rsid w:val="77403012"/>
    <w:rsid w:val="7760657C"/>
    <w:rsid w:val="77616C02"/>
    <w:rsid w:val="776838FC"/>
    <w:rsid w:val="777922FA"/>
    <w:rsid w:val="778F4904"/>
    <w:rsid w:val="77920195"/>
    <w:rsid w:val="779616E6"/>
    <w:rsid w:val="779F4EF4"/>
    <w:rsid w:val="77B04237"/>
    <w:rsid w:val="77B24984"/>
    <w:rsid w:val="77BC7CFF"/>
    <w:rsid w:val="77BE70C2"/>
    <w:rsid w:val="77D02017"/>
    <w:rsid w:val="77D031DA"/>
    <w:rsid w:val="77EC2A9F"/>
    <w:rsid w:val="781F1C01"/>
    <w:rsid w:val="78251879"/>
    <w:rsid w:val="784B094F"/>
    <w:rsid w:val="784D44ED"/>
    <w:rsid w:val="785234C2"/>
    <w:rsid w:val="786B4835"/>
    <w:rsid w:val="786C1462"/>
    <w:rsid w:val="786E02BF"/>
    <w:rsid w:val="78795C9C"/>
    <w:rsid w:val="787D5E11"/>
    <w:rsid w:val="788C0B0F"/>
    <w:rsid w:val="789D3F6D"/>
    <w:rsid w:val="78B24F5D"/>
    <w:rsid w:val="78C73258"/>
    <w:rsid w:val="78CF680E"/>
    <w:rsid w:val="78D403AC"/>
    <w:rsid w:val="78D50F59"/>
    <w:rsid w:val="78D54FAE"/>
    <w:rsid w:val="78DB6C3D"/>
    <w:rsid w:val="78FA3995"/>
    <w:rsid w:val="79120349"/>
    <w:rsid w:val="792B1054"/>
    <w:rsid w:val="793115EB"/>
    <w:rsid w:val="79333191"/>
    <w:rsid w:val="793C692D"/>
    <w:rsid w:val="79414A48"/>
    <w:rsid w:val="7981629E"/>
    <w:rsid w:val="799C4201"/>
    <w:rsid w:val="79B92645"/>
    <w:rsid w:val="79BD249F"/>
    <w:rsid w:val="79D40FD6"/>
    <w:rsid w:val="7A102F36"/>
    <w:rsid w:val="7A12552D"/>
    <w:rsid w:val="7A155A62"/>
    <w:rsid w:val="7A221377"/>
    <w:rsid w:val="7A25042E"/>
    <w:rsid w:val="7A252C49"/>
    <w:rsid w:val="7A422A46"/>
    <w:rsid w:val="7A573E79"/>
    <w:rsid w:val="7A861442"/>
    <w:rsid w:val="7A877F7D"/>
    <w:rsid w:val="7A991D11"/>
    <w:rsid w:val="7A9F5C35"/>
    <w:rsid w:val="7AAA7FA2"/>
    <w:rsid w:val="7AB969FC"/>
    <w:rsid w:val="7ABE6A3D"/>
    <w:rsid w:val="7ABF6BB3"/>
    <w:rsid w:val="7AD9303C"/>
    <w:rsid w:val="7AEF7965"/>
    <w:rsid w:val="7AF50332"/>
    <w:rsid w:val="7B24755A"/>
    <w:rsid w:val="7B340AAD"/>
    <w:rsid w:val="7B3B1507"/>
    <w:rsid w:val="7B41398C"/>
    <w:rsid w:val="7B4D7CB4"/>
    <w:rsid w:val="7B540F10"/>
    <w:rsid w:val="7B5E0969"/>
    <w:rsid w:val="7B5E4BA4"/>
    <w:rsid w:val="7B856F45"/>
    <w:rsid w:val="7B8757E0"/>
    <w:rsid w:val="7B8A78A1"/>
    <w:rsid w:val="7B9C1F3F"/>
    <w:rsid w:val="7BAE1137"/>
    <w:rsid w:val="7BCF5F22"/>
    <w:rsid w:val="7BE7506E"/>
    <w:rsid w:val="7C161448"/>
    <w:rsid w:val="7C296138"/>
    <w:rsid w:val="7C4357E5"/>
    <w:rsid w:val="7C4B644A"/>
    <w:rsid w:val="7C4C0828"/>
    <w:rsid w:val="7C5978A8"/>
    <w:rsid w:val="7C60276B"/>
    <w:rsid w:val="7C635AF3"/>
    <w:rsid w:val="7C7A7080"/>
    <w:rsid w:val="7C8618B6"/>
    <w:rsid w:val="7C8B221B"/>
    <w:rsid w:val="7C9C43AD"/>
    <w:rsid w:val="7CA0386F"/>
    <w:rsid w:val="7CA13D1C"/>
    <w:rsid w:val="7CA22422"/>
    <w:rsid w:val="7CCF049A"/>
    <w:rsid w:val="7CD16631"/>
    <w:rsid w:val="7CDC74AE"/>
    <w:rsid w:val="7CFC5143"/>
    <w:rsid w:val="7CFD11DF"/>
    <w:rsid w:val="7D09206C"/>
    <w:rsid w:val="7D1C72D7"/>
    <w:rsid w:val="7D250A0A"/>
    <w:rsid w:val="7D30555C"/>
    <w:rsid w:val="7D503C28"/>
    <w:rsid w:val="7D5439F1"/>
    <w:rsid w:val="7D547379"/>
    <w:rsid w:val="7D554571"/>
    <w:rsid w:val="7D80430E"/>
    <w:rsid w:val="7D9119B2"/>
    <w:rsid w:val="7DA5642D"/>
    <w:rsid w:val="7DB74CDC"/>
    <w:rsid w:val="7DBD3A96"/>
    <w:rsid w:val="7DDFD69C"/>
    <w:rsid w:val="7DE0103A"/>
    <w:rsid w:val="7DE06756"/>
    <w:rsid w:val="7E015789"/>
    <w:rsid w:val="7E050E35"/>
    <w:rsid w:val="7E06649E"/>
    <w:rsid w:val="7E09296A"/>
    <w:rsid w:val="7E0D753A"/>
    <w:rsid w:val="7E0F5F32"/>
    <w:rsid w:val="7E147786"/>
    <w:rsid w:val="7E24305B"/>
    <w:rsid w:val="7E324DEE"/>
    <w:rsid w:val="7E355523"/>
    <w:rsid w:val="7E3C5BDE"/>
    <w:rsid w:val="7E414504"/>
    <w:rsid w:val="7E456581"/>
    <w:rsid w:val="7E5E643B"/>
    <w:rsid w:val="7E6278F6"/>
    <w:rsid w:val="7E644309"/>
    <w:rsid w:val="7E6D6011"/>
    <w:rsid w:val="7E700B69"/>
    <w:rsid w:val="7E7A199D"/>
    <w:rsid w:val="7E8B09C9"/>
    <w:rsid w:val="7EBD6B57"/>
    <w:rsid w:val="7ECD54A1"/>
    <w:rsid w:val="7EDD5EC2"/>
    <w:rsid w:val="7EE0405C"/>
    <w:rsid w:val="7EE10F4C"/>
    <w:rsid w:val="7F0B1B9C"/>
    <w:rsid w:val="7F245C4D"/>
    <w:rsid w:val="7F3E25F2"/>
    <w:rsid w:val="7F441F19"/>
    <w:rsid w:val="7F646992"/>
    <w:rsid w:val="7F665DA8"/>
    <w:rsid w:val="7F6A7BFB"/>
    <w:rsid w:val="7F7839DA"/>
    <w:rsid w:val="7F8B0A93"/>
    <w:rsid w:val="7F912012"/>
    <w:rsid w:val="7F941C7C"/>
    <w:rsid w:val="7FAD07BF"/>
    <w:rsid w:val="7FB30BA3"/>
    <w:rsid w:val="7FB5EDD8"/>
    <w:rsid w:val="7FB7AEBF"/>
    <w:rsid w:val="7FC810F1"/>
    <w:rsid w:val="7FD81BD8"/>
    <w:rsid w:val="7FF77413"/>
    <w:rsid w:val="7FFB6671"/>
    <w:rsid w:val="96FC2D7F"/>
    <w:rsid w:val="9BECFB91"/>
    <w:rsid w:val="9EBCFC06"/>
    <w:rsid w:val="B6AA6BD2"/>
    <w:rsid w:val="BE97E8FB"/>
    <w:rsid w:val="BF9BDD33"/>
    <w:rsid w:val="BFF28851"/>
    <w:rsid w:val="BFF721BC"/>
    <w:rsid w:val="CDF99EBC"/>
    <w:rsid w:val="CFBD6FFB"/>
    <w:rsid w:val="DBEC361B"/>
    <w:rsid w:val="DBEFAA94"/>
    <w:rsid w:val="DBFFE4C1"/>
    <w:rsid w:val="DEDD453E"/>
    <w:rsid w:val="ECDFAC2B"/>
    <w:rsid w:val="EDDC883D"/>
    <w:rsid w:val="EEFE9597"/>
    <w:rsid w:val="F3B700E1"/>
    <w:rsid w:val="F57C2A75"/>
    <w:rsid w:val="F986ED27"/>
    <w:rsid w:val="FAFDB191"/>
    <w:rsid w:val="FB6F459C"/>
    <w:rsid w:val="FCFD6FFD"/>
    <w:rsid w:val="FCFFDEE9"/>
    <w:rsid w:val="FE1FCA89"/>
    <w:rsid w:val="FEFCAB41"/>
    <w:rsid w:val="FF512AEA"/>
    <w:rsid w:val="FF7348D9"/>
    <w:rsid w:val="FFBF50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94" w:lineRule="exact"/>
      <w:ind w:firstLine="880" w:firstLineChars="200"/>
      <w:jc w:val="both"/>
    </w:pPr>
    <w:rPr>
      <w:rFonts w:ascii="Times New Roman" w:hAnsi="Times New Roman" w:eastAsia="方正仿宋_GBK" w:cs="Arial"/>
      <w:kern w:val="2"/>
      <w:sz w:val="32"/>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rPr>
  </w:style>
  <w:style w:type="paragraph" w:styleId="4">
    <w:name w:val="heading 3"/>
    <w:basedOn w:val="1"/>
    <w:next w:val="1"/>
    <w:semiHidden/>
    <w:unhideWhenUsed/>
    <w:qFormat/>
    <w:uiPriority w:val="0"/>
    <w:pPr>
      <w:spacing w:beforeAutospacing="1" w:after="0" w:afterAutospacing="1"/>
      <w:jc w:val="left"/>
      <w:outlineLvl w:val="2"/>
    </w:pPr>
    <w:rPr>
      <w:rFonts w:hint="eastAsia" w:ascii="宋体" w:hAnsi="宋体" w:eastAsia="宋体" w:cs="Times New Roman"/>
      <w:b/>
      <w:bCs/>
      <w:kern w:val="0"/>
      <w:sz w:val="27"/>
      <w:szCs w:val="27"/>
    </w:rPr>
  </w:style>
  <w:style w:type="paragraph" w:styleId="5">
    <w:name w:val="heading 4"/>
    <w:basedOn w:val="3"/>
    <w:next w:val="1"/>
    <w:qFormat/>
    <w:uiPriority w:val="0"/>
    <w:pPr>
      <w:spacing w:before="280" w:after="290" w:line="376" w:lineRule="auto"/>
      <w:outlineLvl w:val="3"/>
    </w:pPr>
    <w:rPr>
      <w:rFonts w:ascii="等线 Light" w:hAnsi="等线 Light" w:eastAsia="等线 Light" w:cs="Times New Roman"/>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ascii="Calibri" w:hAnsi="Calibri" w:eastAsia="宋体" w:cs="Times New Roman"/>
      <w:sz w:val="21"/>
      <w:szCs w:val="24"/>
    </w:rPr>
  </w:style>
  <w:style w:type="paragraph" w:styleId="6">
    <w:name w:val="index 6"/>
    <w:basedOn w:val="1"/>
    <w:next w:val="1"/>
    <w:unhideWhenUsed/>
    <w:qFormat/>
    <w:uiPriority w:val="99"/>
    <w:pPr>
      <w:ind w:left="2100"/>
    </w:pPr>
  </w:style>
  <w:style w:type="paragraph" w:styleId="7">
    <w:name w:val="Body Text"/>
    <w:basedOn w:val="1"/>
    <w:next w:val="8"/>
    <w:qFormat/>
    <w:uiPriority w:val="0"/>
    <w:pPr>
      <w:spacing w:after="120"/>
    </w:pPr>
    <w:rPr>
      <w:rFonts w:eastAsia="宋体" w:cs="Times New Roman"/>
      <w:szCs w:val="24"/>
    </w:rPr>
  </w:style>
  <w:style w:type="paragraph" w:styleId="8">
    <w:name w:val="toc 5"/>
    <w:basedOn w:val="1"/>
    <w:next w:val="1"/>
    <w:unhideWhenUsed/>
    <w:qFormat/>
    <w:uiPriority w:val="39"/>
    <w:pPr>
      <w:ind w:left="1280"/>
      <w:jc w:val="left"/>
    </w:pPr>
    <w:rPr>
      <w:rFonts w:ascii="Calibri" w:hAnsi="Calibri" w:cs="Calibri"/>
      <w:sz w:val="20"/>
    </w:r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30"/>
    <w:qFormat/>
    <w:uiPriority w:val="0"/>
    <w:pPr>
      <w:spacing w:after="0" w:line="240" w:lineRule="auto"/>
    </w:pPr>
    <w:rPr>
      <w:sz w:val="18"/>
      <w:szCs w:val="18"/>
    </w:rPr>
  </w:style>
  <w:style w:type="paragraph" w:styleId="11">
    <w:name w:val="footer"/>
    <w:basedOn w:val="1"/>
    <w:next w:val="6"/>
    <w:link w:val="29"/>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Normal (Web)"/>
    <w:basedOn w:val="1"/>
    <w:qFormat/>
    <w:uiPriority w:val="0"/>
    <w:pPr>
      <w:spacing w:beforeAutospacing="1" w:after="0" w:afterAutospacing="1"/>
      <w:jc w:val="left"/>
    </w:pPr>
    <w:rPr>
      <w:rFonts w:cs="Times New Roman"/>
      <w:kern w:val="0"/>
      <w:sz w:val="24"/>
    </w:rPr>
  </w:style>
  <w:style w:type="paragraph" w:styleId="14">
    <w:name w:val="Body Text First Indent"/>
    <w:next w:val="6"/>
    <w:qFormat/>
    <w:uiPriority w:val="0"/>
    <w:pPr>
      <w:spacing w:after="120" w:line="600" w:lineRule="exact"/>
      <w:ind w:firstLine="100" w:firstLineChars="100"/>
      <w:jc w:val="both"/>
    </w:pPr>
    <w:rPr>
      <w:rFonts w:ascii="Times New Roman" w:hAnsi="Times New Roman" w:eastAsia="方正仿宋_GBK" w:cs="Times New Roman"/>
      <w:kern w:val="2"/>
      <w:sz w:val="32"/>
      <w:szCs w:val="22"/>
      <w:lang w:val="en-US" w:eastAsia="zh-CN" w:bidi="ar-SA"/>
    </w:r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themeColor="hyperlink"/>
      <w:u w:val="single"/>
      <w14:textFill>
        <w14:solidFill>
          <w14:schemeClr w14:val="hlink"/>
        </w14:solidFill>
      </w14:textFill>
    </w:rPr>
  </w:style>
  <w:style w:type="paragraph" w:customStyle="1" w:styleId="20">
    <w:name w:val="Default"/>
    <w:next w:val="1"/>
    <w:qFormat/>
    <w:uiPriority w:val="0"/>
    <w:pPr>
      <w:widowControl w:val="0"/>
      <w:autoSpaceDE w:val="0"/>
      <w:autoSpaceDN w:val="0"/>
      <w:adjustRightInd w:val="0"/>
      <w:spacing w:after="160" w:line="278" w:lineRule="auto"/>
    </w:pPr>
    <w:rPr>
      <w:rFonts w:ascii="方正小标宋_GBK" w:hAnsi="Calibri" w:eastAsia="方正小标宋_GBK" w:cs="Times New Roman"/>
      <w:color w:val="000000"/>
      <w:sz w:val="24"/>
      <w:szCs w:val="24"/>
      <w:lang w:val="en-US" w:eastAsia="zh-CN" w:bidi="ar-SA"/>
    </w:rPr>
  </w:style>
  <w:style w:type="character" w:customStyle="1" w:styleId="21">
    <w:name w:val="apple-converted-space"/>
    <w:basedOn w:val="16"/>
    <w:qFormat/>
    <w:uiPriority w:val="0"/>
  </w:style>
  <w:style w:type="character" w:customStyle="1" w:styleId="22">
    <w:name w:val="fontstyle01"/>
    <w:basedOn w:val="16"/>
    <w:qFormat/>
    <w:uiPriority w:val="0"/>
    <w:rPr>
      <w:rFonts w:ascii="FZFSK--GBK1-0" w:hAnsi="FZFSK--GBK1-0" w:eastAsia="FZFSK--GBK1-0" w:cs="FZFSK--GBK1-0"/>
      <w:color w:val="000000"/>
      <w:sz w:val="32"/>
      <w:szCs w:val="32"/>
    </w:rPr>
  </w:style>
  <w:style w:type="character" w:customStyle="1" w:styleId="23">
    <w:name w:val="fontstyle11"/>
    <w:basedOn w:val="16"/>
    <w:qFormat/>
    <w:uiPriority w:val="0"/>
    <w:rPr>
      <w:rFonts w:ascii="宋体" w:hAnsi="宋体" w:eastAsia="宋体" w:cs="宋体"/>
      <w:color w:val="000000"/>
      <w:sz w:val="28"/>
      <w:szCs w:val="28"/>
    </w:rPr>
  </w:style>
  <w:style w:type="character" w:customStyle="1" w:styleId="24">
    <w:name w:val="fontstyle31"/>
    <w:basedOn w:val="16"/>
    <w:qFormat/>
    <w:uiPriority w:val="0"/>
    <w:rPr>
      <w:rFonts w:ascii="E-BZ" w:hAnsi="E-BZ" w:eastAsia="E-BZ" w:cs="E-BZ"/>
      <w:color w:val="000000"/>
      <w:sz w:val="30"/>
      <w:szCs w:val="30"/>
    </w:rPr>
  </w:style>
  <w:style w:type="character" w:customStyle="1" w:styleId="25">
    <w:name w:val="fontstyle21"/>
    <w:basedOn w:val="16"/>
    <w:qFormat/>
    <w:uiPriority w:val="0"/>
    <w:rPr>
      <w:rFonts w:ascii="TimesNewRomanPSMT" w:hAnsi="TimesNewRomanPSMT" w:eastAsia="TimesNewRomanPSMT" w:cs="TimesNewRomanPSMT"/>
      <w:color w:val="000000"/>
      <w:sz w:val="32"/>
      <w:szCs w:val="32"/>
    </w:rPr>
  </w:style>
  <w:style w:type="character" w:customStyle="1" w:styleId="26">
    <w:name w:val="font91"/>
    <w:qFormat/>
    <w:uiPriority w:val="0"/>
    <w:rPr>
      <w:rFonts w:ascii="方正仿宋_GBK" w:hAnsi="方正仿宋_GBK" w:eastAsia="方正仿宋_GBK" w:cs="方正仿宋_GBK"/>
      <w:color w:val="000000"/>
      <w:sz w:val="28"/>
      <w:szCs w:val="28"/>
      <w:u w:val="none"/>
    </w:rPr>
  </w:style>
  <w:style w:type="paragraph" w:customStyle="1" w:styleId="27">
    <w:name w:val="BodyText"/>
    <w:basedOn w:val="1"/>
    <w:next w:val="28"/>
    <w:qFormat/>
    <w:uiPriority w:val="0"/>
    <w:pPr>
      <w:jc w:val="center"/>
      <w:textAlignment w:val="baseline"/>
    </w:pPr>
    <w:rPr>
      <w:rFonts w:ascii="Calibri" w:hAnsi="Calibri"/>
      <w:sz w:val="36"/>
    </w:rPr>
  </w:style>
  <w:style w:type="paragraph" w:customStyle="1" w:styleId="28">
    <w:name w:val="UserStyle_0"/>
    <w:qFormat/>
    <w:uiPriority w:val="0"/>
    <w:pPr>
      <w:spacing w:after="160" w:line="278" w:lineRule="auto"/>
      <w:textAlignment w:val="baseline"/>
    </w:pPr>
    <w:rPr>
      <w:rFonts w:ascii="Helvetica" w:hAnsi="Helvetica" w:eastAsia="Helvetica" w:cs="Times New Roman"/>
      <w:color w:val="000000"/>
      <w:sz w:val="22"/>
      <w:szCs w:val="22"/>
      <w:lang w:val="en-US" w:eastAsia="zh-CN" w:bidi="ar-SA"/>
    </w:rPr>
  </w:style>
  <w:style w:type="character" w:customStyle="1" w:styleId="29">
    <w:name w:val="页脚 Char"/>
    <w:basedOn w:val="16"/>
    <w:link w:val="11"/>
    <w:qFormat/>
    <w:uiPriority w:val="99"/>
    <w:rPr>
      <w:rFonts w:eastAsia="方正仿宋_GBK" w:cs="Arial"/>
      <w:kern w:val="2"/>
      <w:sz w:val="18"/>
      <w:szCs w:val="22"/>
    </w:rPr>
  </w:style>
  <w:style w:type="character" w:customStyle="1" w:styleId="30">
    <w:name w:val="批注框文本 Char"/>
    <w:basedOn w:val="16"/>
    <w:link w:val="10"/>
    <w:qFormat/>
    <w:uiPriority w:val="0"/>
    <w:rPr>
      <w:rFonts w:eastAsia="方正仿宋_GBK"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12911</Words>
  <Characters>13930</Characters>
  <Lines>106</Lines>
  <Paragraphs>29</Paragraphs>
  <TotalTime>2</TotalTime>
  <ScaleCrop>false</ScaleCrop>
  <LinksUpToDate>false</LinksUpToDate>
  <CharactersWithSpaces>14062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2022-11-27T11:20:00Z</dcterms:created>
  <dc:creator>YAL-AL00</dc:creator>
  <cp:lastModifiedBy>uos</cp:lastModifiedBy>
  <cp:lastPrinted>2025-02-12T10:08:00Z</cp:lastPrinted>
  <dcterms:modified xsi:type="dcterms:W3CDTF">2025-04-21T16:16:34Z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9F00DD91076D46088961B5476D14C3CA_13</vt:lpwstr>
  </property>
  <property fmtid="{D5CDD505-2E9C-101B-9397-08002B2CF9AE}" pid="3" name="KSOProductBuildVer">
    <vt:lpwstr>2052-11.8.2.11929</vt:lpwstr>
  </property>
  <property fmtid="{D5CDD505-2E9C-101B-9397-08002B2CF9AE}" pid="4" name="KSOTemplateDocerSaveRecord">
    <vt:lpwstr>eyJoZGlkIjoiZjVlMjNkZjUxYzJkOWQ2ZTFhZGY1YmZjMjkwOGIzN2IiLCJ1c2VySWQiOiIxMDE4ODM3NDk5In0=</vt:lpwstr>
  </property>
</Properties>
</file>