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8F1E0">
      <w:pPr>
        <w:spacing w:line="360" w:lineRule="auto"/>
        <w:jc w:val="center"/>
        <w:outlineLvl w:val="0"/>
        <w:rPr>
          <w:rFonts w:hint="eastAsia" w:ascii="仿宋" w:hAnsi="仿宋" w:eastAsia="仿宋" w:cs="仿宋"/>
          <w:color w:val="auto"/>
          <w:sz w:val="52"/>
          <w:highlight w:val="none"/>
        </w:rPr>
      </w:pPr>
      <w:bookmarkStart w:id="190" w:name="_GoBack"/>
    </w:p>
    <w:p w14:paraId="72CF15CF">
      <w:pPr>
        <w:bidi w:val="0"/>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61BEA21C">
      <w:pPr>
        <w:spacing w:line="360" w:lineRule="auto"/>
        <w:jc w:val="center"/>
        <w:outlineLvl w:val="0"/>
        <w:rPr>
          <w:rFonts w:hint="eastAsia" w:ascii="仿宋" w:hAnsi="仿宋" w:eastAsia="仿宋" w:cs="仿宋"/>
          <w:color w:val="auto"/>
          <w:sz w:val="130"/>
          <w:szCs w:val="130"/>
          <w:highlight w:val="none"/>
        </w:rPr>
      </w:pPr>
      <w:r>
        <w:rPr>
          <w:rFonts w:hint="eastAsia" w:ascii="仿宋" w:hAnsi="仿宋" w:eastAsia="仿宋" w:cs="仿宋"/>
          <w:color w:val="auto"/>
          <w:sz w:val="130"/>
          <w:szCs w:val="130"/>
          <w:highlight w:val="none"/>
        </w:rPr>
        <w:t>招 标 文 件</w:t>
      </w:r>
    </w:p>
    <w:p w14:paraId="587F18F4">
      <w:pPr>
        <w:pStyle w:val="11"/>
        <w:spacing w:line="360" w:lineRule="auto"/>
        <w:ind w:left="0"/>
        <w:jc w:val="center"/>
        <w:rPr>
          <w:rFonts w:hint="eastAsia" w:ascii="仿宋" w:hAnsi="仿宋" w:eastAsia="仿宋" w:cs="仿宋"/>
          <w:color w:val="auto"/>
          <w:sz w:val="32"/>
          <w:highlight w:val="none"/>
        </w:rPr>
      </w:pPr>
    </w:p>
    <w:p w14:paraId="6612E990">
      <w:pPr>
        <w:pStyle w:val="11"/>
        <w:spacing w:line="360" w:lineRule="auto"/>
        <w:ind w:left="0"/>
        <w:jc w:val="both"/>
        <w:rPr>
          <w:rFonts w:hint="eastAsia" w:ascii="仿宋" w:hAnsi="仿宋" w:eastAsia="仿宋" w:cs="仿宋"/>
          <w:color w:val="auto"/>
          <w:sz w:val="32"/>
          <w:highlight w:val="none"/>
        </w:rPr>
      </w:pPr>
    </w:p>
    <w:p w14:paraId="47418D67">
      <w:pPr>
        <w:pStyle w:val="11"/>
        <w:spacing w:line="360" w:lineRule="auto"/>
        <w:ind w:left="0"/>
        <w:jc w:val="center"/>
        <w:rPr>
          <w:rFonts w:hint="eastAsia" w:ascii="仿宋" w:hAnsi="仿宋" w:eastAsia="仿宋" w:cs="仿宋"/>
          <w:color w:val="auto"/>
          <w:sz w:val="32"/>
          <w:highlight w:val="none"/>
        </w:rPr>
      </w:pPr>
    </w:p>
    <w:p w14:paraId="46431ABE">
      <w:pPr>
        <w:pStyle w:val="11"/>
        <w:spacing w:line="360" w:lineRule="auto"/>
        <w:ind w:left="0"/>
        <w:jc w:val="center"/>
        <w:rPr>
          <w:rFonts w:hint="eastAsia" w:ascii="仿宋" w:hAnsi="仿宋" w:eastAsia="仿宋" w:cs="仿宋"/>
          <w:color w:val="auto"/>
          <w:sz w:val="32"/>
          <w:highlight w:val="none"/>
        </w:rPr>
      </w:pPr>
    </w:p>
    <w:p w14:paraId="71AD986F">
      <w:pPr>
        <w:spacing w:line="360" w:lineRule="auto"/>
        <w:ind w:firstLine="723" w:firstLineChars="200"/>
        <w:outlineLvl w:val="0"/>
        <w:rPr>
          <w:rFonts w:hint="eastAsia" w:ascii="仿宋" w:hAnsi="仿宋" w:eastAsia="仿宋" w:cs="仿宋"/>
          <w:b/>
          <w:bCs/>
          <w:color w:val="auto"/>
          <w:sz w:val="36"/>
          <w:szCs w:val="36"/>
          <w:highlight w:val="none"/>
          <w:u w:val="single"/>
        </w:rPr>
      </w:pPr>
      <w:r>
        <w:rPr>
          <w:rFonts w:hint="eastAsia" w:ascii="仿宋" w:hAnsi="仿宋" w:eastAsia="仿宋" w:cs="仿宋"/>
          <w:b/>
          <w:bCs/>
          <w:color w:val="auto"/>
          <w:sz w:val="36"/>
          <w:szCs w:val="36"/>
          <w:highlight w:val="none"/>
          <w:lang w:eastAsia="zh-CN"/>
        </w:rPr>
        <w:t>项目编号</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u w:val="single"/>
        </w:rPr>
        <w:t>CQYD-ZB-26019</w:t>
      </w:r>
    </w:p>
    <w:p w14:paraId="3A1BE9B7">
      <w:pPr>
        <w:spacing w:line="360" w:lineRule="auto"/>
        <w:ind w:firstLine="723" w:firstLineChars="200"/>
        <w:outlineLvl w:val="0"/>
        <w:rPr>
          <w:rFonts w:hint="eastAsia" w:ascii="仿宋" w:hAnsi="仿宋" w:eastAsia="仿宋" w:cs="仿宋"/>
          <w:b/>
          <w:bCs/>
          <w:color w:val="auto"/>
          <w:spacing w:val="-6"/>
          <w:sz w:val="36"/>
          <w:szCs w:val="36"/>
          <w:highlight w:val="none"/>
          <w:u w:val="single"/>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pacing w:val="-6"/>
          <w:sz w:val="36"/>
          <w:szCs w:val="36"/>
          <w:highlight w:val="none"/>
          <w:u w:val="single"/>
          <w:lang w:val="en-US" w:eastAsia="zh-CN"/>
        </w:rPr>
        <w:t>大渡口区物业专项维修资金专户管理银行服务</w:t>
      </w:r>
      <w:r>
        <w:rPr>
          <w:rFonts w:hint="eastAsia" w:ascii="仿宋" w:hAnsi="仿宋" w:eastAsia="仿宋" w:cs="仿宋"/>
          <w:b/>
          <w:bCs/>
          <w:color w:val="auto"/>
          <w:spacing w:val="-6"/>
          <w:sz w:val="36"/>
          <w:szCs w:val="36"/>
          <w:highlight w:val="none"/>
          <w:u w:val="single"/>
        </w:rPr>
        <w:t xml:space="preserve"> </w:t>
      </w:r>
    </w:p>
    <w:p w14:paraId="70F1539F">
      <w:pPr>
        <w:spacing w:line="360" w:lineRule="auto"/>
        <w:ind w:firstLine="723" w:firstLineChars="200"/>
        <w:outlineLvl w:val="0"/>
        <w:rPr>
          <w:rFonts w:hint="eastAsia" w:ascii="仿宋" w:hAnsi="仿宋" w:eastAsia="仿宋" w:cs="仿宋"/>
          <w:b/>
          <w:bCs/>
          <w:color w:val="auto"/>
          <w:sz w:val="36"/>
          <w:szCs w:val="36"/>
          <w:highlight w:val="none"/>
          <w:u w:val="single"/>
        </w:rPr>
      </w:pPr>
    </w:p>
    <w:p w14:paraId="6C2D7C5F">
      <w:pPr>
        <w:pStyle w:val="11"/>
        <w:spacing w:line="360" w:lineRule="auto"/>
        <w:ind w:left="0"/>
        <w:jc w:val="center"/>
        <w:rPr>
          <w:rFonts w:hint="eastAsia" w:ascii="仿宋" w:hAnsi="仿宋" w:eastAsia="仿宋" w:cs="仿宋"/>
          <w:color w:val="auto"/>
          <w:sz w:val="32"/>
          <w:highlight w:val="none"/>
        </w:rPr>
      </w:pPr>
    </w:p>
    <w:p w14:paraId="3C26394C">
      <w:pPr>
        <w:pStyle w:val="11"/>
        <w:spacing w:line="360" w:lineRule="auto"/>
        <w:ind w:left="0"/>
        <w:jc w:val="center"/>
        <w:rPr>
          <w:rFonts w:hint="eastAsia" w:ascii="仿宋" w:hAnsi="仿宋" w:eastAsia="仿宋" w:cs="仿宋"/>
          <w:color w:val="auto"/>
          <w:sz w:val="32"/>
          <w:highlight w:val="none"/>
        </w:rPr>
      </w:pPr>
    </w:p>
    <w:p w14:paraId="2DEC40FE">
      <w:pPr>
        <w:pStyle w:val="11"/>
        <w:spacing w:line="360" w:lineRule="auto"/>
        <w:ind w:left="0"/>
        <w:jc w:val="center"/>
        <w:rPr>
          <w:rFonts w:hint="eastAsia" w:ascii="仿宋" w:hAnsi="仿宋" w:eastAsia="仿宋" w:cs="仿宋"/>
          <w:color w:val="auto"/>
          <w:sz w:val="32"/>
          <w:highlight w:val="none"/>
        </w:rPr>
      </w:pPr>
    </w:p>
    <w:p w14:paraId="1F7DCAB8">
      <w:pPr>
        <w:pStyle w:val="11"/>
        <w:spacing w:line="360" w:lineRule="auto"/>
        <w:ind w:left="0"/>
        <w:jc w:val="center"/>
        <w:rPr>
          <w:rFonts w:hint="eastAsia" w:ascii="仿宋" w:hAnsi="仿宋" w:eastAsia="仿宋" w:cs="仿宋"/>
          <w:color w:val="auto"/>
          <w:sz w:val="32"/>
          <w:highlight w:val="none"/>
        </w:rPr>
      </w:pPr>
    </w:p>
    <w:p w14:paraId="6E93BAA5">
      <w:pPr>
        <w:pStyle w:val="11"/>
        <w:spacing w:line="360" w:lineRule="auto"/>
        <w:ind w:left="0"/>
        <w:jc w:val="center"/>
        <w:rPr>
          <w:rFonts w:hint="eastAsia" w:ascii="仿宋" w:hAnsi="仿宋" w:eastAsia="仿宋" w:cs="仿宋"/>
          <w:color w:val="auto"/>
          <w:sz w:val="32"/>
          <w:highlight w:val="none"/>
        </w:rPr>
      </w:pPr>
    </w:p>
    <w:p w14:paraId="2A285EDB">
      <w:pPr>
        <w:spacing w:line="360" w:lineRule="auto"/>
        <w:jc w:val="both"/>
        <w:rPr>
          <w:rFonts w:hint="eastAsia" w:ascii="仿宋" w:hAnsi="仿宋" w:eastAsia="仿宋" w:cs="仿宋"/>
          <w:color w:val="auto"/>
          <w:sz w:val="36"/>
          <w:szCs w:val="36"/>
          <w:highlight w:val="none"/>
        </w:rPr>
      </w:pPr>
    </w:p>
    <w:p w14:paraId="15439530">
      <w:pPr>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招标人</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highlight w:val="none"/>
          <w:u w:val="single"/>
          <w:lang w:eastAsia="zh-CN"/>
        </w:rPr>
        <w:t>重庆市大渡口区住房和城乡建设委员会</w:t>
      </w:r>
    </w:p>
    <w:p w14:paraId="67C76BF8">
      <w:pPr>
        <w:spacing w:line="360" w:lineRule="auto"/>
        <w:ind w:firstLine="1084" w:firstLineChars="300"/>
        <w:jc w:val="both"/>
        <w:outlineLvl w:val="0"/>
        <w:rPr>
          <w:rFonts w:hint="eastAsia" w:ascii="仿宋" w:hAnsi="仿宋" w:eastAsia="仿宋" w:cs="仿宋"/>
          <w:b/>
          <w:bCs/>
          <w:color w:val="auto"/>
          <w:sz w:val="36"/>
          <w:highlight w:val="none"/>
          <w:lang w:eastAsia="zh-CN"/>
        </w:rPr>
      </w:pPr>
      <w:r>
        <w:rPr>
          <w:rFonts w:hint="eastAsia" w:ascii="仿宋" w:hAnsi="仿宋" w:eastAsia="仿宋" w:cs="仿宋"/>
          <w:b/>
          <w:bCs/>
          <w:color w:val="auto"/>
          <w:sz w:val="36"/>
          <w:szCs w:val="36"/>
          <w:highlight w:val="none"/>
          <w:lang w:eastAsia="zh-CN"/>
        </w:rPr>
        <w:t>招标代理机构</w:t>
      </w: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highlight w:val="none"/>
          <w:u w:val="single"/>
          <w:lang w:eastAsia="zh-CN"/>
        </w:rPr>
        <w:t>重庆市义渡工程管理有限公司</w:t>
      </w:r>
    </w:p>
    <w:p w14:paraId="01FD6BCA">
      <w:pPr>
        <w:pStyle w:val="10"/>
        <w:rPr>
          <w:rFonts w:hint="eastAsia" w:ascii="仿宋" w:hAnsi="仿宋" w:eastAsia="仿宋" w:cs="仿宋"/>
          <w:color w:val="auto"/>
          <w:highlight w:val="none"/>
        </w:rPr>
      </w:pPr>
    </w:p>
    <w:p w14:paraId="294FA866">
      <w:pPr>
        <w:snapToGrid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2026</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5</w:t>
      </w:r>
      <w:r>
        <w:rPr>
          <w:rFonts w:hint="eastAsia" w:ascii="仿宋" w:hAnsi="仿宋" w:eastAsia="仿宋" w:cs="仿宋"/>
          <w:b/>
          <w:bCs/>
          <w:color w:val="auto"/>
          <w:sz w:val="36"/>
          <w:szCs w:val="36"/>
          <w:highlight w:val="none"/>
        </w:rPr>
        <w:t>月</w:t>
      </w:r>
    </w:p>
    <w:p w14:paraId="1D7CA8F1">
      <w:pPr>
        <w:snapToGrid w:val="0"/>
        <w:spacing w:line="360" w:lineRule="auto"/>
        <w:rPr>
          <w:rFonts w:hint="eastAsia" w:ascii="仿宋" w:hAnsi="仿宋" w:eastAsia="仿宋" w:cs="仿宋"/>
          <w:color w:val="auto"/>
          <w:sz w:val="44"/>
          <w:highlight w:val="none"/>
        </w:rPr>
        <w:sectPr>
          <w:headerReference r:id="rId4" w:type="first"/>
          <w:headerReference r:id="rId3" w:type="default"/>
          <w:footerReference r:id="rId5" w:type="even"/>
          <w:pgSz w:w="11907" w:h="16840"/>
          <w:pgMar w:top="1134" w:right="1191" w:bottom="1134" w:left="1304" w:header="964" w:footer="992" w:gutter="0"/>
          <w:pgNumType w:fmt="decimal" w:start="1"/>
          <w:cols w:space="720" w:num="1"/>
          <w:titlePg/>
          <w:docGrid w:linePitch="312" w:charSpace="0"/>
        </w:sectPr>
      </w:pPr>
    </w:p>
    <w:p w14:paraId="53A9EEDD">
      <w:pPr>
        <w:snapToGrid w:val="0"/>
        <w:spacing w:line="360" w:lineRule="auto"/>
        <w:jc w:val="center"/>
        <w:rPr>
          <w:rFonts w:hint="eastAsia" w:ascii="仿宋" w:hAnsi="仿宋" w:eastAsia="仿宋" w:cs="仿宋"/>
          <w:b/>
          <w:bCs/>
          <w:color w:val="auto"/>
          <w:sz w:val="36"/>
          <w:szCs w:val="48"/>
          <w:highlight w:val="none"/>
        </w:rPr>
      </w:pPr>
      <w:r>
        <w:rPr>
          <w:rFonts w:hint="eastAsia" w:ascii="仿宋" w:hAnsi="仿宋" w:eastAsia="仿宋" w:cs="仿宋"/>
          <w:b/>
          <w:bCs/>
          <w:color w:val="auto"/>
          <w:sz w:val="36"/>
          <w:szCs w:val="48"/>
          <w:highlight w:val="none"/>
        </w:rPr>
        <w:t>目  录</w:t>
      </w:r>
    </w:p>
    <w:p w14:paraId="0DCB8815">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"1-2"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_Toc12491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第一篇 投标邀请书</w:t>
      </w:r>
      <w:r>
        <w:rPr>
          <w:color w:val="auto"/>
          <w:highlight w:val="none"/>
        </w:rPr>
        <w:tab/>
      </w:r>
      <w:r>
        <w:rPr>
          <w:color w:val="auto"/>
          <w:highlight w:val="none"/>
        </w:rPr>
        <w:fldChar w:fldCharType="begin"/>
      </w:r>
      <w:r>
        <w:rPr>
          <w:color w:val="auto"/>
          <w:highlight w:val="none"/>
        </w:rPr>
        <w:instrText xml:space="preserve"> PAGEREF _Toc12491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1"/>
          <w:highlight w:val="none"/>
        </w:rPr>
        <w:fldChar w:fldCharType="end"/>
      </w:r>
    </w:p>
    <w:p w14:paraId="0BDA72D8">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_Toc11293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一、招标项目内容</w:t>
      </w:r>
      <w:r>
        <w:rPr>
          <w:color w:val="auto"/>
          <w:highlight w:val="none"/>
        </w:rPr>
        <w:tab/>
      </w:r>
      <w:r>
        <w:rPr>
          <w:color w:val="auto"/>
          <w:highlight w:val="none"/>
        </w:rPr>
        <w:fldChar w:fldCharType="begin"/>
      </w:r>
      <w:r>
        <w:rPr>
          <w:color w:val="auto"/>
          <w:highlight w:val="none"/>
        </w:rPr>
        <w:instrText xml:space="preserve"> PAGEREF _Toc11293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1"/>
          <w:highlight w:val="none"/>
        </w:rPr>
        <w:fldChar w:fldCharType="end"/>
      </w:r>
    </w:p>
    <w:p w14:paraId="4792D17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_Toc28917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_Toc28917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1"/>
          <w:highlight w:val="none"/>
        </w:rPr>
        <w:fldChar w:fldCharType="end"/>
      </w:r>
    </w:p>
    <w:p w14:paraId="3CAC2982">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_Toc8497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、投标、开标有关说明</w:t>
      </w:r>
      <w:r>
        <w:rPr>
          <w:color w:val="auto"/>
          <w:highlight w:val="none"/>
        </w:rPr>
        <w:tab/>
      </w:r>
      <w:r>
        <w:rPr>
          <w:color w:val="auto"/>
          <w:highlight w:val="none"/>
        </w:rPr>
        <w:fldChar w:fldCharType="begin"/>
      </w:r>
      <w:r>
        <w:rPr>
          <w:color w:val="auto"/>
          <w:highlight w:val="none"/>
        </w:rPr>
        <w:instrText xml:space="preserve"> PAGEREF _Toc8497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szCs w:val="21"/>
          <w:highlight w:val="none"/>
        </w:rPr>
        <w:fldChar w:fldCharType="end"/>
      </w:r>
    </w:p>
    <w:p w14:paraId="384D7547">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_Toc27301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_Toc27301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szCs w:val="21"/>
          <w:highlight w:val="none"/>
        </w:rPr>
        <w:fldChar w:fldCharType="end"/>
      </w:r>
    </w:p>
    <w:p w14:paraId="4D20030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_Toc15490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、投标有关规定</w:t>
      </w:r>
      <w:r>
        <w:rPr>
          <w:color w:val="auto"/>
          <w:highlight w:val="none"/>
        </w:rPr>
        <w:tab/>
      </w:r>
      <w:r>
        <w:rPr>
          <w:color w:val="auto"/>
          <w:highlight w:val="none"/>
        </w:rPr>
        <w:fldChar w:fldCharType="begin"/>
      </w:r>
      <w:r>
        <w:rPr>
          <w:color w:val="auto"/>
          <w:highlight w:val="none"/>
        </w:rPr>
        <w:instrText xml:space="preserve"> PAGEREF _Toc15490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szCs w:val="21"/>
          <w:highlight w:val="none"/>
        </w:rPr>
        <w:fldChar w:fldCharType="end"/>
      </w:r>
    </w:p>
    <w:p w14:paraId="1FA2151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_Toc17967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七</w:t>
      </w:r>
      <w:r>
        <w:rPr>
          <w:rFonts w:hint="eastAsia" w:ascii="仿宋" w:hAnsi="仿宋" w:eastAsia="仿宋" w:cs="仿宋"/>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_Toc17967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eastAsia="仿宋" w:cs="仿宋"/>
          <w:color w:val="auto"/>
          <w:szCs w:val="21"/>
          <w:highlight w:val="none"/>
        </w:rPr>
        <w:fldChar w:fldCharType="end"/>
      </w:r>
    </w:p>
    <w:p w14:paraId="590D550C">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_Toc19855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_Toc19855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1"/>
          <w:highlight w:val="none"/>
        </w:rPr>
        <w:fldChar w:fldCharType="end"/>
      </w:r>
    </w:p>
    <w:p w14:paraId="434185E3">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_Toc9129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val="en-US" w:eastAsia="zh-CN"/>
        </w:rPr>
        <w:t>项目概况</w:t>
      </w:r>
      <w:r>
        <w:rPr>
          <w:color w:val="auto"/>
          <w:highlight w:val="none"/>
        </w:rPr>
        <w:tab/>
      </w:r>
      <w:r>
        <w:rPr>
          <w:color w:val="auto"/>
          <w:highlight w:val="none"/>
        </w:rPr>
        <w:fldChar w:fldCharType="begin"/>
      </w:r>
      <w:r>
        <w:rPr>
          <w:color w:val="auto"/>
          <w:highlight w:val="none"/>
        </w:rPr>
        <w:instrText xml:space="preserve"> PAGEREF _Toc9129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1"/>
          <w:highlight w:val="none"/>
        </w:rPr>
        <w:fldChar w:fldCharType="end"/>
      </w:r>
    </w:p>
    <w:p w14:paraId="67A2608A">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_Toc4190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lang w:eastAsia="zh-CN"/>
        </w:rPr>
        <w:t>二、服务内容及要求</w:t>
      </w:r>
      <w:r>
        <w:rPr>
          <w:color w:val="auto"/>
          <w:highlight w:val="none"/>
        </w:rPr>
        <w:tab/>
      </w:r>
      <w:r>
        <w:rPr>
          <w:color w:val="auto"/>
          <w:highlight w:val="none"/>
        </w:rPr>
        <w:fldChar w:fldCharType="begin"/>
      </w:r>
      <w:r>
        <w:rPr>
          <w:color w:val="auto"/>
          <w:highlight w:val="none"/>
        </w:rPr>
        <w:instrText xml:space="preserve"> PAGEREF _Toc4190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1"/>
          <w:highlight w:val="none"/>
        </w:rPr>
        <w:fldChar w:fldCharType="end"/>
      </w:r>
    </w:p>
    <w:p w14:paraId="646D3BE7">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_Toc13917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_Toc13917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27EEFD9B">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_Toc27013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rPr>
        <w:t>一、服务期、服务地点及</w:t>
      </w:r>
      <w:r>
        <w:rPr>
          <w:rFonts w:hint="eastAsia" w:ascii="仿宋" w:hAnsi="仿宋" w:eastAsia="仿宋" w:cs="仿宋"/>
          <w:color w:val="auto"/>
          <w:szCs w:val="24"/>
          <w:highlight w:val="none"/>
          <w:lang w:eastAsia="zh-CN"/>
        </w:rPr>
        <w:t>验收</w:t>
      </w:r>
      <w:r>
        <w:rPr>
          <w:rFonts w:hint="eastAsia" w:ascii="仿宋" w:hAnsi="仿宋" w:eastAsia="仿宋" w:cs="仿宋"/>
          <w:color w:val="auto"/>
          <w:szCs w:val="24"/>
          <w:highlight w:val="none"/>
        </w:rPr>
        <w:t>方式</w:t>
      </w:r>
      <w:r>
        <w:rPr>
          <w:color w:val="auto"/>
          <w:highlight w:val="none"/>
        </w:rPr>
        <w:tab/>
      </w:r>
      <w:r>
        <w:rPr>
          <w:color w:val="auto"/>
          <w:highlight w:val="none"/>
        </w:rPr>
        <w:fldChar w:fldCharType="begin"/>
      </w:r>
      <w:r>
        <w:rPr>
          <w:color w:val="auto"/>
          <w:highlight w:val="none"/>
        </w:rPr>
        <w:instrText xml:space="preserve"> PAGEREF _Toc27013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1D1354E9">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_Toc23352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_Toc23352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054C86D1">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_Toc5260 </w:instrText>
      </w:r>
      <w:r>
        <w:rPr>
          <w:rFonts w:hint="eastAsia" w:ascii="仿宋" w:hAnsi="仿宋" w:eastAsia="仿宋" w:cs="仿宋"/>
          <w:color w:val="auto"/>
          <w:szCs w:val="21"/>
          <w:highlight w:val="none"/>
        </w:rPr>
        <w:fldChar w:fldCharType="separate"/>
      </w:r>
      <w:r>
        <w:rPr>
          <w:rFonts w:hint="eastAsia" w:ascii="仿宋" w:hAnsi="仿宋" w:eastAsia="仿宋" w:cs="仿宋"/>
          <w:bCs/>
          <w:color w:val="auto"/>
          <w:szCs w:val="24"/>
          <w:highlight w:val="none"/>
          <w:lang w:val="en-US" w:eastAsia="zh-CN"/>
        </w:rPr>
        <w:t>三</w:t>
      </w:r>
      <w:r>
        <w:rPr>
          <w:rFonts w:hint="eastAsia" w:ascii="仿宋" w:hAnsi="仿宋" w:eastAsia="仿宋" w:cs="仿宋"/>
          <w:bCs/>
          <w:color w:val="auto"/>
          <w:szCs w:val="24"/>
          <w:highlight w:val="none"/>
        </w:rPr>
        <w:t>、</w:t>
      </w:r>
      <w:r>
        <w:rPr>
          <w:rFonts w:hint="eastAsia" w:ascii="仿宋" w:hAnsi="仿宋" w:eastAsia="仿宋" w:cs="仿宋"/>
          <w:color w:val="auto"/>
          <w:szCs w:val="24"/>
          <w:highlight w:val="none"/>
        </w:rPr>
        <w:t>知识产权</w:t>
      </w:r>
      <w:r>
        <w:rPr>
          <w:color w:val="auto"/>
          <w:highlight w:val="none"/>
        </w:rPr>
        <w:tab/>
      </w:r>
      <w:r>
        <w:rPr>
          <w:color w:val="auto"/>
          <w:highlight w:val="none"/>
        </w:rPr>
        <w:fldChar w:fldCharType="begin"/>
      </w:r>
      <w:r>
        <w:rPr>
          <w:color w:val="auto"/>
          <w:highlight w:val="none"/>
        </w:rPr>
        <w:instrText xml:space="preserve"> PAGEREF _Toc5260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3DDF73A0">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_Toc28020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4"/>
          <w:highlight w:val="none"/>
          <w:lang w:eastAsia="zh-CN"/>
        </w:rPr>
        <w:t>四、</w:t>
      </w:r>
      <w:r>
        <w:rPr>
          <w:rFonts w:hint="eastAsia" w:ascii="仿宋" w:hAnsi="仿宋" w:eastAsia="仿宋" w:cs="仿宋"/>
          <w:bCs w:val="0"/>
          <w:color w:val="auto"/>
          <w:szCs w:val="24"/>
          <w:highlight w:val="none"/>
          <w:lang w:eastAsia="zh-CN"/>
        </w:rPr>
        <w:t>其他商务要求内容</w:t>
      </w:r>
      <w:r>
        <w:rPr>
          <w:color w:val="auto"/>
          <w:highlight w:val="none"/>
        </w:rPr>
        <w:tab/>
      </w:r>
      <w:r>
        <w:rPr>
          <w:color w:val="auto"/>
          <w:highlight w:val="none"/>
        </w:rPr>
        <w:fldChar w:fldCharType="begin"/>
      </w:r>
      <w:r>
        <w:rPr>
          <w:color w:val="auto"/>
          <w:highlight w:val="none"/>
        </w:rPr>
        <w:instrText xml:space="preserve"> PAGEREF _Toc28020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szCs w:val="21"/>
          <w:highlight w:val="none"/>
        </w:rPr>
        <w:fldChar w:fldCharType="end"/>
      </w:r>
    </w:p>
    <w:p w14:paraId="15EF1634">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_Toc893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第四篇  资格审查及评标办法</w:t>
      </w:r>
      <w:r>
        <w:rPr>
          <w:color w:val="auto"/>
          <w:highlight w:val="none"/>
        </w:rPr>
        <w:tab/>
      </w:r>
      <w:r>
        <w:rPr>
          <w:color w:val="auto"/>
          <w:highlight w:val="none"/>
        </w:rPr>
        <w:fldChar w:fldCharType="begin"/>
      </w:r>
      <w:r>
        <w:rPr>
          <w:color w:val="auto"/>
          <w:highlight w:val="none"/>
        </w:rPr>
        <w:instrText xml:space="preserve"> PAGEREF _Toc893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szCs w:val="21"/>
          <w:highlight w:val="none"/>
        </w:rPr>
        <w:fldChar w:fldCharType="end"/>
      </w:r>
    </w:p>
    <w:p w14:paraId="71556EB1">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_Toc4305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_Toc4305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szCs w:val="21"/>
          <w:highlight w:val="none"/>
        </w:rPr>
        <w:fldChar w:fldCharType="end"/>
      </w:r>
    </w:p>
    <w:p w14:paraId="40B9474A">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_Toc9595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二、评标方法</w:t>
      </w:r>
      <w:r>
        <w:rPr>
          <w:color w:val="auto"/>
          <w:highlight w:val="none"/>
        </w:rPr>
        <w:tab/>
      </w:r>
      <w:r>
        <w:rPr>
          <w:color w:val="auto"/>
          <w:highlight w:val="none"/>
        </w:rPr>
        <w:fldChar w:fldCharType="begin"/>
      </w:r>
      <w:r>
        <w:rPr>
          <w:color w:val="auto"/>
          <w:highlight w:val="none"/>
        </w:rPr>
        <w:instrText xml:space="preserve"> PAGEREF _Toc9595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szCs w:val="21"/>
          <w:highlight w:val="none"/>
        </w:rPr>
        <w:fldChar w:fldCharType="end"/>
      </w:r>
    </w:p>
    <w:p w14:paraId="037B2B1C">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_Toc28859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评标标准</w:t>
      </w:r>
      <w:r>
        <w:rPr>
          <w:color w:val="auto"/>
          <w:highlight w:val="none"/>
        </w:rPr>
        <w:tab/>
      </w:r>
      <w:r>
        <w:rPr>
          <w:color w:val="auto"/>
          <w:highlight w:val="none"/>
        </w:rPr>
        <w:fldChar w:fldCharType="begin"/>
      </w:r>
      <w:r>
        <w:rPr>
          <w:color w:val="auto"/>
          <w:highlight w:val="none"/>
        </w:rPr>
        <w:instrText xml:space="preserve"> PAGEREF _Toc28859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szCs w:val="21"/>
          <w:highlight w:val="none"/>
        </w:rPr>
        <w:fldChar w:fldCharType="end"/>
      </w:r>
    </w:p>
    <w:p w14:paraId="58422A96">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_Toc30131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_Toc30131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21"/>
          <w:highlight w:val="none"/>
        </w:rPr>
        <w:fldChar w:fldCharType="end"/>
      </w:r>
    </w:p>
    <w:p w14:paraId="0A08FDAB">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_Toc27480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五、废标条款</w:t>
      </w:r>
      <w:r>
        <w:rPr>
          <w:color w:val="auto"/>
          <w:highlight w:val="none"/>
        </w:rPr>
        <w:tab/>
      </w:r>
      <w:r>
        <w:rPr>
          <w:color w:val="auto"/>
          <w:highlight w:val="none"/>
        </w:rPr>
        <w:fldChar w:fldCharType="begin"/>
      </w:r>
      <w:r>
        <w:rPr>
          <w:color w:val="auto"/>
          <w:highlight w:val="none"/>
        </w:rPr>
        <w:instrText xml:space="preserve"> PAGEREF _Toc27480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szCs w:val="21"/>
          <w:highlight w:val="none"/>
        </w:rPr>
        <w:fldChar w:fldCharType="end"/>
      </w:r>
    </w:p>
    <w:p w14:paraId="4D8FD10A">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_Toc4786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第五篇  投标人须知</w:t>
      </w:r>
      <w:r>
        <w:rPr>
          <w:color w:val="auto"/>
          <w:highlight w:val="none"/>
        </w:rPr>
        <w:tab/>
      </w:r>
      <w:r>
        <w:rPr>
          <w:color w:val="auto"/>
          <w:highlight w:val="none"/>
        </w:rPr>
        <w:fldChar w:fldCharType="begin"/>
      </w:r>
      <w:r>
        <w:rPr>
          <w:color w:val="auto"/>
          <w:highlight w:val="none"/>
        </w:rPr>
        <w:instrText xml:space="preserve"> PAGEREF _Toc4786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1"/>
          <w:highlight w:val="none"/>
        </w:rPr>
        <w:fldChar w:fldCharType="end"/>
      </w:r>
    </w:p>
    <w:p w14:paraId="739AAFCD">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_Toc501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一、投标人</w:t>
      </w:r>
      <w:r>
        <w:rPr>
          <w:color w:val="auto"/>
          <w:highlight w:val="none"/>
        </w:rPr>
        <w:tab/>
      </w:r>
      <w:r>
        <w:rPr>
          <w:color w:val="auto"/>
          <w:highlight w:val="none"/>
        </w:rPr>
        <w:fldChar w:fldCharType="begin"/>
      </w:r>
      <w:r>
        <w:rPr>
          <w:color w:val="auto"/>
          <w:highlight w:val="none"/>
        </w:rPr>
        <w:instrText xml:space="preserve"> PAGEREF _Toc501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1"/>
          <w:highlight w:val="none"/>
        </w:rPr>
        <w:fldChar w:fldCharType="end"/>
      </w:r>
    </w:p>
    <w:p w14:paraId="23AA2EB5">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_Toc18853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_Toc18853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1"/>
          <w:highlight w:val="none"/>
        </w:rPr>
        <w:fldChar w:fldCharType="end"/>
      </w:r>
    </w:p>
    <w:p w14:paraId="0829FD94">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_Toc8669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_Toc8669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szCs w:val="21"/>
          <w:highlight w:val="none"/>
        </w:rPr>
        <w:fldChar w:fldCharType="end"/>
      </w:r>
    </w:p>
    <w:p w14:paraId="55E2597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_Toc31822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_Toc31822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1"/>
          <w:highlight w:val="none"/>
        </w:rPr>
        <w:fldChar w:fldCharType="end"/>
      </w:r>
    </w:p>
    <w:p w14:paraId="726AD689">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_Toc12509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五、评标</w:t>
      </w:r>
      <w:r>
        <w:rPr>
          <w:color w:val="auto"/>
          <w:highlight w:val="none"/>
        </w:rPr>
        <w:tab/>
      </w:r>
      <w:r>
        <w:rPr>
          <w:color w:val="auto"/>
          <w:highlight w:val="none"/>
        </w:rPr>
        <w:fldChar w:fldCharType="begin"/>
      </w:r>
      <w:r>
        <w:rPr>
          <w:color w:val="auto"/>
          <w:highlight w:val="none"/>
        </w:rPr>
        <w:instrText xml:space="preserve"> PAGEREF _Toc12509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1"/>
          <w:highlight w:val="none"/>
        </w:rPr>
        <w:fldChar w:fldCharType="end"/>
      </w:r>
    </w:p>
    <w:p w14:paraId="09931C13">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_Toc16375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六、定标、公示及中标通知</w:t>
      </w:r>
      <w:r>
        <w:rPr>
          <w:color w:val="auto"/>
          <w:highlight w:val="none"/>
        </w:rPr>
        <w:tab/>
      </w:r>
      <w:r>
        <w:rPr>
          <w:color w:val="auto"/>
          <w:highlight w:val="none"/>
        </w:rPr>
        <w:fldChar w:fldCharType="begin"/>
      </w:r>
      <w:r>
        <w:rPr>
          <w:color w:val="auto"/>
          <w:highlight w:val="none"/>
        </w:rPr>
        <w:instrText xml:space="preserve"> PAGEREF _Toc16375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szCs w:val="21"/>
          <w:highlight w:val="none"/>
        </w:rPr>
        <w:fldChar w:fldCharType="end"/>
      </w:r>
    </w:p>
    <w:p w14:paraId="2FF900FF">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_Toc25352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七、中标</w:t>
      </w:r>
      <w:r>
        <w:rPr>
          <w:color w:val="auto"/>
          <w:highlight w:val="none"/>
        </w:rPr>
        <w:tab/>
      </w:r>
      <w:r>
        <w:rPr>
          <w:color w:val="auto"/>
          <w:highlight w:val="none"/>
        </w:rPr>
        <w:fldChar w:fldCharType="begin"/>
      </w:r>
      <w:r>
        <w:rPr>
          <w:color w:val="auto"/>
          <w:highlight w:val="none"/>
        </w:rPr>
        <w:instrText xml:space="preserve"> PAGEREF _Toc25352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1C6BBBB3">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_Toc17578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、澄清和答疑</w:t>
      </w:r>
      <w:r>
        <w:rPr>
          <w:color w:val="auto"/>
          <w:highlight w:val="none"/>
        </w:rPr>
        <w:tab/>
      </w:r>
      <w:r>
        <w:rPr>
          <w:color w:val="auto"/>
          <w:highlight w:val="none"/>
        </w:rPr>
        <w:fldChar w:fldCharType="begin"/>
      </w:r>
      <w:r>
        <w:rPr>
          <w:color w:val="auto"/>
          <w:highlight w:val="none"/>
        </w:rPr>
        <w:instrText xml:space="preserve"> PAGEREF _Toc17578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3CB56999">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_Toc19317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九、</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代理服务费</w:t>
      </w:r>
      <w:r>
        <w:rPr>
          <w:color w:val="auto"/>
          <w:highlight w:val="none"/>
        </w:rPr>
        <w:tab/>
      </w:r>
      <w:r>
        <w:rPr>
          <w:color w:val="auto"/>
          <w:highlight w:val="none"/>
        </w:rPr>
        <w:fldChar w:fldCharType="begin"/>
      </w:r>
      <w:r>
        <w:rPr>
          <w:color w:val="auto"/>
          <w:highlight w:val="none"/>
        </w:rPr>
        <w:instrText xml:space="preserve"> PAGEREF _Toc19317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163EDEC2">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_Toc20339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lang w:eastAsia="zh-CN"/>
        </w:rPr>
        <w:t>十、</w:t>
      </w:r>
      <w:r>
        <w:rPr>
          <w:rFonts w:hint="eastAsia" w:ascii="仿宋" w:hAnsi="仿宋" w:eastAsia="仿宋" w:cs="仿宋"/>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_Toc20339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3E5CD4F3">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_Toc26635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highlight w:val="none"/>
        </w:rPr>
        <w:t>十</w:t>
      </w:r>
      <w:r>
        <w:rPr>
          <w:rFonts w:hint="eastAsia" w:ascii="仿宋" w:hAnsi="仿宋" w:eastAsia="仿宋" w:cs="仿宋"/>
          <w:color w:val="auto"/>
          <w:highlight w:val="none"/>
          <w:lang w:eastAsia="zh-CN"/>
        </w:rPr>
        <w:t>一</w:t>
      </w:r>
      <w:r>
        <w:rPr>
          <w:rFonts w:hint="eastAsia" w:ascii="仿宋" w:hAnsi="仿宋" w:eastAsia="仿宋" w:cs="仿宋"/>
          <w:color w:val="auto"/>
          <w:highlight w:val="none"/>
        </w:rPr>
        <w:t>、项目验收</w:t>
      </w:r>
      <w:r>
        <w:rPr>
          <w:color w:val="auto"/>
          <w:highlight w:val="none"/>
        </w:rPr>
        <w:tab/>
      </w:r>
      <w:r>
        <w:rPr>
          <w:color w:val="auto"/>
          <w:highlight w:val="none"/>
        </w:rPr>
        <w:fldChar w:fldCharType="begin"/>
      </w:r>
      <w:r>
        <w:rPr>
          <w:color w:val="auto"/>
          <w:highlight w:val="none"/>
        </w:rPr>
        <w:instrText xml:space="preserve"> PAGEREF _Toc26635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szCs w:val="21"/>
          <w:highlight w:val="none"/>
        </w:rPr>
        <w:fldChar w:fldCharType="end"/>
      </w:r>
    </w:p>
    <w:p w14:paraId="5143C301">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_Toc10111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_Toc10111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szCs w:val="21"/>
          <w:highlight w:val="none"/>
        </w:rPr>
        <w:fldChar w:fldCharType="end"/>
      </w:r>
    </w:p>
    <w:p w14:paraId="0A8D0B33">
      <w:pPr>
        <w:pStyle w:val="19"/>
        <w:tabs>
          <w:tab w:val="right" w:leader="dot" w:pos="9412"/>
          <w:tab w:val="clear" w:pos="1260"/>
          <w:tab w:val="clear" w:pos="1685"/>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_Toc10395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36"/>
          <w:highlight w:val="none"/>
        </w:rPr>
        <w:t>第七篇  投标文件格式</w:t>
      </w:r>
      <w:r>
        <w:rPr>
          <w:color w:val="auto"/>
          <w:highlight w:val="none"/>
        </w:rPr>
        <w:tab/>
      </w:r>
      <w:r>
        <w:rPr>
          <w:color w:val="auto"/>
          <w:highlight w:val="none"/>
        </w:rPr>
        <w:fldChar w:fldCharType="begin"/>
      </w:r>
      <w:r>
        <w:rPr>
          <w:color w:val="auto"/>
          <w:highlight w:val="none"/>
        </w:rPr>
        <w:instrText xml:space="preserve"> PAGEREF _Toc10395 \h </w:instrText>
      </w:r>
      <w:r>
        <w:rPr>
          <w:color w:val="auto"/>
          <w:highlight w:val="none"/>
        </w:rPr>
        <w:fldChar w:fldCharType="separate"/>
      </w:r>
      <w:r>
        <w:rPr>
          <w:color w:val="auto"/>
          <w:highlight w:val="none"/>
        </w:rPr>
        <w:t>24</w:t>
      </w:r>
      <w:r>
        <w:rPr>
          <w:color w:val="auto"/>
          <w:highlight w:val="none"/>
        </w:rPr>
        <w:fldChar w:fldCharType="end"/>
      </w:r>
      <w:r>
        <w:rPr>
          <w:rFonts w:hint="eastAsia" w:ascii="仿宋" w:hAnsi="仿宋" w:eastAsia="仿宋" w:cs="仿宋"/>
          <w:color w:val="auto"/>
          <w:szCs w:val="21"/>
          <w:highlight w:val="none"/>
        </w:rPr>
        <w:fldChar w:fldCharType="end"/>
      </w:r>
    </w:p>
    <w:p w14:paraId="45DF848D">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_Toc5454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8"/>
          <w:highlight w:val="none"/>
        </w:rPr>
        <w:t>一、经济文件</w:t>
      </w:r>
      <w:r>
        <w:rPr>
          <w:color w:val="auto"/>
          <w:highlight w:val="none"/>
        </w:rPr>
        <w:tab/>
      </w:r>
      <w:r>
        <w:rPr>
          <w:color w:val="auto"/>
          <w:highlight w:val="none"/>
        </w:rPr>
        <w:fldChar w:fldCharType="begin"/>
      </w:r>
      <w:r>
        <w:rPr>
          <w:color w:val="auto"/>
          <w:highlight w:val="none"/>
        </w:rPr>
        <w:instrText xml:space="preserve"> PAGEREF _Toc5454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szCs w:val="21"/>
          <w:highlight w:val="none"/>
        </w:rPr>
        <w:fldChar w:fldCharType="end"/>
      </w:r>
    </w:p>
    <w:p w14:paraId="2BDF573A">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_Toc13269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8"/>
          <w:highlight w:val="none"/>
        </w:rPr>
        <w:t>二、服务文件</w:t>
      </w:r>
      <w:r>
        <w:rPr>
          <w:color w:val="auto"/>
          <w:highlight w:val="none"/>
        </w:rPr>
        <w:tab/>
      </w:r>
      <w:r>
        <w:rPr>
          <w:color w:val="auto"/>
          <w:highlight w:val="none"/>
        </w:rPr>
        <w:fldChar w:fldCharType="begin"/>
      </w:r>
      <w:r>
        <w:rPr>
          <w:color w:val="auto"/>
          <w:highlight w:val="none"/>
        </w:rPr>
        <w:instrText xml:space="preserve"> PAGEREF _Toc13269 \h </w:instrText>
      </w:r>
      <w:r>
        <w:rPr>
          <w:color w:val="auto"/>
          <w:highlight w:val="none"/>
        </w:rPr>
        <w:fldChar w:fldCharType="separate"/>
      </w:r>
      <w:r>
        <w:rPr>
          <w:color w:val="auto"/>
          <w:highlight w:val="none"/>
        </w:rPr>
        <w:t>26</w:t>
      </w:r>
      <w:r>
        <w:rPr>
          <w:color w:val="auto"/>
          <w:highlight w:val="none"/>
        </w:rPr>
        <w:fldChar w:fldCharType="end"/>
      </w:r>
      <w:r>
        <w:rPr>
          <w:rFonts w:hint="eastAsia" w:ascii="仿宋" w:hAnsi="仿宋" w:eastAsia="仿宋" w:cs="仿宋"/>
          <w:color w:val="auto"/>
          <w:szCs w:val="21"/>
          <w:highlight w:val="none"/>
        </w:rPr>
        <w:fldChar w:fldCharType="end"/>
      </w:r>
    </w:p>
    <w:p w14:paraId="346DDED7">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_Toc19536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_Toc19536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szCs w:val="21"/>
          <w:highlight w:val="none"/>
        </w:rPr>
        <w:fldChar w:fldCharType="end"/>
      </w:r>
    </w:p>
    <w:p w14:paraId="09B41F5E">
      <w:pPr>
        <w:pStyle w:val="22"/>
        <w:tabs>
          <w:tab w:val="right" w:leader="dot" w:pos="9412"/>
          <w:tab w:val="clear" w:pos="8400"/>
        </w:tabs>
        <w:rPr>
          <w:color w:val="auto"/>
          <w:highlight w:val="none"/>
        </w:rPr>
      </w:pP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_Toc221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8"/>
          <w:highlight w:val="none"/>
        </w:rPr>
        <w:t>四、其他</w:t>
      </w:r>
      <w:r>
        <w:rPr>
          <w:color w:val="auto"/>
          <w:highlight w:val="none"/>
        </w:rPr>
        <w:tab/>
      </w:r>
      <w:r>
        <w:rPr>
          <w:color w:val="auto"/>
          <w:highlight w:val="none"/>
        </w:rPr>
        <w:fldChar w:fldCharType="begin"/>
      </w:r>
      <w:r>
        <w:rPr>
          <w:color w:val="auto"/>
          <w:highlight w:val="none"/>
        </w:rPr>
        <w:instrText xml:space="preserve"> PAGEREF _Toc221 \h </w:instrText>
      </w:r>
      <w:r>
        <w:rPr>
          <w:color w:val="auto"/>
          <w:highlight w:val="none"/>
        </w:rPr>
        <w:fldChar w:fldCharType="separate"/>
      </w:r>
      <w:r>
        <w:rPr>
          <w:color w:val="auto"/>
          <w:highlight w:val="none"/>
        </w:rPr>
        <w:t>32</w:t>
      </w:r>
      <w:r>
        <w:rPr>
          <w:color w:val="auto"/>
          <w:highlight w:val="none"/>
        </w:rPr>
        <w:fldChar w:fldCharType="end"/>
      </w:r>
      <w:r>
        <w:rPr>
          <w:rFonts w:hint="eastAsia" w:ascii="仿宋" w:hAnsi="仿宋" w:eastAsia="仿宋" w:cs="仿宋"/>
          <w:color w:val="auto"/>
          <w:szCs w:val="21"/>
          <w:highlight w:val="none"/>
        </w:rPr>
        <w:fldChar w:fldCharType="end"/>
      </w:r>
    </w:p>
    <w:p w14:paraId="0C179DAC">
      <w:pPr>
        <w:pStyle w:val="19"/>
        <w:spacing w:line="360" w:lineRule="auto"/>
        <w:rPr>
          <w:rFonts w:hint="eastAsia" w:ascii="仿宋" w:hAnsi="仿宋" w:eastAsia="仿宋" w:cs="仿宋"/>
          <w:color w:val="auto"/>
          <w:sz w:val="32"/>
          <w:highlight w:val="none"/>
        </w:rPr>
        <w:sectPr>
          <w:footerReference r:id="rId6" w:type="default"/>
          <w:pgSz w:w="11907" w:h="16840"/>
          <w:pgMar w:top="1134" w:right="1191" w:bottom="1134" w:left="1304" w:header="964" w:footer="992" w:gutter="0"/>
          <w:pgNumType w:fmt="decimal" w:start="1"/>
          <w:cols w:space="720" w:num="1"/>
          <w:docGrid w:linePitch="312" w:charSpace="0"/>
        </w:sectPr>
      </w:pPr>
      <w:r>
        <w:rPr>
          <w:rFonts w:hint="eastAsia" w:ascii="仿宋" w:hAnsi="仿宋" w:eastAsia="仿宋" w:cs="仿宋"/>
          <w:color w:val="auto"/>
          <w:szCs w:val="21"/>
          <w:highlight w:val="none"/>
        </w:rPr>
        <w:fldChar w:fldCharType="end"/>
      </w:r>
    </w:p>
    <w:p w14:paraId="79D0AE49">
      <w:pPr>
        <w:pStyle w:val="2"/>
        <w:spacing w:beforeLines="0" w:afterLines="0" w:line="360" w:lineRule="auto"/>
        <w:rPr>
          <w:rFonts w:hint="eastAsia" w:ascii="仿宋" w:hAnsi="仿宋" w:eastAsia="仿宋" w:cs="仿宋"/>
          <w:b/>
          <w:color w:val="auto"/>
          <w:sz w:val="36"/>
          <w:szCs w:val="36"/>
          <w:highlight w:val="none"/>
        </w:rPr>
      </w:pPr>
      <w:bookmarkStart w:id="0" w:name="_Toc12491"/>
      <w:bookmarkStart w:id="1" w:name="_Toc76387225"/>
      <w:bookmarkStart w:id="2" w:name="_Toc31743"/>
      <w:r>
        <w:rPr>
          <w:rFonts w:hint="eastAsia" w:ascii="仿宋" w:hAnsi="仿宋" w:eastAsia="仿宋" w:cs="仿宋"/>
          <w:b/>
          <w:color w:val="auto"/>
          <w:sz w:val="36"/>
          <w:szCs w:val="36"/>
          <w:highlight w:val="none"/>
        </w:rPr>
        <w:t>第一篇 投标邀请书</w:t>
      </w:r>
      <w:bookmarkEnd w:id="0"/>
      <w:bookmarkEnd w:id="1"/>
      <w:bookmarkEnd w:id="2"/>
    </w:p>
    <w:p w14:paraId="23701A4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重庆市义渡工程管理有限公司</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eastAsia="zh-CN"/>
        </w:rPr>
        <w:t>重庆市大渡口区住房和城乡建设委员会</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大渡口区物业专项维修资金专户管理银行服务</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进行公开招标，欢迎有资格的投标人参加投标。</w:t>
      </w:r>
    </w:p>
    <w:p w14:paraId="5A17B830">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3" w:name="_Toc51"/>
      <w:bookmarkStart w:id="4" w:name="_Toc11293"/>
      <w:bookmarkStart w:id="5" w:name="_Toc76387226"/>
      <w:r>
        <w:rPr>
          <w:rFonts w:hint="eastAsia" w:ascii="仿宋" w:hAnsi="仿宋" w:eastAsia="仿宋" w:cs="仿宋"/>
          <w:b/>
          <w:color w:val="auto"/>
          <w:sz w:val="24"/>
          <w:highlight w:val="none"/>
        </w:rPr>
        <w:t>一、招标项目内容</w:t>
      </w:r>
      <w:bookmarkEnd w:id="3"/>
      <w:bookmarkEnd w:id="4"/>
      <w:bookmarkEnd w:id="5"/>
    </w:p>
    <w:tbl>
      <w:tblPr>
        <w:tblStyle w:val="28"/>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7"/>
        <w:gridCol w:w="1293"/>
        <w:gridCol w:w="1519"/>
        <w:gridCol w:w="1631"/>
        <w:gridCol w:w="1631"/>
      </w:tblGrid>
      <w:tr w14:paraId="15EC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677" w:type="dxa"/>
            <w:vAlign w:val="center"/>
          </w:tcPr>
          <w:p w14:paraId="56A40C11">
            <w:pPr>
              <w:pStyle w:val="11"/>
              <w:spacing w:line="360" w:lineRule="auto"/>
              <w:ind w:left="0"/>
              <w:jc w:val="center"/>
              <w:outlineLvl w:val="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项目名称（标的名称）</w:t>
            </w:r>
          </w:p>
        </w:tc>
        <w:tc>
          <w:tcPr>
            <w:tcW w:w="1293" w:type="dxa"/>
            <w:vAlign w:val="center"/>
          </w:tcPr>
          <w:p w14:paraId="42592621">
            <w:pPr>
              <w:pStyle w:val="11"/>
              <w:spacing w:line="360" w:lineRule="auto"/>
              <w:ind w:left="0"/>
              <w:jc w:val="center"/>
              <w:outlineLvl w:val="0"/>
              <w:rPr>
                <w:rFonts w:hint="default"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数量单位</w:t>
            </w:r>
          </w:p>
        </w:tc>
        <w:tc>
          <w:tcPr>
            <w:tcW w:w="1519" w:type="dxa"/>
            <w:vAlign w:val="center"/>
          </w:tcPr>
          <w:p w14:paraId="2C1AC5FB">
            <w:pPr>
              <w:pStyle w:val="11"/>
              <w:spacing w:line="360" w:lineRule="auto"/>
              <w:ind w:left="0"/>
              <w:jc w:val="center"/>
              <w:outlineLvl w:val="0"/>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服务期</w:t>
            </w:r>
          </w:p>
        </w:tc>
        <w:tc>
          <w:tcPr>
            <w:tcW w:w="1631" w:type="dxa"/>
            <w:vAlign w:val="center"/>
          </w:tcPr>
          <w:p w14:paraId="55ABE2AE">
            <w:pPr>
              <w:pStyle w:val="11"/>
              <w:spacing w:line="360" w:lineRule="auto"/>
              <w:ind w:left="0"/>
              <w:jc w:val="center"/>
              <w:outlineLvl w:val="0"/>
              <w:rPr>
                <w:rFonts w:hint="default"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投标保证金</w:t>
            </w:r>
          </w:p>
        </w:tc>
        <w:tc>
          <w:tcPr>
            <w:tcW w:w="1631" w:type="dxa"/>
            <w:vAlign w:val="center"/>
          </w:tcPr>
          <w:p w14:paraId="32FC6119">
            <w:pPr>
              <w:pStyle w:val="11"/>
              <w:spacing w:line="360" w:lineRule="auto"/>
              <w:ind w:left="0"/>
              <w:jc w:val="center"/>
              <w:outlineLvl w:val="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中标人数量</w:t>
            </w:r>
          </w:p>
        </w:tc>
      </w:tr>
      <w:tr w14:paraId="517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677" w:type="dxa"/>
            <w:vAlign w:val="center"/>
          </w:tcPr>
          <w:p w14:paraId="2F014C9A">
            <w:pPr>
              <w:pStyle w:val="8"/>
              <w:spacing w:line="360" w:lineRule="auto"/>
              <w:ind w:firstLine="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大渡口区物业专项维修资金专户管理银行服务</w:t>
            </w:r>
          </w:p>
        </w:tc>
        <w:tc>
          <w:tcPr>
            <w:tcW w:w="1293" w:type="dxa"/>
            <w:vAlign w:val="center"/>
          </w:tcPr>
          <w:p w14:paraId="73881FA8">
            <w:pPr>
              <w:pStyle w:val="8"/>
              <w:spacing w:line="360" w:lineRule="auto"/>
              <w:ind w:firstLine="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1519" w:type="dxa"/>
            <w:vAlign w:val="center"/>
          </w:tcPr>
          <w:p w14:paraId="7BE7D62E">
            <w:pPr>
              <w:pStyle w:val="8"/>
              <w:spacing w:line="360" w:lineRule="auto"/>
              <w:ind w:firstLine="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2年</w:t>
            </w:r>
          </w:p>
        </w:tc>
        <w:tc>
          <w:tcPr>
            <w:tcW w:w="1631" w:type="dxa"/>
            <w:vAlign w:val="center"/>
          </w:tcPr>
          <w:p w14:paraId="565CD3A6">
            <w:pPr>
              <w:pStyle w:val="8"/>
              <w:spacing w:line="360" w:lineRule="auto"/>
              <w:ind w:firstLine="0"/>
              <w:jc w:val="center"/>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1万元</w:t>
            </w:r>
          </w:p>
        </w:tc>
        <w:tc>
          <w:tcPr>
            <w:tcW w:w="1631" w:type="dxa"/>
            <w:vAlign w:val="center"/>
          </w:tcPr>
          <w:p w14:paraId="29334255">
            <w:pPr>
              <w:pStyle w:val="8"/>
              <w:spacing w:line="360" w:lineRule="auto"/>
              <w:ind w:firstLine="0"/>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15名</w:t>
            </w:r>
          </w:p>
        </w:tc>
      </w:tr>
    </w:tbl>
    <w:p w14:paraId="09499B94">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6" w:name="_Toc28917"/>
      <w:bookmarkStart w:id="7" w:name="_Toc76387228"/>
      <w:bookmarkStart w:id="8" w:name="_Toc13701"/>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rPr>
        <w:t>、投标人资格要求</w:t>
      </w:r>
      <w:bookmarkEnd w:id="6"/>
      <w:bookmarkEnd w:id="7"/>
      <w:bookmarkEnd w:id="8"/>
    </w:p>
    <w:p w14:paraId="2540F9C7">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（一）基本资格条件：</w:t>
      </w:r>
    </w:p>
    <w:p w14:paraId="5357C334">
      <w:pPr>
        <w:pStyle w:val="23"/>
        <w:keepNext w:val="0"/>
        <w:keepLines w:val="0"/>
        <w:widowControl/>
        <w:numPr>
          <w:ilvl w:val="0"/>
          <w:numId w:val="0"/>
        </w:numPr>
        <w:suppressLineNumbers w:val="0"/>
        <w:shd w:val="clear" w:fill="FFFFFF"/>
        <w:spacing w:before="0" w:beforeAutospacing="0" w:after="150" w:afterAutospacing="0"/>
        <w:ind w:right="300" w:rightChars="0" w:firstLine="240" w:firstLineChars="10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1.持有工商行政管理部门颁发的营业执照，如果投标人以分支机构参与投标的须提供总行或省级分行的授权书；</w:t>
      </w:r>
    </w:p>
    <w:p w14:paraId="1E9A3BBE">
      <w:pPr>
        <w:pStyle w:val="23"/>
        <w:keepNext w:val="0"/>
        <w:keepLines w:val="0"/>
        <w:widowControl/>
        <w:numPr>
          <w:ilvl w:val="0"/>
          <w:numId w:val="0"/>
        </w:numPr>
        <w:suppressLineNumbers w:val="0"/>
        <w:shd w:val="clear" w:fill="FFFFFF"/>
        <w:spacing w:before="0" w:beforeAutospacing="0" w:after="150" w:afterAutospacing="0"/>
        <w:ind w:right="300" w:rightChars="0" w:firstLine="240" w:firstLineChars="10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2.具有良好的商业信誉和健全的财务会计制度；</w:t>
      </w:r>
    </w:p>
    <w:p w14:paraId="15C185C8">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3.具有履行合同所必需的设备和专业技术能力；</w:t>
      </w:r>
    </w:p>
    <w:p w14:paraId="3DE98D99">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4.有依法缴纳税收和社会保障资金的良好记录；</w:t>
      </w:r>
    </w:p>
    <w:p w14:paraId="07A3BA03">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5.近三年内在经营活动中没有重大违法记录；</w:t>
      </w:r>
    </w:p>
    <w:p w14:paraId="2D2B30A0">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6.法律、行政法规规定的其他条件。</w:t>
      </w:r>
    </w:p>
    <w:p w14:paraId="7DA03D88">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（二）特定资格条件：</w:t>
      </w:r>
    </w:p>
    <w:p w14:paraId="120CF365">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为在大渡口区内设有营业网点的国有及国有控股银行、股份制商业银行、城市商业银行、政策性银行。（分支机构参与投标的，由总行或省级分行委托授权后参加投标。如是原已代管物业专项维修资金的银行参与投标的，委托授权参加本次投标的只能是原代管物业专项维修资金银行的营业网点或支行，不可以委托授权其他的营业网点或支行参与投标。）（投标人须在投标文件中提供相应证明材料并加盖投标人公章）</w:t>
      </w:r>
    </w:p>
    <w:p w14:paraId="00F04978">
      <w:pPr>
        <w:pStyle w:val="23"/>
        <w:keepNext w:val="0"/>
        <w:keepLines w:val="0"/>
        <w:widowControl/>
        <w:suppressLineNumbers w:val="0"/>
        <w:shd w:val="clear" w:fill="FFFFFF"/>
        <w:spacing w:before="0" w:beforeAutospacing="0" w:after="150" w:afterAutospacing="0"/>
        <w:ind w:left="300" w:right="300" w:firstLine="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2.须持有依法核发的《金融机构法人许可证》或《金融机构营业许可证》。（投标人须在投标文件中提供相应证书复印件并加盖投标人公章）</w:t>
      </w:r>
    </w:p>
    <w:p w14:paraId="302A5D5D">
      <w:pPr>
        <w:pStyle w:val="23"/>
        <w:keepNext w:val="0"/>
        <w:keepLines w:val="0"/>
        <w:widowControl/>
        <w:suppressLineNumbers w:val="0"/>
        <w:shd w:val="clear" w:fill="FFFFFF"/>
        <w:spacing w:before="0" w:beforeAutospacing="0" w:after="150" w:afterAutospacing="0"/>
        <w:ind w:left="300" w:right="300" w:firstLine="0"/>
        <w:rPr>
          <w:rFonts w:hint="eastAsia"/>
          <w:color w:val="auto"/>
          <w:highlight w:val="none"/>
        </w:rPr>
      </w:pPr>
      <w:r>
        <w:rPr>
          <w:rFonts w:hint="eastAsia" w:ascii="仿宋" w:hAnsi="仿宋" w:eastAsia="仿宋" w:cs="仿宋"/>
          <w:color w:val="auto"/>
          <w:kern w:val="2"/>
          <w:sz w:val="24"/>
          <w:szCs w:val="24"/>
          <w:highlight w:val="none"/>
          <w:lang w:val="en-US" w:eastAsia="zh-CN" w:bidi="ar-SA"/>
        </w:rPr>
        <w:t>3.依法开展经营活动，近3年内在大渡口区经营活动中无重大违法违规记录，未发生金融风险及重大违约事件。（投标人须在投标文件中提供承诺函并加盖投标人公章，承诺函格式自拟）</w:t>
      </w:r>
    </w:p>
    <w:p w14:paraId="7A451B25">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9" w:name="_Toc30958"/>
      <w:bookmarkStart w:id="10" w:name="_Toc8497"/>
      <w:bookmarkStart w:id="11" w:name="_Toc76387229"/>
      <w:r>
        <w:rPr>
          <w:rFonts w:hint="eastAsia" w:ascii="仿宋" w:hAnsi="仿宋" w:eastAsia="仿宋" w:cs="仿宋"/>
          <w:b/>
          <w:color w:val="auto"/>
          <w:sz w:val="24"/>
          <w:highlight w:val="none"/>
          <w:lang w:eastAsia="zh-CN"/>
        </w:rPr>
        <w:t>三</w:t>
      </w:r>
      <w:r>
        <w:rPr>
          <w:rFonts w:hint="eastAsia" w:ascii="仿宋" w:hAnsi="仿宋" w:eastAsia="仿宋" w:cs="仿宋"/>
          <w:b/>
          <w:color w:val="auto"/>
          <w:sz w:val="24"/>
          <w:highlight w:val="none"/>
        </w:rPr>
        <w:t>、投标、开标有关说明</w:t>
      </w:r>
      <w:bookmarkEnd w:id="9"/>
      <w:bookmarkEnd w:id="10"/>
      <w:bookmarkEnd w:id="11"/>
    </w:p>
    <w:p w14:paraId="767FB15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（一）投标人应通过</w:t>
      </w:r>
      <w:r>
        <w:rPr>
          <w:rFonts w:hint="eastAsia" w:ascii="仿宋" w:hAnsi="仿宋" w:eastAsia="仿宋" w:cs="仿宋"/>
          <w:color w:val="auto"/>
          <w:sz w:val="24"/>
          <w:szCs w:val="24"/>
          <w:highlight w:val="none"/>
          <w:lang w:eastAsia="zh-CN"/>
        </w:rPr>
        <w:t>“行采家”平台（http://www.gec123.com）进行注册，成为正式供应商方能参与采购活动</w:t>
      </w:r>
      <w:r>
        <w:rPr>
          <w:rFonts w:hint="eastAsia" w:ascii="仿宋" w:hAnsi="仿宋" w:eastAsia="仿宋" w:cs="仿宋"/>
          <w:color w:val="auto"/>
          <w:sz w:val="24"/>
          <w:szCs w:val="24"/>
          <w:highlight w:val="none"/>
        </w:rPr>
        <w:t>。</w:t>
      </w:r>
    </w:p>
    <w:p w14:paraId="78804FA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（二）凡有意参加投标的投标人，请</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“行采家”平台（http://www.gec123.com）上下载或到</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处领取本项目招标文件</w:t>
      </w:r>
      <w:r>
        <w:rPr>
          <w:rFonts w:hint="eastAsia" w:ascii="仿宋" w:hAnsi="仿宋" w:eastAsia="仿宋" w:cs="仿宋"/>
          <w:color w:val="auto"/>
          <w:sz w:val="24"/>
          <w:szCs w:val="24"/>
          <w:highlight w:val="none"/>
          <w:lang w:eastAsia="zh-CN"/>
        </w:rPr>
        <w:t>、澄清等</w:t>
      </w:r>
      <w:r>
        <w:rPr>
          <w:rFonts w:hint="eastAsia" w:ascii="仿宋" w:hAnsi="仿宋" w:eastAsia="仿宋" w:cs="仿宋"/>
          <w:color w:val="auto"/>
          <w:sz w:val="24"/>
          <w:szCs w:val="24"/>
          <w:highlight w:val="none"/>
        </w:rPr>
        <w:t>开标前公布的所有项目资料，无论投标人领取或下载与否，均视为已知晓所有招标内容。</w:t>
      </w:r>
    </w:p>
    <w:p w14:paraId="224F64B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12" w:name="_Toc149559677"/>
      <w:bookmarkStart w:id="13" w:name="_Toc76387230"/>
      <w:bookmarkStart w:id="14" w:name="_Toc15019"/>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须满足以下要求，其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文件才被接受：</w:t>
      </w:r>
    </w:p>
    <w:p w14:paraId="3192E2A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文件要求交纳了</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保证金；</w:t>
      </w:r>
    </w:p>
    <w:p w14:paraId="0A9C33E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2.按时递交了</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w:t>
      </w:r>
    </w:p>
    <w:p w14:paraId="09CA405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bookmarkStart w:id="15" w:name="OLE_LINK36"/>
      <w:bookmarkStart w:id="16" w:name="OLE_LINK35"/>
      <w:r>
        <w:rPr>
          <w:rFonts w:hint="eastAsia" w:ascii="仿宋" w:hAnsi="仿宋" w:eastAsia="仿宋" w:cs="仿宋"/>
          <w:color w:val="auto"/>
          <w:sz w:val="24"/>
          <w:szCs w:val="24"/>
          <w:highlight w:val="none"/>
        </w:rPr>
        <w:t>（四）</w:t>
      </w:r>
      <w:bookmarkStart w:id="17" w:name="OLE_LINK114"/>
      <w:bookmarkStart w:id="18" w:name="OLE_LINK113"/>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网上提交的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文件须与线下提交的一致，如不一致，以线下提交的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文件为准。</w:t>
      </w:r>
    </w:p>
    <w:bookmarkEnd w:id="15"/>
    <w:bookmarkEnd w:id="16"/>
    <w:bookmarkEnd w:id="17"/>
    <w:bookmarkEnd w:id="18"/>
    <w:p w14:paraId="718A8FD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文件线下递交开始时间：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9：30</w:t>
      </w:r>
      <w:r>
        <w:rPr>
          <w:rFonts w:hint="eastAsia" w:ascii="仿宋" w:hAnsi="仿宋" w:eastAsia="仿宋" w:cs="仿宋"/>
          <w:color w:val="auto"/>
          <w:sz w:val="24"/>
          <w:szCs w:val="24"/>
          <w:highlight w:val="none"/>
        </w:rPr>
        <w:t>。</w:t>
      </w:r>
    </w:p>
    <w:p w14:paraId="2C02C2A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文件线下递交截止时间：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10：00</w:t>
      </w:r>
      <w:r>
        <w:rPr>
          <w:rFonts w:hint="eastAsia" w:ascii="仿宋" w:hAnsi="仿宋" w:eastAsia="仿宋" w:cs="仿宋"/>
          <w:color w:val="auto"/>
          <w:sz w:val="24"/>
          <w:szCs w:val="24"/>
          <w:highlight w:val="none"/>
        </w:rPr>
        <w:t>。</w:t>
      </w:r>
    </w:p>
    <w:p w14:paraId="3F32363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文件线下递交地点：</w:t>
      </w:r>
      <w:r>
        <w:rPr>
          <w:rFonts w:hint="eastAsia" w:ascii="仿宋" w:hAnsi="仿宋" w:eastAsia="仿宋"/>
          <w:color w:val="auto"/>
          <w:sz w:val="24"/>
          <w:szCs w:val="24"/>
          <w:highlight w:val="none"/>
          <w:lang w:eastAsia="zh-CN"/>
        </w:rPr>
        <w:t>重庆市大渡口区文体路126号锦天商务中心东楼535室</w:t>
      </w:r>
      <w:r>
        <w:rPr>
          <w:rFonts w:hint="eastAsia" w:ascii="仿宋" w:hAnsi="仿宋" w:eastAsia="仿宋"/>
          <w:color w:val="auto"/>
          <w:sz w:val="24"/>
          <w:szCs w:val="24"/>
          <w:highlight w:val="none"/>
          <w:lang w:val="en-US" w:eastAsia="zh-CN"/>
        </w:rPr>
        <w:t>开标室</w:t>
      </w:r>
      <w:r>
        <w:rPr>
          <w:rFonts w:hint="eastAsia" w:ascii="仿宋" w:hAnsi="仿宋" w:eastAsia="仿宋"/>
          <w:color w:val="auto"/>
          <w:sz w:val="24"/>
          <w:szCs w:val="24"/>
          <w:highlight w:val="none"/>
          <w:lang w:eastAsia="zh-CN"/>
        </w:rPr>
        <w:t>。</w:t>
      </w:r>
    </w:p>
    <w:p w14:paraId="6C65B941">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）开标时间和地点：</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10：00</w:t>
      </w:r>
      <w:r>
        <w:rPr>
          <w:rFonts w:hint="eastAsia" w:ascii="仿宋" w:hAnsi="仿宋" w:eastAsia="仿宋" w:cs="仿宋"/>
          <w:color w:val="auto"/>
          <w:sz w:val="24"/>
          <w:szCs w:val="24"/>
          <w:highlight w:val="none"/>
        </w:rPr>
        <w:t>于</w:t>
      </w:r>
      <w:r>
        <w:rPr>
          <w:rFonts w:hint="eastAsia" w:ascii="仿宋" w:hAnsi="仿宋" w:eastAsia="仿宋"/>
          <w:color w:val="auto"/>
          <w:sz w:val="24"/>
          <w:szCs w:val="24"/>
          <w:highlight w:val="none"/>
          <w:lang w:eastAsia="zh-CN"/>
        </w:rPr>
        <w:t>重庆市大渡口区文体路126号锦天商务中心东楼535室</w:t>
      </w:r>
      <w:r>
        <w:rPr>
          <w:rFonts w:hint="eastAsia" w:ascii="仿宋" w:hAnsi="仿宋" w:eastAsia="仿宋"/>
          <w:color w:val="auto"/>
          <w:sz w:val="24"/>
          <w:szCs w:val="24"/>
          <w:highlight w:val="none"/>
          <w:lang w:val="en-US" w:eastAsia="zh-CN"/>
        </w:rPr>
        <w:t>开标室</w:t>
      </w:r>
      <w:r>
        <w:rPr>
          <w:rFonts w:hint="eastAsia" w:ascii="仿宋" w:hAnsi="仿宋" w:eastAsia="仿宋"/>
          <w:color w:val="auto"/>
          <w:sz w:val="24"/>
          <w:szCs w:val="24"/>
          <w:highlight w:val="none"/>
          <w:lang w:eastAsia="zh-CN"/>
        </w:rPr>
        <w:t>。</w:t>
      </w:r>
    </w:p>
    <w:p w14:paraId="7FF2D55D">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9" w:name="_Toc27301"/>
      <w:r>
        <w:rPr>
          <w:rFonts w:hint="eastAsia" w:ascii="仿宋" w:hAnsi="仿宋" w:eastAsia="仿宋" w:cs="仿宋"/>
          <w:b/>
          <w:color w:val="auto"/>
          <w:sz w:val="24"/>
          <w:highlight w:val="none"/>
          <w:lang w:eastAsia="zh-CN"/>
        </w:rPr>
        <w:t>四</w:t>
      </w:r>
      <w:r>
        <w:rPr>
          <w:rFonts w:hint="eastAsia" w:ascii="仿宋" w:hAnsi="仿宋" w:eastAsia="仿宋" w:cs="仿宋"/>
          <w:b/>
          <w:color w:val="auto"/>
          <w:sz w:val="24"/>
          <w:highlight w:val="none"/>
        </w:rPr>
        <w:t>、投标保证金</w:t>
      </w:r>
      <w:bookmarkEnd w:id="12"/>
      <w:bookmarkEnd w:id="13"/>
      <w:bookmarkEnd w:id="14"/>
      <w:bookmarkEnd w:id="19"/>
    </w:p>
    <w:p w14:paraId="212A7EE0">
      <w:pPr>
        <w:spacing w:line="360" w:lineRule="auto"/>
        <w:ind w:firstLine="480" w:firstLineChars="200"/>
        <w:rPr>
          <w:rFonts w:hint="eastAsia" w:ascii="仿宋" w:hAnsi="仿宋" w:eastAsia="仿宋" w:cs="Times New Roman"/>
          <w:color w:val="auto"/>
          <w:sz w:val="24"/>
          <w:szCs w:val="24"/>
          <w:highlight w:val="none"/>
        </w:rPr>
      </w:pPr>
      <w:bookmarkStart w:id="20" w:name="_Toc149559678"/>
      <w:bookmarkStart w:id="21" w:name="_Toc76387231"/>
      <w:bookmarkStart w:id="22" w:name="_Toc28731"/>
      <w:r>
        <w:rPr>
          <w:rFonts w:hint="eastAsia" w:ascii="仿宋" w:hAnsi="仿宋" w:eastAsia="仿宋" w:cs="Times New Roman"/>
          <w:color w:val="auto"/>
          <w:sz w:val="24"/>
          <w:szCs w:val="24"/>
          <w:highlight w:val="none"/>
        </w:rPr>
        <w:t>（一）保证金递交</w:t>
      </w:r>
    </w:p>
    <w:p w14:paraId="468A90F4">
      <w:pPr>
        <w:spacing w:line="360" w:lineRule="auto"/>
        <w:ind w:firstLine="480" w:firstLineChars="200"/>
        <w:rPr>
          <w:rFonts w:hint="eastAsia" w:ascii="仿宋" w:hAnsi="仿宋" w:eastAsia="仿宋" w:cs="Times New Roman"/>
          <w:b/>
          <w:bCs/>
          <w:color w:val="auto"/>
          <w:sz w:val="24"/>
          <w:szCs w:val="24"/>
          <w:highlight w:val="none"/>
        </w:rPr>
      </w:pPr>
      <w:r>
        <w:rPr>
          <w:rFonts w:hint="eastAsia"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应足额交纳</w:t>
      </w:r>
      <w:r>
        <w:rPr>
          <w:rFonts w:hint="eastAsia" w:ascii="仿宋" w:hAnsi="仿宋" w:eastAsia="仿宋" w:cs="Times New Roman"/>
          <w:color w:val="auto"/>
          <w:sz w:val="24"/>
          <w:szCs w:val="24"/>
          <w:highlight w:val="none"/>
          <w:lang w:eastAsia="zh-CN"/>
        </w:rPr>
        <w:t>投标</w:t>
      </w:r>
      <w:r>
        <w:rPr>
          <w:rFonts w:hint="eastAsia" w:ascii="仿宋" w:hAnsi="仿宋" w:eastAsia="仿宋" w:cs="Times New Roman"/>
          <w:color w:val="auto"/>
          <w:sz w:val="24"/>
          <w:szCs w:val="24"/>
          <w:highlight w:val="none"/>
        </w:rPr>
        <w:t>保证金（保证金金额详见本篇一、采购项目内容），并汇至以下账户（转账时备注项目名称，项目名称可简写），</w:t>
      </w:r>
      <w:r>
        <w:rPr>
          <w:rFonts w:hint="eastAsia" w:ascii="仿宋" w:hAnsi="仿宋" w:eastAsia="仿宋" w:cs="Times New Roman"/>
          <w:color w:val="auto"/>
          <w:sz w:val="24"/>
          <w:szCs w:val="24"/>
          <w:highlight w:val="none"/>
          <w:lang w:val="en-US" w:eastAsia="zh-CN"/>
        </w:rPr>
        <w:t>投标</w:t>
      </w:r>
      <w:r>
        <w:rPr>
          <w:rFonts w:hint="eastAsia" w:ascii="仿宋" w:hAnsi="仿宋" w:eastAsia="仿宋" w:cs="Times New Roman"/>
          <w:color w:val="auto"/>
          <w:sz w:val="24"/>
          <w:szCs w:val="24"/>
          <w:highlight w:val="none"/>
        </w:rPr>
        <w:t>保证金的到账截止时间：</w:t>
      </w:r>
      <w:r>
        <w:rPr>
          <w:rFonts w:hint="eastAsia" w:ascii="仿宋" w:hAnsi="仿宋" w:eastAsia="仿宋" w:cs="Times New Roman"/>
          <w:b/>
          <w:bCs/>
          <w:color w:val="auto"/>
          <w:sz w:val="24"/>
          <w:szCs w:val="24"/>
          <w:highlight w:val="none"/>
          <w:lang w:eastAsia="zh-CN"/>
        </w:rPr>
        <w:t>202</w:t>
      </w:r>
      <w:r>
        <w:rPr>
          <w:rFonts w:hint="eastAsia" w:ascii="仿宋" w:hAnsi="仿宋" w:eastAsia="仿宋" w:cs="Times New Roman"/>
          <w:b/>
          <w:bCs/>
          <w:color w:val="auto"/>
          <w:sz w:val="24"/>
          <w:szCs w:val="24"/>
          <w:highlight w:val="none"/>
          <w:lang w:val="en-US" w:eastAsia="zh-CN"/>
        </w:rPr>
        <w:t>6</w:t>
      </w:r>
      <w:r>
        <w:rPr>
          <w:rFonts w:hint="eastAsia" w:ascii="仿宋" w:hAnsi="仿宋" w:eastAsia="仿宋" w:cs="Times New Roman"/>
          <w:b/>
          <w:bCs/>
          <w:color w:val="auto"/>
          <w:sz w:val="24"/>
          <w:szCs w:val="24"/>
          <w:highlight w:val="none"/>
        </w:rPr>
        <w:t>年</w:t>
      </w:r>
      <w:r>
        <w:rPr>
          <w:rFonts w:hint="eastAsia" w:ascii="仿宋" w:hAnsi="仿宋" w:eastAsia="仿宋" w:cs="Times New Roman"/>
          <w:b/>
          <w:bCs/>
          <w:color w:val="auto"/>
          <w:sz w:val="24"/>
          <w:szCs w:val="24"/>
          <w:highlight w:val="none"/>
          <w:lang w:val="en-US" w:eastAsia="zh-CN"/>
        </w:rPr>
        <w:t>5</w:t>
      </w:r>
      <w:r>
        <w:rPr>
          <w:rFonts w:hint="eastAsia" w:ascii="仿宋" w:hAnsi="仿宋" w:eastAsia="仿宋" w:cs="Times New Roman"/>
          <w:b/>
          <w:bCs/>
          <w:color w:val="auto"/>
          <w:sz w:val="24"/>
          <w:szCs w:val="24"/>
          <w:highlight w:val="none"/>
        </w:rPr>
        <w:t>月</w:t>
      </w:r>
      <w:r>
        <w:rPr>
          <w:rFonts w:hint="eastAsia" w:ascii="仿宋" w:hAnsi="仿宋" w:eastAsia="仿宋" w:cs="Times New Roman"/>
          <w:b/>
          <w:bCs/>
          <w:color w:val="auto"/>
          <w:sz w:val="24"/>
          <w:szCs w:val="24"/>
          <w:highlight w:val="none"/>
          <w:lang w:val="en-US" w:eastAsia="zh-CN"/>
        </w:rPr>
        <w:t>28</w:t>
      </w:r>
      <w:r>
        <w:rPr>
          <w:rFonts w:hint="eastAsia" w:ascii="仿宋" w:hAnsi="仿宋" w:eastAsia="仿宋" w:cs="Times New Roman"/>
          <w:b/>
          <w:bCs/>
          <w:color w:val="auto"/>
          <w:sz w:val="24"/>
          <w:szCs w:val="24"/>
          <w:highlight w:val="none"/>
        </w:rPr>
        <w:t>日北京时间</w:t>
      </w:r>
      <w:r>
        <w:rPr>
          <w:rFonts w:hint="eastAsia" w:ascii="仿宋" w:hAnsi="仿宋" w:eastAsia="仿宋" w:cs="Times New Roman"/>
          <w:b/>
          <w:bCs/>
          <w:color w:val="auto"/>
          <w:sz w:val="24"/>
          <w:szCs w:val="24"/>
          <w:highlight w:val="none"/>
          <w:lang w:val="en-US" w:eastAsia="zh-CN"/>
        </w:rPr>
        <w:t>17：00</w:t>
      </w:r>
      <w:r>
        <w:rPr>
          <w:rFonts w:hint="eastAsia" w:ascii="仿宋" w:hAnsi="仿宋" w:eastAsia="仿宋" w:cs="Times New Roman"/>
          <w:b/>
          <w:bCs/>
          <w:color w:val="auto"/>
          <w:sz w:val="24"/>
          <w:szCs w:val="24"/>
          <w:highlight w:val="none"/>
        </w:rPr>
        <w:t>。</w:t>
      </w:r>
    </w:p>
    <w:p w14:paraId="194D2356">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投标</w:t>
      </w:r>
      <w:r>
        <w:rPr>
          <w:rFonts w:hint="eastAsia" w:ascii="仿宋" w:hAnsi="仿宋" w:eastAsia="仿宋" w:cs="Times New Roman"/>
          <w:color w:val="auto"/>
          <w:sz w:val="24"/>
          <w:szCs w:val="24"/>
          <w:highlight w:val="none"/>
        </w:rPr>
        <w:t>保证金账户：</w:t>
      </w:r>
    </w:p>
    <w:p w14:paraId="0407ED1A">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户  名：重庆市义渡工程管理有限公司</w:t>
      </w:r>
    </w:p>
    <w:p w14:paraId="576A4865">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开户行：重庆银行股份有限公司大渡口支行</w:t>
      </w:r>
    </w:p>
    <w:p w14:paraId="3CB078C9">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帐  号：340102029004903154</w:t>
      </w:r>
    </w:p>
    <w:p w14:paraId="2A13ECFB">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2.各</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在银行转账（电汇）时，须充分考虑银行转账（电汇）的时间差风险，如同城转账、异地转账或汇款、跨行转账或电汇的时间要求。</w:t>
      </w:r>
    </w:p>
    <w:p w14:paraId="1460E942">
      <w:pPr>
        <w:spacing w:line="360" w:lineRule="auto"/>
        <w:ind w:firstLine="482"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3.如果投标人为分支机构参与投标且无银行账户的可由其上级银行递交投标保证金，投标人须在投标文件提供由上级银行为其递交保证金的情况说明。</w:t>
      </w:r>
    </w:p>
    <w:p w14:paraId="4FFAF44C">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备注：</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可携带已交纳保证金的凭证（如银行回执单等）至开标现场，以备现场核查，若开标会现场</w:t>
      </w:r>
      <w:r>
        <w:rPr>
          <w:rFonts w:hint="eastAsia" w:ascii="仿宋" w:hAnsi="仿宋" w:eastAsia="仿宋" w:cs="Times New Roman"/>
          <w:color w:val="auto"/>
          <w:sz w:val="24"/>
          <w:szCs w:val="24"/>
          <w:highlight w:val="none"/>
          <w:lang w:eastAsia="zh-CN"/>
        </w:rPr>
        <w:t>招标人</w:t>
      </w:r>
      <w:r>
        <w:rPr>
          <w:rFonts w:hint="eastAsia" w:ascii="仿宋" w:hAnsi="仿宋" w:eastAsia="仿宋" w:cs="Times New Roman"/>
          <w:color w:val="auto"/>
          <w:sz w:val="24"/>
          <w:szCs w:val="24"/>
          <w:highlight w:val="none"/>
        </w:rPr>
        <w:t>或采购代理机构查询的</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保证金交纳时间和</w:t>
      </w:r>
      <w:r>
        <w:rPr>
          <w:rFonts w:hint="eastAsia" w:ascii="仿宋" w:hAnsi="仿宋" w:eastAsia="仿宋" w:cs="Times New Roman"/>
          <w:color w:val="auto"/>
          <w:sz w:val="24"/>
          <w:szCs w:val="24"/>
          <w:highlight w:val="none"/>
          <w:lang w:eastAsia="zh-CN"/>
        </w:rPr>
        <w:t>投标人</w:t>
      </w:r>
      <w:r>
        <w:rPr>
          <w:rFonts w:hint="eastAsia" w:ascii="仿宋" w:hAnsi="仿宋" w:eastAsia="仿宋" w:cs="Times New Roman"/>
          <w:color w:val="auto"/>
          <w:sz w:val="24"/>
          <w:szCs w:val="24"/>
          <w:highlight w:val="none"/>
        </w:rPr>
        <w:t>提供的保证金交纳凭证上注明的时间不一致，以保证金交纳凭证注明的时间为准。</w:t>
      </w:r>
    </w:p>
    <w:p w14:paraId="2D50F460">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（二）保证金退还方式</w:t>
      </w:r>
    </w:p>
    <w:p w14:paraId="795F2709">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1.未</w:t>
      </w:r>
      <w:r>
        <w:rPr>
          <w:rFonts w:hint="eastAsia" w:ascii="仿宋" w:hAnsi="仿宋" w:eastAsia="仿宋" w:cs="Times New Roman"/>
          <w:color w:val="auto"/>
          <w:sz w:val="24"/>
          <w:szCs w:val="24"/>
          <w:highlight w:val="none"/>
          <w:lang w:val="en-US" w:eastAsia="zh-CN"/>
        </w:rPr>
        <w:t>中标人</w:t>
      </w:r>
      <w:r>
        <w:rPr>
          <w:rFonts w:hint="eastAsia" w:ascii="仿宋" w:hAnsi="仿宋" w:eastAsia="仿宋" w:cs="Times New Roman"/>
          <w:color w:val="auto"/>
          <w:sz w:val="24"/>
          <w:szCs w:val="24"/>
          <w:highlight w:val="none"/>
        </w:rPr>
        <w:t>的保证金，在</w:t>
      </w:r>
      <w:r>
        <w:rPr>
          <w:rFonts w:hint="eastAsia" w:ascii="仿宋" w:hAnsi="仿宋" w:eastAsia="仿宋" w:cs="Times New Roman"/>
          <w:color w:val="auto"/>
          <w:sz w:val="24"/>
          <w:szCs w:val="24"/>
          <w:highlight w:val="none"/>
          <w:lang w:val="en-US" w:eastAsia="zh-CN"/>
        </w:rPr>
        <w:t>中标</w:t>
      </w:r>
      <w:r>
        <w:rPr>
          <w:rFonts w:hint="eastAsia" w:ascii="仿宋" w:hAnsi="仿宋" w:eastAsia="仿宋" w:cs="Times New Roman"/>
          <w:color w:val="auto"/>
          <w:sz w:val="24"/>
          <w:szCs w:val="24"/>
          <w:highlight w:val="none"/>
        </w:rPr>
        <w:t>通知书发放后，在五个工作日内按来款渠道直接退还。</w:t>
      </w:r>
    </w:p>
    <w:p w14:paraId="5030DEDD">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lang w:val="en-US" w:eastAsia="zh-CN"/>
        </w:rPr>
        <w:t>中标人</w:t>
      </w:r>
      <w:r>
        <w:rPr>
          <w:rFonts w:hint="eastAsia" w:ascii="仿宋" w:hAnsi="仿宋" w:eastAsia="仿宋" w:cs="Times New Roman"/>
          <w:color w:val="auto"/>
          <w:sz w:val="24"/>
          <w:szCs w:val="24"/>
          <w:highlight w:val="none"/>
        </w:rPr>
        <w:t>的</w:t>
      </w:r>
      <w:r>
        <w:rPr>
          <w:rFonts w:hint="eastAsia" w:ascii="仿宋" w:hAnsi="仿宋" w:eastAsia="仿宋" w:cs="Times New Roman"/>
          <w:color w:val="auto"/>
          <w:sz w:val="24"/>
          <w:szCs w:val="24"/>
          <w:highlight w:val="none"/>
          <w:lang w:val="en-US" w:eastAsia="zh-CN"/>
        </w:rPr>
        <w:t>投标</w:t>
      </w:r>
      <w:r>
        <w:rPr>
          <w:rFonts w:hint="eastAsia" w:ascii="仿宋" w:hAnsi="仿宋" w:eastAsia="仿宋" w:cs="Times New Roman"/>
          <w:color w:val="auto"/>
          <w:sz w:val="24"/>
          <w:szCs w:val="24"/>
          <w:highlight w:val="none"/>
        </w:rPr>
        <w:t>保证金，在</w:t>
      </w:r>
      <w:r>
        <w:rPr>
          <w:rFonts w:hint="eastAsia" w:ascii="仿宋" w:hAnsi="仿宋" w:eastAsia="仿宋" w:cs="Times New Roman"/>
          <w:color w:val="auto"/>
          <w:sz w:val="24"/>
          <w:szCs w:val="24"/>
          <w:highlight w:val="none"/>
          <w:lang w:val="en-US" w:eastAsia="zh-CN"/>
        </w:rPr>
        <w:t>中标人</w:t>
      </w:r>
      <w:r>
        <w:rPr>
          <w:rFonts w:hint="eastAsia" w:ascii="仿宋" w:hAnsi="仿宋" w:eastAsia="仿宋" w:cs="Times New Roman"/>
          <w:color w:val="auto"/>
          <w:sz w:val="24"/>
          <w:szCs w:val="24"/>
          <w:highlight w:val="none"/>
        </w:rPr>
        <w:t>与</w:t>
      </w:r>
      <w:r>
        <w:rPr>
          <w:rFonts w:hint="eastAsia" w:ascii="仿宋" w:hAnsi="仿宋" w:eastAsia="仿宋" w:cs="Times New Roman"/>
          <w:color w:val="auto"/>
          <w:sz w:val="24"/>
          <w:szCs w:val="24"/>
          <w:highlight w:val="none"/>
          <w:lang w:eastAsia="zh-CN"/>
        </w:rPr>
        <w:t>招标人</w:t>
      </w:r>
      <w:r>
        <w:rPr>
          <w:rFonts w:hint="eastAsia" w:ascii="仿宋" w:hAnsi="仿宋" w:eastAsia="仿宋" w:cs="Times New Roman"/>
          <w:color w:val="auto"/>
          <w:sz w:val="24"/>
          <w:szCs w:val="24"/>
          <w:highlight w:val="none"/>
        </w:rPr>
        <w:t>签订合同后，在五个工作日内按资金来款渠道直接退还。</w:t>
      </w:r>
    </w:p>
    <w:bookmarkEnd w:id="20"/>
    <w:bookmarkEnd w:id="21"/>
    <w:bookmarkEnd w:id="22"/>
    <w:p w14:paraId="44E4318C">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23" w:name="_Toc17185"/>
      <w:bookmarkStart w:id="24" w:name="_Toc149559679"/>
      <w:bookmarkStart w:id="25" w:name="_Toc15490"/>
      <w:bookmarkStart w:id="26" w:name="_Toc76387232"/>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、投标有关规定</w:t>
      </w:r>
      <w:bookmarkEnd w:id="23"/>
      <w:bookmarkEnd w:id="24"/>
      <w:bookmarkEnd w:id="25"/>
      <w:bookmarkEnd w:id="26"/>
    </w:p>
    <w:p w14:paraId="5D9BB69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（一）单位负责人为同一人或者存在直接控股、管理关系的不同投标人，不得参加同一合同项（包）下的</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活动。</w:t>
      </w:r>
    </w:p>
    <w:p w14:paraId="0819830B">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（二）为采购项目提供规范编制或者项目管理、监理、检测等服务的投标人，不得再参加该采购项目的其他采购活动。</w:t>
      </w:r>
    </w:p>
    <w:p w14:paraId="4ECD043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（三）本项目若有澄清文件一律在</w:t>
      </w:r>
      <w:r>
        <w:rPr>
          <w:rFonts w:hint="eastAsia" w:ascii="仿宋" w:hAnsi="仿宋" w:eastAsia="仿宋" w:cs="仿宋"/>
          <w:color w:val="auto"/>
          <w:sz w:val="24"/>
          <w:szCs w:val="24"/>
          <w:highlight w:val="none"/>
          <w:lang w:eastAsia="zh-CN"/>
        </w:rPr>
        <w:t>“行采家”平台（http://www.gec123.com）</w:t>
      </w:r>
      <w:r>
        <w:rPr>
          <w:rFonts w:hint="eastAsia" w:ascii="仿宋" w:hAnsi="仿宋" w:eastAsia="仿宋" w:cs="仿宋"/>
          <w:color w:val="auto"/>
          <w:sz w:val="24"/>
          <w:szCs w:val="24"/>
          <w:highlight w:val="none"/>
        </w:rPr>
        <w:t>上发布，请各投标人注意下载或到</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领取；无论投标人下载或领取与否，均视同投标人已知晓本项目澄清文件的内容。</w:t>
      </w:r>
    </w:p>
    <w:p w14:paraId="26C1347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（四）超过投标截止时间递交的投标文件，恕不接收。</w:t>
      </w:r>
    </w:p>
    <w:p w14:paraId="71B2671A">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（五）投标费用：无论投标结果如何，投标人参与本项目投标的所有费用均应由投标人自行承担。</w:t>
      </w:r>
    </w:p>
    <w:p w14:paraId="22832DB4">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（六）本项目不接受联合体参与投标，否则按无效投标处理。</w:t>
      </w:r>
    </w:p>
    <w:p w14:paraId="05196AE4">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（七）本项目不接受合同分包，否则按无效处理。</w:t>
      </w:r>
    </w:p>
    <w:p w14:paraId="2FBCBC50">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bookmarkStart w:id="27" w:name="OLE_LINK2"/>
      <w:bookmarkStart w:id="28" w:name="OLE_LINK1"/>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27"/>
      <w:bookmarkEnd w:id="28"/>
      <w:r>
        <w:rPr>
          <w:rFonts w:hint="eastAsia" w:ascii="仿宋" w:hAnsi="仿宋" w:eastAsia="仿宋" w:cs="仿宋"/>
          <w:color w:val="auto"/>
          <w:sz w:val="24"/>
          <w:szCs w:val="24"/>
          <w:highlight w:val="none"/>
        </w:rPr>
        <w:t>投标人，将拒绝其参与</w:t>
      </w:r>
      <w:r>
        <w:rPr>
          <w:rFonts w:hint="eastAsia" w:ascii="仿宋" w:hAnsi="仿宋" w:eastAsia="仿宋" w:cs="仿宋"/>
          <w:color w:val="auto"/>
          <w:sz w:val="24"/>
          <w:szCs w:val="24"/>
          <w:highlight w:val="none"/>
          <w:lang w:val="en-US" w:eastAsia="zh-CN"/>
        </w:rPr>
        <w:t>本次</w:t>
      </w:r>
      <w:r>
        <w:rPr>
          <w:rFonts w:hint="eastAsia" w:ascii="仿宋" w:hAnsi="仿宋" w:eastAsia="仿宋" w:cs="仿宋"/>
          <w:color w:val="auto"/>
          <w:sz w:val="24"/>
          <w:szCs w:val="24"/>
          <w:highlight w:val="none"/>
        </w:rPr>
        <w:t>采购活动。</w:t>
      </w:r>
    </w:p>
    <w:p w14:paraId="7E31F04D">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29" w:name="_Toc17967"/>
      <w:bookmarkStart w:id="30" w:name="_Toc76387233"/>
      <w:bookmarkStart w:id="31" w:name="_Toc986"/>
      <w:r>
        <w:rPr>
          <w:rFonts w:hint="eastAsia" w:ascii="仿宋" w:hAnsi="仿宋" w:eastAsia="仿宋" w:cs="仿宋"/>
          <w:b/>
          <w:color w:val="auto"/>
          <w:sz w:val="24"/>
          <w:highlight w:val="none"/>
          <w:lang w:eastAsia="zh-CN"/>
        </w:rPr>
        <w:t>七</w:t>
      </w:r>
      <w:r>
        <w:rPr>
          <w:rFonts w:hint="eastAsia" w:ascii="仿宋" w:hAnsi="仿宋" w:eastAsia="仿宋" w:cs="仿宋"/>
          <w:b/>
          <w:color w:val="auto"/>
          <w:sz w:val="24"/>
          <w:highlight w:val="none"/>
        </w:rPr>
        <w:t>、联系方式</w:t>
      </w:r>
      <w:bookmarkEnd w:id="29"/>
      <w:bookmarkEnd w:id="30"/>
      <w:bookmarkEnd w:id="31"/>
    </w:p>
    <w:p w14:paraId="58F0DB19">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重庆市大渡口区住房和城乡建设委员会</w:t>
      </w:r>
    </w:p>
    <w:p w14:paraId="6799D598">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杨</w:t>
      </w:r>
      <w:r>
        <w:rPr>
          <w:rFonts w:hint="eastAsia" w:ascii="仿宋" w:hAnsi="仿宋" w:eastAsia="仿宋" w:cs="仿宋"/>
          <w:color w:val="auto"/>
          <w:sz w:val="24"/>
          <w:szCs w:val="24"/>
          <w:highlight w:val="none"/>
        </w:rPr>
        <w:t>老师</w:t>
      </w:r>
    </w:p>
    <w:p w14:paraId="6F564E04">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话：023-68082002</w:t>
      </w:r>
    </w:p>
    <w:p w14:paraId="6C67DBA9">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址：重庆市大渡口区春晖路81号附18号</w:t>
      </w:r>
    </w:p>
    <w:p w14:paraId="6FAE4900">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重庆市义渡工程管理有限公司</w:t>
      </w:r>
    </w:p>
    <w:p w14:paraId="59A0A22B">
      <w:pPr>
        <w:pageBreakBefore w:val="0"/>
        <w:widowControl w:val="0"/>
        <w:kinsoku/>
        <w:wordWrap/>
        <w:overflowPunct/>
        <w:topLinePunct w:val="0"/>
        <w:autoSpaceDE/>
        <w:autoSpaceDN/>
        <w:bidi w:val="0"/>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严力、唐书霞</w:t>
      </w:r>
    </w:p>
    <w:p w14:paraId="52D10DC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话：023-85786930</w:t>
      </w:r>
    </w:p>
    <w:p w14:paraId="651A047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b/>
          <w:bCs/>
          <w:smallCap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地  址：重庆市大渡口区文体路126号锦天商务中心东楼535室</w:t>
      </w:r>
      <w:r>
        <w:rPr>
          <w:rFonts w:hint="eastAsia" w:ascii="仿宋" w:hAnsi="仿宋" w:eastAsia="仿宋" w:cs="仿宋"/>
          <w:b/>
          <w:bCs/>
          <w:smallCaps w:val="0"/>
          <w:color w:val="auto"/>
          <w:kern w:val="2"/>
          <w:sz w:val="24"/>
          <w:szCs w:val="24"/>
          <w:highlight w:val="none"/>
          <w:lang w:val="en-US" w:eastAsia="zh-CN" w:bidi="ar-SA"/>
        </w:rPr>
        <w:br w:type="page"/>
      </w:r>
    </w:p>
    <w:p w14:paraId="7AD7FBF8">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bookmarkStart w:id="32" w:name="_Toc76387234"/>
      <w:bookmarkStart w:id="33" w:name="_Toc2535"/>
      <w:bookmarkStart w:id="34" w:name="_Toc19855"/>
      <w:r>
        <w:rPr>
          <w:rFonts w:hint="eastAsia" w:ascii="仿宋" w:hAnsi="仿宋" w:eastAsia="仿宋" w:cs="仿宋"/>
          <w:b/>
          <w:color w:val="auto"/>
          <w:sz w:val="36"/>
          <w:szCs w:val="36"/>
          <w:highlight w:val="none"/>
        </w:rPr>
        <w:t>第二篇 项目服务需求</w:t>
      </w:r>
      <w:bookmarkEnd w:id="32"/>
      <w:bookmarkEnd w:id="33"/>
      <w:bookmarkEnd w:id="34"/>
    </w:p>
    <w:p w14:paraId="3BDFB87C">
      <w:pPr>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b/>
          <w:bCs/>
          <w:color w:val="auto"/>
          <w:sz w:val="24"/>
          <w:szCs w:val="24"/>
          <w:highlight w:val="none"/>
        </w:rPr>
      </w:pPr>
      <w:bookmarkStart w:id="35" w:name="_Toc76387235"/>
      <w:bookmarkStart w:id="36" w:name="_Toc76387237"/>
      <w:bookmarkStart w:id="37" w:name="_Toc12426"/>
      <w:r>
        <w:rPr>
          <w:rFonts w:hint="eastAsia" w:ascii="仿宋" w:hAnsi="仿宋" w:eastAsia="仿宋" w:cs="仿宋"/>
          <w:b/>
          <w:bCs/>
          <w:color w:val="auto"/>
          <w:kern w:val="0"/>
          <w:sz w:val="24"/>
          <w:szCs w:val="24"/>
          <w:highlight w:val="none"/>
        </w:rPr>
        <w:t>说明：</w:t>
      </w:r>
      <w:r>
        <w:rPr>
          <w:rFonts w:hint="eastAsia" w:ascii="仿宋" w:hAnsi="仿宋" w:eastAsia="仿宋" w:cs="仿宋"/>
          <w:b/>
          <w:bCs/>
          <w:color w:val="auto"/>
          <w:kern w:val="0"/>
          <w:sz w:val="24"/>
          <w:szCs w:val="24"/>
          <w:highlight w:val="none"/>
          <w:lang w:val="en-US" w:eastAsia="zh-CN"/>
        </w:rPr>
        <w:t>以下所有服务需求</w:t>
      </w:r>
      <w:r>
        <w:rPr>
          <w:rFonts w:hint="eastAsia" w:ascii="仿宋" w:hAnsi="仿宋" w:eastAsia="仿宋" w:cs="仿宋"/>
          <w:b/>
          <w:bCs/>
          <w:color w:val="auto"/>
          <w:kern w:val="0"/>
          <w:sz w:val="24"/>
          <w:szCs w:val="24"/>
          <w:highlight w:val="none"/>
        </w:rPr>
        <w:t>为符合性审查中的实质性要求，投标文件若不满足按无效投标处理。</w:t>
      </w:r>
    </w:p>
    <w:p w14:paraId="120DB68F">
      <w:pPr>
        <w:pStyle w:val="3"/>
        <w:pageBreakBefore w:val="0"/>
        <w:widowControl w:val="0"/>
        <w:kinsoku/>
        <w:wordWrap/>
        <w:overflowPunct/>
        <w:topLinePunct w:val="0"/>
        <w:autoSpaceDE/>
        <w:autoSpaceDN/>
        <w:bidi w:val="0"/>
        <w:snapToGrid/>
        <w:spacing w:line="360" w:lineRule="auto"/>
        <w:ind w:firstLine="482" w:firstLineChars="200"/>
        <w:jc w:val="left"/>
        <w:textAlignment w:val="auto"/>
        <w:rPr>
          <w:rFonts w:hint="eastAsia" w:ascii="仿宋" w:hAnsi="仿宋" w:eastAsia="仿宋" w:cs="仿宋"/>
          <w:b/>
          <w:color w:val="auto"/>
          <w:sz w:val="24"/>
          <w:szCs w:val="24"/>
          <w:highlight w:val="none"/>
          <w:lang w:val="en-US" w:eastAsia="zh-CN"/>
        </w:rPr>
      </w:pPr>
      <w:bookmarkStart w:id="38" w:name="_Toc9129"/>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项目概况</w:t>
      </w:r>
      <w:bookmarkEnd w:id="38"/>
    </w:p>
    <w:p w14:paraId="5E6797B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为加强我</w:t>
      </w:r>
      <w:r>
        <w:rPr>
          <w:rFonts w:hint="eastAsia" w:ascii="仿宋" w:hAnsi="仿宋" w:eastAsia="仿宋" w:cs="仿宋"/>
          <w:color w:val="auto"/>
          <w:kern w:val="0"/>
          <w:sz w:val="24"/>
          <w:szCs w:val="24"/>
          <w:highlight w:val="none"/>
          <w:lang w:eastAsia="zh-CN"/>
        </w:rPr>
        <w:t>区</w:t>
      </w:r>
      <w:r>
        <w:rPr>
          <w:rFonts w:hint="eastAsia" w:ascii="仿宋" w:hAnsi="仿宋" w:eastAsia="仿宋" w:cs="仿宋"/>
          <w:color w:val="auto"/>
          <w:kern w:val="0"/>
          <w:sz w:val="24"/>
          <w:szCs w:val="24"/>
          <w:highlight w:val="none"/>
        </w:rPr>
        <w:t>物业专项维修资金管理工作，切实保障缴存人合法权益，根据《重庆市物业专项维修资金管理办法》（市政府令第</w:t>
      </w:r>
      <w:r>
        <w:rPr>
          <w:rFonts w:hint="eastAsia" w:ascii="仿宋" w:hAnsi="仿宋" w:eastAsia="仿宋" w:cs="仿宋"/>
          <w:color w:val="auto"/>
          <w:kern w:val="0"/>
          <w:sz w:val="24"/>
          <w:szCs w:val="24"/>
          <w:highlight w:val="none"/>
          <w:lang w:val="en-US" w:eastAsia="zh-CN"/>
        </w:rPr>
        <w:t>347</w:t>
      </w:r>
      <w:r>
        <w:rPr>
          <w:rFonts w:hint="eastAsia" w:ascii="仿宋" w:hAnsi="仿宋" w:eastAsia="仿宋" w:cs="仿宋"/>
          <w:color w:val="auto"/>
          <w:kern w:val="0"/>
          <w:sz w:val="24"/>
          <w:szCs w:val="24"/>
          <w:highlight w:val="none"/>
        </w:rPr>
        <w:t>号）规定及重庆市住房和城乡建设委员会统一部署，结合目前我</w:t>
      </w:r>
      <w:r>
        <w:rPr>
          <w:rFonts w:hint="eastAsia" w:ascii="仿宋" w:hAnsi="仿宋" w:eastAsia="仿宋" w:cs="仿宋"/>
          <w:color w:val="auto"/>
          <w:kern w:val="0"/>
          <w:sz w:val="24"/>
          <w:szCs w:val="24"/>
          <w:highlight w:val="none"/>
          <w:lang w:eastAsia="zh-CN"/>
        </w:rPr>
        <w:t>区</w:t>
      </w:r>
      <w:r>
        <w:rPr>
          <w:rFonts w:hint="eastAsia" w:ascii="仿宋" w:hAnsi="仿宋" w:eastAsia="仿宋" w:cs="仿宋"/>
          <w:color w:val="auto"/>
          <w:kern w:val="0"/>
          <w:sz w:val="24"/>
          <w:szCs w:val="24"/>
          <w:highlight w:val="none"/>
        </w:rPr>
        <w:t>金融机构数量以及现有物业专项维修资金存款情况，决定采取公开招标方式确定物业专项维修资金专户管理银行</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家（以下称</w:t>
      </w:r>
      <w:r>
        <w:rPr>
          <w:rFonts w:hint="eastAsia" w:ascii="仿宋" w:hAnsi="仿宋" w:eastAsia="仿宋" w:cs="仿宋"/>
          <w:color w:val="auto"/>
          <w:kern w:val="0"/>
          <w:sz w:val="24"/>
          <w:szCs w:val="24"/>
          <w:highlight w:val="none"/>
          <w:lang w:eastAsia="zh-CN"/>
        </w:rPr>
        <w:t>中标人</w:t>
      </w:r>
      <w:r>
        <w:rPr>
          <w:rFonts w:hint="eastAsia" w:ascii="仿宋" w:hAnsi="仿宋" w:eastAsia="仿宋" w:cs="仿宋"/>
          <w:color w:val="auto"/>
          <w:kern w:val="0"/>
          <w:sz w:val="24"/>
          <w:szCs w:val="24"/>
          <w:highlight w:val="none"/>
        </w:rPr>
        <w:t>），存入物业专项维修资金。</w:t>
      </w:r>
    </w:p>
    <w:p w14:paraId="6F74F968">
      <w:pPr>
        <w:pStyle w:val="3"/>
        <w:pageBreakBefore w:val="0"/>
        <w:widowControl w:val="0"/>
        <w:kinsoku/>
        <w:wordWrap/>
        <w:overflowPunct/>
        <w:topLinePunct w:val="0"/>
        <w:autoSpaceDE/>
        <w:autoSpaceDN/>
        <w:bidi w:val="0"/>
        <w:snapToGrid/>
        <w:spacing w:line="360" w:lineRule="auto"/>
        <w:ind w:firstLine="482" w:firstLineChars="200"/>
        <w:jc w:val="left"/>
        <w:textAlignment w:val="auto"/>
        <w:rPr>
          <w:rFonts w:hint="eastAsia" w:ascii="仿宋" w:hAnsi="仿宋" w:eastAsia="仿宋" w:cs="仿宋"/>
          <w:b/>
          <w:color w:val="auto"/>
          <w:sz w:val="24"/>
          <w:szCs w:val="24"/>
          <w:highlight w:val="none"/>
          <w:lang w:eastAsia="zh-CN"/>
        </w:rPr>
      </w:pPr>
      <w:bookmarkStart w:id="39" w:name="_Toc4190"/>
      <w:r>
        <w:rPr>
          <w:rFonts w:hint="eastAsia" w:ascii="仿宋" w:hAnsi="仿宋" w:eastAsia="仿宋" w:cs="仿宋"/>
          <w:b/>
          <w:color w:val="auto"/>
          <w:sz w:val="24"/>
          <w:szCs w:val="24"/>
          <w:highlight w:val="none"/>
          <w:lang w:eastAsia="zh-CN"/>
        </w:rPr>
        <w:t>二、服务内容及要求</w:t>
      </w:r>
      <w:bookmarkEnd w:id="39"/>
    </w:p>
    <w:p w14:paraId="34635BC1">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（一）服务内容</w:t>
      </w:r>
    </w:p>
    <w:p w14:paraId="5D61962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大渡口区</w:t>
      </w:r>
      <w:r>
        <w:rPr>
          <w:rFonts w:hint="eastAsia" w:ascii="仿宋" w:hAnsi="仿宋" w:eastAsia="仿宋" w:cs="仿宋"/>
          <w:color w:val="auto"/>
          <w:kern w:val="0"/>
          <w:sz w:val="24"/>
          <w:szCs w:val="24"/>
          <w:highlight w:val="none"/>
          <w:lang w:val="en-US" w:eastAsia="zh-CN"/>
        </w:rPr>
        <w:t>物业专项维修资金专户开设；在约定服务期内为大渡口区物业专项维修资金实施专户管理。</w:t>
      </w:r>
    </w:p>
    <w:p w14:paraId="6982A53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根据《重庆市物业专项维修资金管理办法》347号文件服务要求，</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kern w:val="0"/>
          <w:sz w:val="24"/>
          <w:szCs w:val="24"/>
          <w:highlight w:val="none"/>
        </w:rPr>
        <w:t>需协助</w:t>
      </w:r>
      <w:r>
        <w:rPr>
          <w:rFonts w:hint="eastAsia" w:ascii="仿宋" w:hAnsi="仿宋" w:eastAsia="仿宋" w:cs="仿宋"/>
          <w:color w:val="auto"/>
          <w:kern w:val="0"/>
          <w:sz w:val="24"/>
          <w:szCs w:val="24"/>
          <w:highlight w:val="none"/>
          <w:lang w:val="en-US" w:eastAsia="zh-CN"/>
        </w:rPr>
        <w:t>招标人</w:t>
      </w:r>
      <w:r>
        <w:rPr>
          <w:rFonts w:hint="eastAsia" w:ascii="仿宋" w:hAnsi="仿宋" w:eastAsia="仿宋" w:cs="仿宋"/>
          <w:color w:val="auto"/>
          <w:kern w:val="0"/>
          <w:sz w:val="24"/>
          <w:szCs w:val="24"/>
          <w:highlight w:val="none"/>
        </w:rPr>
        <w:t>办理物业专项维修资金账户设立、交存、使用、结息、划转、结算、对账、查询以及聘请第三方监督等服务事项。</w:t>
      </w:r>
    </w:p>
    <w:p w14:paraId="3F55305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2、中标人</w:t>
      </w:r>
      <w:r>
        <w:rPr>
          <w:rFonts w:hint="eastAsia" w:ascii="仿宋" w:hAnsi="仿宋" w:eastAsia="仿宋" w:cs="仿宋"/>
          <w:color w:val="auto"/>
          <w:kern w:val="0"/>
          <w:sz w:val="24"/>
          <w:szCs w:val="24"/>
          <w:highlight w:val="none"/>
        </w:rPr>
        <w:t>的服务期限为</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年；若资金转入之日至</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kern w:val="0"/>
          <w:sz w:val="24"/>
          <w:szCs w:val="24"/>
          <w:highlight w:val="none"/>
        </w:rPr>
        <w:t>服务期限届满之日不足</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年的，存款期限可至</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年期满。</w:t>
      </w:r>
    </w:p>
    <w:p w14:paraId="79CE04A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3、中标人</w:t>
      </w:r>
      <w:r>
        <w:rPr>
          <w:rFonts w:hint="eastAsia" w:ascii="仿宋" w:hAnsi="仿宋" w:eastAsia="仿宋" w:cs="仿宋"/>
          <w:color w:val="auto"/>
          <w:kern w:val="0"/>
          <w:sz w:val="24"/>
          <w:szCs w:val="24"/>
          <w:highlight w:val="none"/>
        </w:rPr>
        <w:t>在服务期限内，要服从、配合存款划转、软件升级等相关事宜；对不服从、配合相关事宜，以及不按规定提供服务并承担费用的情形，物业专项维修资金管理</w:t>
      </w:r>
      <w:r>
        <w:rPr>
          <w:rFonts w:hint="eastAsia" w:ascii="仿宋" w:hAnsi="仿宋" w:eastAsia="仿宋" w:cs="仿宋"/>
          <w:color w:val="auto"/>
          <w:kern w:val="0"/>
          <w:sz w:val="24"/>
          <w:szCs w:val="24"/>
          <w:highlight w:val="none"/>
          <w:lang w:val="en-US" w:eastAsia="zh-CN"/>
        </w:rPr>
        <w:t>机构</w:t>
      </w:r>
      <w:r>
        <w:rPr>
          <w:rFonts w:hint="eastAsia" w:ascii="仿宋" w:hAnsi="仿宋" w:eastAsia="仿宋" w:cs="仿宋"/>
          <w:color w:val="auto"/>
          <w:kern w:val="0"/>
          <w:sz w:val="24"/>
          <w:szCs w:val="24"/>
          <w:highlight w:val="none"/>
        </w:rPr>
        <w:t>有权调整现有物业专项维修资金的存款管理额度。</w:t>
      </w:r>
    </w:p>
    <w:p w14:paraId="5EE914E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4、设立物业专项维修资金专户进行资金管理，确保资金安全。</w:t>
      </w:r>
    </w:p>
    <w:p w14:paraId="7BFE882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协助物业专项维修资金管理</w:t>
      </w:r>
      <w:r>
        <w:rPr>
          <w:rFonts w:hint="eastAsia" w:ascii="仿宋" w:hAnsi="仿宋" w:eastAsia="仿宋" w:cs="仿宋"/>
          <w:color w:val="auto"/>
          <w:kern w:val="0"/>
          <w:sz w:val="24"/>
          <w:szCs w:val="24"/>
          <w:highlight w:val="none"/>
          <w:lang w:val="en-US" w:eastAsia="zh-CN"/>
        </w:rPr>
        <w:t>机构</w:t>
      </w:r>
      <w:r>
        <w:rPr>
          <w:rFonts w:hint="eastAsia" w:ascii="仿宋" w:hAnsi="仿宋" w:eastAsia="仿宋" w:cs="仿宋"/>
          <w:color w:val="auto"/>
          <w:kern w:val="0"/>
          <w:sz w:val="24"/>
          <w:szCs w:val="24"/>
          <w:highlight w:val="none"/>
        </w:rPr>
        <w:t>建立物业专项维修资金管理系统、实时监控平台以及实时对账系统，对物业专项维修资金的交存、使用、增值等进行统一管理，接受业主和相关部门的监督和查询。</w:t>
      </w:r>
    </w:p>
    <w:p w14:paraId="4EA45F9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服务期内，按照合同约定执行，服务期满或协议解除，</w:t>
      </w:r>
      <w:r>
        <w:rPr>
          <w:rFonts w:hint="eastAsia" w:ascii="仿宋" w:hAnsi="仿宋" w:eastAsia="仿宋" w:cs="仿宋"/>
          <w:color w:val="auto"/>
          <w:kern w:val="0"/>
          <w:sz w:val="24"/>
          <w:szCs w:val="24"/>
          <w:highlight w:val="none"/>
          <w:lang w:val="en-US" w:eastAsia="zh-CN"/>
        </w:rPr>
        <w:t>中标人</w:t>
      </w:r>
      <w:r>
        <w:rPr>
          <w:rFonts w:hint="eastAsia" w:ascii="仿宋" w:hAnsi="仿宋" w:eastAsia="仿宋" w:cs="仿宋"/>
          <w:color w:val="auto"/>
          <w:kern w:val="0"/>
          <w:sz w:val="24"/>
          <w:szCs w:val="24"/>
          <w:highlight w:val="none"/>
        </w:rPr>
        <w:t>必须承担服务期满或协议解除至资金转出之日前该时段的所有费用并维持服务。</w:t>
      </w:r>
    </w:p>
    <w:p w14:paraId="441AAB62">
      <w:pPr>
        <w:pStyle w:val="27"/>
        <w:ind w:left="0" w:leftChars="0" w:firstLine="482" w:firstLineChars="200"/>
        <w:rPr>
          <w:rFonts w:hint="eastAsia" w:ascii="仿宋" w:hAnsi="仿宋" w:eastAsia="仿宋" w:cs="仿宋"/>
          <w:b/>
          <w:bCs/>
          <w:color w:val="auto"/>
          <w:highlight w:val="none"/>
          <w:lang w:eastAsia="zh-CN"/>
        </w:rPr>
      </w:pPr>
      <w:r>
        <w:rPr>
          <w:rFonts w:hint="eastAsia" w:ascii="仿宋" w:hAnsi="仿宋" w:eastAsia="仿宋" w:cs="仿宋"/>
          <w:b/>
          <w:bCs/>
          <w:color w:val="auto"/>
          <w:kern w:val="0"/>
          <w:sz w:val="24"/>
          <w:szCs w:val="24"/>
          <w:highlight w:val="none"/>
          <w:lang w:val="en-US" w:eastAsia="zh-CN"/>
        </w:rPr>
        <w:t>（二）服务要求</w:t>
      </w:r>
    </w:p>
    <w:p w14:paraId="78A67FC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协助招标人办理物业专项维修资金账户设立、交存、使用、结息、划转、结算、对账、查询、系统维护升级，专户资金跨行存储包括日常资金结算服务、代收代付、转账汇款、账户对帐服务、年检服务、安全保障等在内的一切配套基本服务</w:t>
      </w:r>
      <w:r>
        <w:rPr>
          <w:rFonts w:hint="eastAsia" w:ascii="仿宋" w:hAnsi="仿宋" w:eastAsia="仿宋" w:cs="仿宋"/>
          <w:color w:val="auto"/>
          <w:kern w:val="0"/>
          <w:sz w:val="24"/>
          <w:szCs w:val="24"/>
          <w:highlight w:val="none"/>
          <w:lang w:eastAsia="zh-CN"/>
        </w:rPr>
        <w:t>；</w:t>
      </w:r>
    </w:p>
    <w:p w14:paraId="4FD744B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银行专门为</w:t>
      </w:r>
      <w:r>
        <w:rPr>
          <w:rFonts w:hint="eastAsia" w:ascii="仿宋" w:hAnsi="仿宋" w:eastAsia="仿宋" w:cs="仿宋"/>
          <w:color w:val="auto"/>
          <w:kern w:val="0"/>
          <w:sz w:val="24"/>
          <w:szCs w:val="24"/>
          <w:highlight w:val="none"/>
          <w:lang w:val="en-US" w:eastAsia="zh-CN"/>
        </w:rPr>
        <w:t>物业专项维修资金设立专户</w:t>
      </w:r>
      <w:r>
        <w:rPr>
          <w:rFonts w:hint="eastAsia" w:ascii="仿宋" w:hAnsi="仿宋" w:eastAsia="仿宋" w:cs="仿宋"/>
          <w:color w:val="auto"/>
          <w:kern w:val="0"/>
          <w:sz w:val="24"/>
          <w:szCs w:val="24"/>
          <w:highlight w:val="none"/>
        </w:rPr>
        <w:t>服务，且相关费用由银行自行负责；提供至少一名业务人员，</w:t>
      </w:r>
      <w:r>
        <w:rPr>
          <w:rFonts w:hint="eastAsia" w:ascii="仿宋" w:hAnsi="仿宋" w:eastAsia="仿宋" w:cs="仿宋"/>
          <w:color w:val="auto"/>
          <w:kern w:val="0"/>
          <w:sz w:val="24"/>
          <w:szCs w:val="24"/>
          <w:highlight w:val="none"/>
          <w:lang w:val="en-US" w:eastAsia="zh-CN" w:bidi="ar-SA"/>
        </w:rPr>
        <w:t>专户管理银行需提供专人对口服务，及时与物业专项维修资金管理机构对账，</w:t>
      </w:r>
      <w:r>
        <w:rPr>
          <w:rFonts w:hint="eastAsia" w:ascii="仿宋" w:hAnsi="仿宋" w:eastAsia="仿宋" w:cs="仿宋"/>
          <w:color w:val="auto"/>
          <w:kern w:val="0"/>
          <w:sz w:val="24"/>
          <w:szCs w:val="24"/>
          <w:highlight w:val="none"/>
        </w:rPr>
        <w:t>中标人提供业务人员的服务质量未达要求，招标人有权要求更换</w:t>
      </w:r>
      <w:r>
        <w:rPr>
          <w:rFonts w:hint="eastAsia" w:ascii="仿宋" w:hAnsi="仿宋" w:eastAsia="仿宋" w:cs="仿宋"/>
          <w:color w:val="auto"/>
          <w:kern w:val="0"/>
          <w:sz w:val="24"/>
          <w:szCs w:val="24"/>
          <w:highlight w:val="none"/>
          <w:lang w:eastAsia="zh-CN"/>
        </w:rPr>
        <w:t>；</w:t>
      </w:r>
    </w:p>
    <w:p w14:paraId="38C7804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在大渡口内有多个网点的，所有对公网点都必须接受对公对私现金缴款和支票转账。在大渡口内仅有一个网点的，该网点必须接受对公对私现金缴款和支票转账。</w:t>
      </w:r>
    </w:p>
    <w:p w14:paraId="6F18AED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次日17点前传送前日的收支票据和电子数据</w:t>
      </w:r>
      <w:r>
        <w:rPr>
          <w:rFonts w:hint="eastAsia" w:ascii="仿宋" w:hAnsi="仿宋" w:eastAsia="仿宋" w:cs="仿宋"/>
          <w:color w:val="auto"/>
          <w:kern w:val="0"/>
          <w:sz w:val="24"/>
          <w:szCs w:val="24"/>
          <w:highlight w:val="none"/>
          <w:lang w:eastAsia="zh-CN"/>
        </w:rPr>
        <w:t>；</w:t>
      </w:r>
    </w:p>
    <w:p w14:paraId="178928C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5.提供 VIP 专柜服务，招标人要求银行提供服务时，中标人须在 30 分钟内响应回复，1小时内到达招标人指定地点开展工作；</w:t>
      </w:r>
    </w:p>
    <w:p w14:paraId="02611F3A">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各中标人必须</w:t>
      </w:r>
      <w:r>
        <w:rPr>
          <w:rFonts w:hint="eastAsia" w:ascii="仿宋" w:hAnsi="仿宋" w:eastAsia="仿宋" w:cs="仿宋"/>
          <w:color w:val="auto"/>
          <w:kern w:val="0"/>
          <w:sz w:val="24"/>
          <w:szCs w:val="24"/>
          <w:highlight w:val="none"/>
          <w:lang w:val="en-US" w:eastAsia="zh-CN"/>
        </w:rPr>
        <w:t>自行</w:t>
      </w:r>
      <w:r>
        <w:rPr>
          <w:rFonts w:hint="eastAsia" w:ascii="仿宋" w:hAnsi="仿宋" w:eastAsia="仿宋" w:cs="仿宋"/>
          <w:color w:val="auto"/>
          <w:kern w:val="0"/>
          <w:sz w:val="24"/>
          <w:szCs w:val="24"/>
          <w:highlight w:val="none"/>
        </w:rPr>
        <w:t>接入物业专项维修资金管理系统</w:t>
      </w:r>
      <w:r>
        <w:rPr>
          <w:rFonts w:hint="eastAsia" w:ascii="仿宋" w:hAnsi="仿宋" w:eastAsia="仿宋" w:cs="仿宋"/>
          <w:color w:val="auto"/>
          <w:kern w:val="0"/>
          <w:sz w:val="24"/>
          <w:szCs w:val="24"/>
          <w:highlight w:val="none"/>
          <w:lang w:val="en-US" w:eastAsia="zh-CN"/>
        </w:rPr>
        <w:t>并承担相关</w:t>
      </w:r>
      <w:r>
        <w:rPr>
          <w:rFonts w:hint="eastAsia" w:ascii="仿宋" w:hAnsi="仿宋" w:eastAsia="仿宋" w:cs="仿宋"/>
          <w:color w:val="auto"/>
          <w:kern w:val="0"/>
          <w:sz w:val="24"/>
          <w:szCs w:val="24"/>
          <w:highlight w:val="none"/>
        </w:rPr>
        <w:t>费用</w:t>
      </w:r>
      <w:r>
        <w:rPr>
          <w:rFonts w:hint="eastAsia" w:ascii="仿宋" w:hAnsi="仿宋" w:eastAsia="仿宋" w:cs="仿宋"/>
          <w:color w:val="auto"/>
          <w:kern w:val="0"/>
          <w:sz w:val="24"/>
          <w:szCs w:val="24"/>
          <w:highlight w:val="none"/>
          <w:lang w:eastAsia="zh-CN"/>
        </w:rPr>
        <w:t>；</w:t>
      </w:r>
    </w:p>
    <w:p w14:paraId="024B37DE">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color w:val="auto"/>
          <w:kern w:val="0"/>
          <w:sz w:val="24"/>
          <w:szCs w:val="24"/>
          <w:highlight w:val="none"/>
          <w:lang w:val="en-US" w:eastAsia="zh-CN"/>
        </w:rPr>
        <w:t>.中标人应为物业专项维修资金项目提供票据服务、实时对账查询服务、到期转存服务、账户费用减免等。明确本项目的项目负责人、对接专员及项目团队人员， 并提供项目负责人、对接专员及项目团队人员的姓名和联系方式。项目负责人信息、 技术服务部门信息必须明确详尽（包括联系人、联系电话、传真、地址和电子邮件信息），</w:t>
      </w:r>
      <w:r>
        <w:rPr>
          <w:rFonts w:hint="eastAsia" w:ascii="仿宋" w:hAnsi="仿宋" w:eastAsia="仿宋" w:cs="仿宋"/>
          <w:b/>
          <w:bCs/>
          <w:color w:val="auto"/>
          <w:kern w:val="0"/>
          <w:sz w:val="24"/>
          <w:szCs w:val="24"/>
          <w:highlight w:val="none"/>
          <w:lang w:val="en-US" w:eastAsia="zh-CN"/>
        </w:rPr>
        <w:t>投标人在投标文件中自行承诺，格式自拟</w:t>
      </w:r>
      <w:r>
        <w:rPr>
          <w:rFonts w:hint="eastAsia" w:ascii="仿宋" w:hAnsi="仿宋" w:eastAsia="仿宋" w:cs="仿宋"/>
          <w:color w:val="auto"/>
          <w:kern w:val="0"/>
          <w:sz w:val="24"/>
          <w:szCs w:val="24"/>
          <w:highlight w:val="none"/>
          <w:lang w:val="en-US" w:eastAsia="zh-CN"/>
        </w:rPr>
        <w:t>；</w:t>
      </w:r>
    </w:p>
    <w:p w14:paraId="30D715C4">
      <w:pPr>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8.中标人专户管理服务期限为</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lang w:val="en-US" w:eastAsia="zh-CN"/>
        </w:rPr>
        <w:t>年，如资金转入之日至专户管理服务期限届满之日不足1年的，存款期限可至1年期满；如遇招标文件规定和《物业专项维修资金专户管理银行服务协议》约定的提前支取情形，提前支取存款利率按国家相关规定执行；</w:t>
      </w:r>
    </w:p>
    <w:p w14:paraId="20D4377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9.出现下列情形的，招标人有权提前支取已存入中标人专户的物业专项维修资金</w:t>
      </w:r>
    </w:p>
    <w:p w14:paraId="2CECDAE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（1）中标人未按照本招标文件规定、投标文件承诺或《物业专项维修资金专户管理银行服务协议》约定履行义务，对招标人提出的工作改进意见未落实的或未按主管部门的要求开展工作的；</w:t>
      </w:r>
    </w:p>
    <w:p w14:paraId="7D01710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（2）中标人签订《物业专项维修资金专户管理银行服务协议》后，拒不执行合同关于存款利率相关约定的，视为该银行违约。招标人有权从该银行中转出已存入的资金，按相关规定追究该银行的违约责任。</w:t>
      </w:r>
    </w:p>
    <w:p w14:paraId="08B98AC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10.按合同约定的方式确定存款利率，对资金进行计息，及时将利息打入存款人账户。不能以任何理由拒绝办理或部分办理；</w:t>
      </w:r>
    </w:p>
    <w:p w14:paraId="0408DC3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11.依法为招标人的信息保密；</w:t>
      </w:r>
    </w:p>
    <w:p w14:paraId="1629240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12.遇到需要提前支取的情况，应该在核对相应的材料后给予绿色通道快速处理， 不得拖延；</w:t>
      </w:r>
    </w:p>
    <w:bookmarkEnd w:id="35"/>
    <w:p w14:paraId="56E5E811">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SA"/>
        </w:rPr>
      </w:pPr>
      <w:bookmarkStart w:id="40" w:name="_Toc31180"/>
      <w:bookmarkStart w:id="41" w:name="_Toc20240"/>
      <w:bookmarkStart w:id="42" w:name="_Toc19995"/>
      <w:bookmarkStart w:id="43" w:name="_Toc28515"/>
      <w:bookmarkStart w:id="44" w:name="_Toc8738"/>
      <w:bookmarkStart w:id="45" w:name="_Toc25888"/>
      <w:r>
        <w:rPr>
          <w:rFonts w:hint="eastAsia" w:ascii="仿宋" w:hAnsi="仿宋" w:eastAsia="仿宋" w:cs="仿宋"/>
          <w:color w:val="auto"/>
          <w:kern w:val="0"/>
          <w:sz w:val="24"/>
          <w:szCs w:val="24"/>
          <w:highlight w:val="none"/>
          <w:lang w:val="en-US" w:eastAsia="zh-CN" w:bidi="ar-SA"/>
        </w:rPr>
        <w:t>13.投标人需提供廉政承诺书（格式及内容详见第七篇投标文件格式）。</w:t>
      </w:r>
      <w:bookmarkEnd w:id="40"/>
      <w:bookmarkEnd w:id="41"/>
      <w:bookmarkEnd w:id="42"/>
      <w:bookmarkEnd w:id="43"/>
      <w:bookmarkEnd w:id="44"/>
      <w:bookmarkEnd w:id="45"/>
    </w:p>
    <w:p w14:paraId="13B8F841">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p>
    <w:p w14:paraId="1B37AECC">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p>
    <w:p w14:paraId="0FAF9DA1">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p>
    <w:p w14:paraId="14004C9E">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p>
    <w:p w14:paraId="7C7BDE90">
      <w:pPr>
        <w:rPr>
          <w:rFonts w:hint="eastAsia" w:ascii="仿宋" w:hAnsi="仿宋" w:eastAsia="仿宋" w:cs="仿宋"/>
          <w:b/>
          <w:color w:val="auto"/>
          <w:sz w:val="36"/>
          <w:szCs w:val="36"/>
          <w:highlight w:val="none"/>
        </w:rPr>
      </w:pPr>
    </w:p>
    <w:p w14:paraId="63423D72">
      <w:pPr>
        <w:rPr>
          <w:rFonts w:hint="eastAsia"/>
          <w:color w:val="auto"/>
          <w:highlight w:val="none"/>
        </w:rPr>
      </w:pPr>
      <w:r>
        <w:rPr>
          <w:rFonts w:hint="eastAsia"/>
          <w:color w:val="auto"/>
          <w:highlight w:val="none"/>
        </w:rPr>
        <w:br w:type="page"/>
      </w:r>
    </w:p>
    <w:p w14:paraId="7DF96F70">
      <w:pPr>
        <w:rPr>
          <w:rFonts w:hint="eastAsia"/>
          <w:color w:val="auto"/>
          <w:highlight w:val="none"/>
        </w:rPr>
      </w:pPr>
    </w:p>
    <w:p w14:paraId="473DA8C9">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jc w:val="center"/>
        <w:textAlignment w:val="auto"/>
        <w:rPr>
          <w:rFonts w:hint="eastAsia" w:ascii="仿宋" w:hAnsi="仿宋" w:eastAsia="仿宋" w:cs="仿宋"/>
          <w:b/>
          <w:color w:val="auto"/>
          <w:sz w:val="36"/>
          <w:szCs w:val="36"/>
          <w:highlight w:val="none"/>
        </w:rPr>
      </w:pPr>
      <w:bookmarkStart w:id="46" w:name="_Toc13917"/>
      <w:r>
        <w:rPr>
          <w:rFonts w:hint="eastAsia" w:ascii="仿宋" w:hAnsi="仿宋" w:eastAsia="仿宋" w:cs="仿宋"/>
          <w:b/>
          <w:color w:val="auto"/>
          <w:sz w:val="36"/>
          <w:szCs w:val="36"/>
          <w:highlight w:val="none"/>
        </w:rPr>
        <w:t>第三篇  项目商务需求</w:t>
      </w:r>
      <w:bookmarkEnd w:id="36"/>
      <w:bookmarkEnd w:id="37"/>
      <w:bookmarkEnd w:id="46"/>
    </w:p>
    <w:p w14:paraId="22CC3B42">
      <w:pPr>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b/>
          <w:bCs/>
          <w:color w:val="auto"/>
          <w:kern w:val="0"/>
          <w:sz w:val="24"/>
          <w:szCs w:val="24"/>
          <w:highlight w:val="none"/>
        </w:rPr>
      </w:pPr>
      <w:bookmarkStart w:id="47" w:name="_Toc267320049"/>
      <w:r>
        <w:rPr>
          <w:rFonts w:hint="eastAsia" w:ascii="仿宋" w:hAnsi="仿宋" w:eastAsia="仿宋" w:cs="仿宋"/>
          <w:b/>
          <w:bCs/>
          <w:color w:val="auto"/>
          <w:kern w:val="0"/>
          <w:sz w:val="24"/>
          <w:szCs w:val="24"/>
          <w:highlight w:val="none"/>
        </w:rPr>
        <w:t>说明：</w:t>
      </w:r>
      <w:r>
        <w:rPr>
          <w:rFonts w:hint="eastAsia" w:ascii="仿宋" w:hAnsi="仿宋" w:eastAsia="仿宋" w:cs="仿宋"/>
          <w:b/>
          <w:bCs/>
          <w:color w:val="auto"/>
          <w:kern w:val="0"/>
          <w:sz w:val="24"/>
          <w:szCs w:val="24"/>
          <w:highlight w:val="none"/>
          <w:lang w:val="en-US" w:eastAsia="zh-CN"/>
        </w:rPr>
        <w:t>以下所有</w:t>
      </w:r>
      <w:r>
        <w:rPr>
          <w:rFonts w:hint="eastAsia" w:ascii="仿宋" w:hAnsi="仿宋" w:eastAsia="仿宋" w:cs="仿宋"/>
          <w:b/>
          <w:bCs/>
          <w:color w:val="auto"/>
          <w:kern w:val="0"/>
          <w:sz w:val="24"/>
          <w:szCs w:val="24"/>
          <w:highlight w:val="none"/>
        </w:rPr>
        <w:t>商务需求为符合性审查中的实质性要求，投标文件若不满足按无效投标处理。</w:t>
      </w:r>
    </w:p>
    <w:bookmarkEnd w:id="47"/>
    <w:p w14:paraId="00A4B0C9">
      <w:pPr>
        <w:pStyle w:val="3"/>
        <w:pageBreakBefore w:val="0"/>
        <w:widowControl w:val="0"/>
        <w:kinsoku/>
        <w:wordWrap/>
        <w:overflowPunct/>
        <w:topLinePunct w:val="0"/>
        <w:autoSpaceDE/>
        <w:autoSpaceDN/>
        <w:bidi w:val="0"/>
        <w:snapToGrid/>
        <w:spacing w:line="360" w:lineRule="auto"/>
        <w:ind w:firstLine="482" w:firstLineChars="200"/>
        <w:jc w:val="left"/>
        <w:textAlignment w:val="auto"/>
        <w:rPr>
          <w:rFonts w:hint="eastAsia" w:ascii="仿宋" w:hAnsi="仿宋" w:eastAsia="仿宋" w:cs="仿宋"/>
          <w:b/>
          <w:color w:val="auto"/>
          <w:sz w:val="24"/>
          <w:szCs w:val="24"/>
          <w:highlight w:val="none"/>
        </w:rPr>
      </w:pPr>
      <w:bookmarkStart w:id="48" w:name="_Toc76387238"/>
      <w:bookmarkStart w:id="49" w:name="_Toc27827"/>
      <w:bookmarkStart w:id="50" w:name="_Toc27013"/>
      <w:bookmarkStart w:id="51" w:name="_Toc107324628"/>
      <w:bookmarkStart w:id="52" w:name="_Toc76387242"/>
      <w:bookmarkStart w:id="53" w:name="_Toc32607"/>
      <w:r>
        <w:rPr>
          <w:rFonts w:hint="eastAsia" w:ascii="仿宋" w:hAnsi="仿宋" w:eastAsia="仿宋" w:cs="仿宋"/>
          <w:b/>
          <w:color w:val="auto"/>
          <w:sz w:val="24"/>
          <w:szCs w:val="24"/>
          <w:highlight w:val="none"/>
        </w:rPr>
        <w:t>一、</w:t>
      </w:r>
      <w:bookmarkEnd w:id="48"/>
      <w:bookmarkEnd w:id="49"/>
      <w:r>
        <w:rPr>
          <w:rFonts w:hint="eastAsia" w:ascii="仿宋" w:hAnsi="仿宋" w:eastAsia="仿宋" w:cs="仿宋"/>
          <w:b/>
          <w:color w:val="auto"/>
          <w:sz w:val="24"/>
          <w:szCs w:val="24"/>
          <w:highlight w:val="none"/>
        </w:rPr>
        <w:t>服务期、服务地点及</w:t>
      </w:r>
      <w:r>
        <w:rPr>
          <w:rFonts w:hint="eastAsia" w:ascii="仿宋" w:hAnsi="仿宋" w:eastAsia="仿宋" w:cs="仿宋"/>
          <w:b/>
          <w:color w:val="auto"/>
          <w:sz w:val="24"/>
          <w:szCs w:val="24"/>
          <w:highlight w:val="none"/>
          <w:lang w:eastAsia="zh-CN"/>
        </w:rPr>
        <w:t>验收</w:t>
      </w:r>
      <w:r>
        <w:rPr>
          <w:rFonts w:hint="eastAsia" w:ascii="仿宋" w:hAnsi="仿宋" w:eastAsia="仿宋" w:cs="仿宋"/>
          <w:b/>
          <w:color w:val="auto"/>
          <w:sz w:val="24"/>
          <w:szCs w:val="24"/>
          <w:highlight w:val="none"/>
        </w:rPr>
        <w:t>方式</w:t>
      </w:r>
      <w:bookmarkEnd w:id="50"/>
    </w:p>
    <w:p w14:paraId="3F655FE3">
      <w:pPr>
        <w:pageBreakBefore w:val="0"/>
        <w:widowControl w:val="0"/>
        <w:numPr>
          <w:ilvl w:val="0"/>
          <w:numId w:val="2"/>
        </w:numPr>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kern w:val="0"/>
          <w:sz w:val="24"/>
          <w:szCs w:val="24"/>
          <w:highlight w:val="none"/>
          <w:lang w:val="en-US" w:eastAsia="zh-CN"/>
        </w:rPr>
      </w:pPr>
      <w:bookmarkStart w:id="54" w:name="_Toc59551468"/>
      <w:bookmarkStart w:id="55" w:name="_Toc97818540"/>
      <w:r>
        <w:rPr>
          <w:rFonts w:hint="eastAsia" w:ascii="仿宋" w:hAnsi="仿宋" w:eastAsia="仿宋" w:cs="仿宋"/>
          <w:color w:val="auto"/>
          <w:kern w:val="0"/>
          <w:sz w:val="24"/>
          <w:szCs w:val="24"/>
          <w:highlight w:val="none"/>
        </w:rPr>
        <w:t>服务期</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lang w:val="en-US" w:eastAsia="zh-CN"/>
        </w:rPr>
        <w:t>年。</w:t>
      </w:r>
    </w:p>
    <w:p w14:paraId="1516E316">
      <w:pPr>
        <w:snapToGrid w:val="0"/>
        <w:spacing w:line="360" w:lineRule="auto"/>
        <w:ind w:firstLine="480" w:firstLineChars="200"/>
        <w:outlineLvl w:val="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（二）服务地点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招标人指定地点。</w:t>
      </w:r>
    </w:p>
    <w:p w14:paraId="1A26FDF8">
      <w:pPr>
        <w:snapToGrid w:val="0"/>
        <w:spacing w:line="360" w:lineRule="auto"/>
        <w:ind w:firstLine="480" w:firstLineChars="200"/>
        <w:outlineLvl w:val="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（三）</w:t>
      </w:r>
      <w:r>
        <w:rPr>
          <w:rFonts w:hint="eastAsia" w:ascii="仿宋" w:hAnsi="仿宋" w:eastAsia="仿宋" w:cs="仿宋"/>
          <w:color w:val="auto"/>
          <w:kern w:val="0"/>
          <w:sz w:val="24"/>
          <w:szCs w:val="24"/>
          <w:highlight w:val="none"/>
          <w:lang w:eastAsia="zh-CN"/>
        </w:rPr>
        <w:t>验收</w:t>
      </w:r>
      <w:r>
        <w:rPr>
          <w:rFonts w:hint="eastAsia" w:ascii="仿宋" w:hAnsi="仿宋" w:eastAsia="仿宋" w:cs="仿宋"/>
          <w:color w:val="auto"/>
          <w:kern w:val="0"/>
          <w:sz w:val="24"/>
          <w:szCs w:val="24"/>
          <w:highlight w:val="none"/>
        </w:rPr>
        <w:t>方式</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招标人组织验收。</w:t>
      </w:r>
    </w:p>
    <w:bookmarkEnd w:id="54"/>
    <w:bookmarkEnd w:id="55"/>
    <w:p w14:paraId="63FB3831">
      <w:pPr>
        <w:pStyle w:val="3"/>
        <w:pageBreakBefore w:val="0"/>
        <w:widowControl w:val="0"/>
        <w:kinsoku/>
        <w:wordWrap/>
        <w:overflowPunct/>
        <w:topLinePunct w:val="0"/>
        <w:autoSpaceDE/>
        <w:autoSpaceDN/>
        <w:bidi w:val="0"/>
        <w:snapToGrid/>
        <w:spacing w:line="360" w:lineRule="auto"/>
        <w:ind w:firstLine="482" w:firstLineChars="200"/>
        <w:jc w:val="left"/>
        <w:textAlignment w:val="auto"/>
        <w:rPr>
          <w:rFonts w:hint="eastAsia" w:ascii="仿宋" w:hAnsi="仿宋" w:eastAsia="仿宋" w:cs="仿宋"/>
          <w:b/>
          <w:color w:val="auto"/>
          <w:sz w:val="24"/>
          <w:szCs w:val="24"/>
          <w:highlight w:val="none"/>
        </w:rPr>
      </w:pPr>
      <w:bookmarkStart w:id="56" w:name="_Toc23352"/>
      <w:bookmarkStart w:id="57" w:name="_Toc97818541"/>
      <w:bookmarkStart w:id="58" w:name="_Toc59551469"/>
      <w:r>
        <w:rPr>
          <w:rFonts w:hint="eastAsia" w:ascii="仿宋" w:hAnsi="仿宋" w:eastAsia="仿宋" w:cs="仿宋"/>
          <w:b/>
          <w:color w:val="auto"/>
          <w:sz w:val="24"/>
          <w:szCs w:val="24"/>
          <w:highlight w:val="none"/>
        </w:rPr>
        <w:t>二、报价要求</w:t>
      </w:r>
      <w:bookmarkEnd w:id="56"/>
    </w:p>
    <w:p w14:paraId="70644336">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lang w:val="en-US" w:eastAsia="zh-CN"/>
        </w:rPr>
        <w:t>按照投标文件密封当日的</w:t>
      </w:r>
      <w:r>
        <w:rPr>
          <w:rFonts w:hint="eastAsia" w:ascii="仿宋" w:hAnsi="仿宋" w:eastAsia="仿宋" w:cs="仿宋"/>
          <w:color w:val="auto"/>
          <w:kern w:val="0"/>
          <w:sz w:val="24"/>
          <w:szCs w:val="24"/>
          <w:highlight w:val="none"/>
        </w:rPr>
        <w:t>一年期定期存款利率、协定存款利率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以及在挂牌利率</w:t>
      </w:r>
      <w:r>
        <w:rPr>
          <w:rFonts w:hint="eastAsia" w:ascii="仿宋" w:hAnsi="仿宋" w:eastAsia="仿宋" w:cs="仿宋"/>
          <w:color w:val="auto"/>
          <w:kern w:val="0"/>
          <w:sz w:val="24"/>
          <w:szCs w:val="24"/>
          <w:highlight w:val="none"/>
        </w:rPr>
        <w:t>基础上</w:t>
      </w:r>
      <w:r>
        <w:rPr>
          <w:rFonts w:hint="eastAsia" w:ascii="仿宋" w:hAnsi="仿宋" w:eastAsia="仿宋" w:cs="仿宋"/>
          <w:color w:val="auto"/>
          <w:kern w:val="0"/>
          <w:sz w:val="24"/>
          <w:szCs w:val="24"/>
          <w:highlight w:val="none"/>
          <w:lang w:val="en-US" w:eastAsia="zh-CN"/>
        </w:rPr>
        <w:t>分别</w:t>
      </w:r>
      <w:r>
        <w:rPr>
          <w:rFonts w:hint="eastAsia" w:ascii="仿宋" w:hAnsi="仿宋" w:eastAsia="仿宋" w:cs="仿宋"/>
          <w:color w:val="auto"/>
          <w:kern w:val="0"/>
          <w:sz w:val="24"/>
          <w:szCs w:val="24"/>
          <w:highlight w:val="none"/>
        </w:rPr>
        <w:t>上浮的BP</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进行报价</w:t>
      </w:r>
      <w:r>
        <w:rPr>
          <w:rFonts w:hint="eastAsia" w:ascii="仿宋" w:hAnsi="仿宋" w:eastAsia="仿宋" w:cs="仿宋"/>
          <w:color w:val="auto"/>
          <w:kern w:val="0"/>
          <w:sz w:val="24"/>
          <w:szCs w:val="24"/>
          <w:highlight w:val="none"/>
        </w:rPr>
        <w:t>。</w:t>
      </w:r>
    </w:p>
    <w:p w14:paraId="3796609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各投标人的投标报价应当符合国家银行存款利率管理有关规定。若遇银行挂牌利率调整，则以调整后的挂牌利率为基础，但上浮BP不可变；若遇银行间利率自律机制要求调整的，</w:t>
      </w:r>
      <w:r>
        <w:rPr>
          <w:rFonts w:hint="eastAsia" w:ascii="仿宋" w:hAnsi="仿宋" w:eastAsia="仿宋" w:cs="仿宋"/>
          <w:color w:val="auto"/>
          <w:kern w:val="0"/>
          <w:sz w:val="24"/>
          <w:szCs w:val="24"/>
          <w:highlight w:val="none"/>
          <w:lang w:val="en-US" w:eastAsia="zh-CN"/>
        </w:rPr>
        <w:t>需书面告知物业专项维修资金管理机构，利率以招标人和中标人双方协商为准</w:t>
      </w:r>
      <w:r>
        <w:rPr>
          <w:rFonts w:hint="eastAsia" w:ascii="仿宋" w:hAnsi="仿宋" w:eastAsia="仿宋" w:cs="仿宋"/>
          <w:color w:val="auto"/>
          <w:kern w:val="0"/>
          <w:sz w:val="24"/>
          <w:szCs w:val="24"/>
          <w:highlight w:val="none"/>
        </w:rPr>
        <w:t>。</w:t>
      </w:r>
    </w:p>
    <w:p w14:paraId="7CC8AE1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各投标人</w:t>
      </w:r>
      <w:r>
        <w:rPr>
          <w:rFonts w:hint="eastAsia" w:ascii="仿宋" w:hAnsi="仿宋" w:eastAsia="仿宋" w:cs="仿宋"/>
          <w:color w:val="auto"/>
          <w:kern w:val="0"/>
          <w:sz w:val="24"/>
          <w:szCs w:val="24"/>
          <w:highlight w:val="none"/>
          <w:lang w:val="en-US" w:eastAsia="zh-CN"/>
        </w:rPr>
        <w:t>一</w:t>
      </w:r>
      <w:r>
        <w:rPr>
          <w:rFonts w:hint="eastAsia" w:ascii="仿宋" w:hAnsi="仿宋" w:eastAsia="仿宋" w:cs="仿宋"/>
          <w:color w:val="auto"/>
          <w:kern w:val="0"/>
          <w:sz w:val="24"/>
          <w:szCs w:val="24"/>
          <w:highlight w:val="none"/>
        </w:rPr>
        <w:t>年期定期存款利率、协定存款利率按照百分比</w:t>
      </w:r>
      <w:r>
        <w:rPr>
          <w:rFonts w:hint="eastAsia" w:ascii="仿宋" w:hAnsi="仿宋" w:eastAsia="仿宋" w:cs="仿宋"/>
          <w:color w:val="auto"/>
          <w:kern w:val="0"/>
          <w:sz w:val="24"/>
          <w:szCs w:val="24"/>
          <w:highlight w:val="none"/>
          <w:lang w:val="en-US" w:eastAsia="zh-CN"/>
        </w:rPr>
        <w:t>填报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格式为“0.00%”，须在“%”前保留两位小数，否则视为无效报价。</w:t>
      </w:r>
    </w:p>
    <w:p w14:paraId="7852AB48">
      <w:pPr>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注：本次的投标报价仅作为评审依据，不作为签订合同依据，后期招标人和中标人双方在服务合同中约定的上浮BP不能低于投标文件中的BP报价。</w:t>
      </w:r>
    </w:p>
    <w:bookmarkEnd w:id="57"/>
    <w:bookmarkEnd w:id="58"/>
    <w:p w14:paraId="233B9F86">
      <w:pPr>
        <w:pStyle w:val="3"/>
        <w:spacing w:line="360" w:lineRule="auto"/>
        <w:ind w:firstLine="482" w:firstLineChars="200"/>
        <w:rPr>
          <w:rFonts w:hint="eastAsia" w:ascii="仿宋" w:hAnsi="仿宋" w:eastAsia="仿宋" w:cs="仿宋"/>
          <w:b/>
          <w:color w:val="auto"/>
          <w:sz w:val="24"/>
          <w:szCs w:val="24"/>
          <w:highlight w:val="none"/>
        </w:rPr>
      </w:pPr>
      <w:bookmarkStart w:id="59" w:name="_Toc5260"/>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知识产权</w:t>
      </w:r>
      <w:bookmarkEnd w:id="59"/>
    </w:p>
    <w:p w14:paraId="5E7AFE60">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在中华人民共和国境内使用</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提供的服务时免受第三方提出的侵犯其专利权或其它知识产权的起诉。如果第三方提出侵权指控，</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应承担由此而引起的一切法律责任和费用。</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如果被第三方要求承担责任，有权向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追偿由此产生的一切赔偿责任，并要求</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赔偿</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已产生的损失。</w:t>
      </w:r>
    </w:p>
    <w:p w14:paraId="5DF62699">
      <w:pPr>
        <w:pStyle w:val="3"/>
        <w:spacing w:line="360" w:lineRule="auto"/>
        <w:ind w:firstLine="482" w:firstLineChars="200"/>
        <w:rPr>
          <w:rFonts w:hint="eastAsia" w:ascii="仿宋" w:hAnsi="仿宋" w:eastAsia="仿宋" w:cs="仿宋"/>
          <w:b w:val="0"/>
          <w:bCs/>
          <w:color w:val="auto"/>
          <w:sz w:val="24"/>
          <w:szCs w:val="24"/>
          <w:highlight w:val="none"/>
          <w:lang w:eastAsia="zh-CN"/>
        </w:rPr>
      </w:pPr>
      <w:bookmarkStart w:id="60" w:name="_Toc28020"/>
      <w:r>
        <w:rPr>
          <w:rFonts w:hint="eastAsia" w:ascii="仿宋" w:hAnsi="仿宋" w:eastAsia="仿宋" w:cs="仿宋"/>
          <w:b/>
          <w:color w:val="auto"/>
          <w:sz w:val="24"/>
          <w:szCs w:val="24"/>
          <w:highlight w:val="none"/>
          <w:lang w:eastAsia="zh-CN"/>
        </w:rPr>
        <w:t>四、</w:t>
      </w:r>
      <w:r>
        <w:rPr>
          <w:rFonts w:hint="eastAsia" w:ascii="仿宋" w:hAnsi="仿宋" w:eastAsia="仿宋" w:cs="仿宋"/>
          <w:b/>
          <w:bCs w:val="0"/>
          <w:color w:val="auto"/>
          <w:sz w:val="24"/>
          <w:szCs w:val="24"/>
          <w:highlight w:val="none"/>
          <w:lang w:eastAsia="zh-CN"/>
        </w:rPr>
        <w:t>其他商务要求内容</w:t>
      </w:r>
      <w:bookmarkEnd w:id="60"/>
    </w:p>
    <w:p w14:paraId="533E0CB2">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其他未尽事宜由供需双方在采购合同中详细约定。</w:t>
      </w:r>
    </w:p>
    <w:bookmarkEnd w:id="51"/>
    <w:p w14:paraId="62125A2C">
      <w:pPr>
        <w:spacing w:line="360" w:lineRule="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4EE04960">
      <w:pPr>
        <w:pStyle w:val="2"/>
        <w:keepNext/>
        <w:keepLines w:val="0"/>
        <w:pageBreakBefore w:val="0"/>
        <w:widowControl w:val="0"/>
        <w:kinsoku/>
        <w:wordWrap/>
        <w:overflowPunct/>
        <w:topLinePunct w:val="0"/>
        <w:autoSpaceDE/>
        <w:autoSpaceDN/>
        <w:bidi w:val="0"/>
        <w:adjustRightInd/>
        <w:snapToGrid/>
        <w:spacing w:before="157" w:beforeLines="50" w:afterLines="0" w:line="360" w:lineRule="auto"/>
        <w:textAlignment w:val="auto"/>
        <w:rPr>
          <w:rFonts w:hint="eastAsia" w:ascii="仿宋" w:hAnsi="仿宋" w:eastAsia="仿宋" w:cs="仿宋"/>
          <w:b/>
          <w:color w:val="auto"/>
          <w:sz w:val="36"/>
          <w:szCs w:val="36"/>
          <w:highlight w:val="none"/>
        </w:rPr>
      </w:pPr>
      <w:bookmarkStart w:id="61" w:name="_Toc893"/>
      <w:r>
        <w:rPr>
          <w:rFonts w:hint="eastAsia" w:ascii="仿宋" w:hAnsi="仿宋" w:eastAsia="仿宋" w:cs="仿宋"/>
          <w:b/>
          <w:color w:val="auto"/>
          <w:sz w:val="36"/>
          <w:szCs w:val="36"/>
          <w:highlight w:val="none"/>
        </w:rPr>
        <w:t>第四篇  资格审查及评标办法</w:t>
      </w:r>
      <w:bookmarkEnd w:id="52"/>
      <w:bookmarkEnd w:id="53"/>
      <w:bookmarkEnd w:id="61"/>
    </w:p>
    <w:p w14:paraId="59805415">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62" w:name="_Toc21651"/>
      <w:bookmarkStart w:id="63" w:name="_Toc76387243"/>
      <w:bookmarkStart w:id="64" w:name="_Toc4305"/>
      <w:r>
        <w:rPr>
          <w:rFonts w:hint="eastAsia" w:ascii="仿宋" w:hAnsi="仿宋" w:eastAsia="仿宋" w:cs="仿宋"/>
          <w:b/>
          <w:color w:val="auto"/>
          <w:sz w:val="24"/>
          <w:highlight w:val="none"/>
        </w:rPr>
        <w:t>一、</w:t>
      </w:r>
      <w:bookmarkEnd w:id="62"/>
      <w:bookmarkEnd w:id="63"/>
      <w:r>
        <w:rPr>
          <w:rFonts w:hint="eastAsia" w:ascii="仿宋" w:hAnsi="仿宋" w:eastAsia="仿宋" w:cs="仿宋"/>
          <w:b/>
          <w:color w:val="auto"/>
          <w:sz w:val="24"/>
          <w:highlight w:val="none"/>
        </w:rPr>
        <w:t>资格审查及符合性审查</w:t>
      </w:r>
      <w:bookmarkEnd w:id="64"/>
    </w:p>
    <w:p w14:paraId="75561BA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若未通过资格审查及符合性审查的投标文件，不进入评审环节。</w:t>
      </w:r>
    </w:p>
    <w:p w14:paraId="415F3370">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（一）资格审查</w:t>
      </w:r>
    </w:p>
    <w:p w14:paraId="71B2115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依据相关法律法规规定，由</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或</w:t>
      </w:r>
      <w:r>
        <w:rPr>
          <w:rFonts w:hint="eastAsia" w:ascii="仿宋" w:hAnsi="仿宋" w:eastAsia="仿宋" w:cs="仿宋"/>
          <w:color w:val="auto"/>
          <w:kern w:val="0"/>
          <w:sz w:val="24"/>
          <w:szCs w:val="24"/>
          <w:highlight w:val="none"/>
          <w:lang w:eastAsia="zh-CN"/>
        </w:rPr>
        <w:t>招标代理机构</w:t>
      </w:r>
      <w:r>
        <w:rPr>
          <w:rFonts w:hint="eastAsia" w:ascii="仿宋" w:hAnsi="仿宋" w:eastAsia="仿宋" w:cs="仿宋"/>
          <w:color w:val="auto"/>
          <w:kern w:val="0"/>
          <w:sz w:val="24"/>
          <w:szCs w:val="24"/>
          <w:highlight w:val="none"/>
        </w:rPr>
        <w:t>对投标文件中的资格证明文件进行审查。资格审查资料表如下：</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C25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4DEC5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002294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25DC5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检查内容</w:t>
            </w:r>
          </w:p>
        </w:tc>
      </w:tr>
      <w:tr w14:paraId="66C6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67B2A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709" w:type="dxa"/>
            <w:vMerge w:val="restart"/>
            <w:vAlign w:val="center"/>
          </w:tcPr>
          <w:p w14:paraId="16E690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基本资格条件</w:t>
            </w:r>
          </w:p>
        </w:tc>
        <w:tc>
          <w:tcPr>
            <w:tcW w:w="3118" w:type="dxa"/>
            <w:vAlign w:val="center"/>
          </w:tcPr>
          <w:p w14:paraId="1D7FA6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持有</w:t>
            </w:r>
            <w:r>
              <w:rPr>
                <w:rFonts w:hint="eastAsia" w:ascii="仿宋" w:hAnsi="仿宋" w:eastAsia="仿宋" w:cs="仿宋"/>
                <w:color w:val="auto"/>
                <w:szCs w:val="21"/>
                <w:highlight w:val="none"/>
              </w:rPr>
              <w:t>工商行政管理部门颁发的营业执照，如果投标人以分支机构参与投标的须提供总行</w:t>
            </w:r>
            <w:r>
              <w:rPr>
                <w:rFonts w:hint="eastAsia" w:ascii="仿宋" w:hAnsi="仿宋" w:eastAsia="仿宋" w:cs="仿宋"/>
                <w:color w:val="auto"/>
                <w:szCs w:val="21"/>
                <w:highlight w:val="none"/>
                <w:lang w:val="en-US" w:eastAsia="zh-CN"/>
              </w:rPr>
              <w:t>或省级分行</w:t>
            </w:r>
            <w:r>
              <w:rPr>
                <w:rFonts w:hint="eastAsia" w:ascii="仿宋" w:hAnsi="仿宋" w:eastAsia="仿宋" w:cs="仿宋"/>
                <w:color w:val="auto"/>
                <w:szCs w:val="21"/>
                <w:highlight w:val="none"/>
              </w:rPr>
              <w:t>的授权书。</w:t>
            </w:r>
          </w:p>
        </w:tc>
        <w:tc>
          <w:tcPr>
            <w:tcW w:w="4984" w:type="dxa"/>
            <w:vAlign w:val="center"/>
          </w:tcPr>
          <w:p w14:paraId="51FB1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1.投标人营业执照（副本）（提供复印件）。 </w:t>
            </w:r>
          </w:p>
          <w:p w14:paraId="5060D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2.投标人法定代表人身份证明和法定代表人授权代表委托书。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如果投标人是分支机构则提供分支机构负责</w:t>
            </w:r>
            <w:r>
              <w:rPr>
                <w:rFonts w:hint="eastAsia" w:ascii="仿宋" w:hAnsi="仿宋" w:eastAsia="仿宋" w:cs="仿宋"/>
                <w:color w:val="auto"/>
                <w:szCs w:val="21"/>
                <w:highlight w:val="none"/>
              </w:rPr>
              <w:t>人身份证明和</w:t>
            </w:r>
            <w:r>
              <w:rPr>
                <w:rFonts w:hint="eastAsia" w:ascii="仿宋" w:hAnsi="仿宋" w:eastAsia="仿宋" w:cs="仿宋"/>
                <w:color w:val="auto"/>
                <w:szCs w:val="21"/>
                <w:highlight w:val="none"/>
                <w:lang w:val="en-US" w:eastAsia="zh-CN"/>
              </w:rPr>
              <w:t>分支机构负责人</w:t>
            </w:r>
            <w:r>
              <w:rPr>
                <w:rFonts w:hint="eastAsia" w:ascii="仿宋" w:hAnsi="仿宋" w:eastAsia="仿宋" w:cs="仿宋"/>
                <w:color w:val="auto"/>
                <w:szCs w:val="21"/>
                <w:highlight w:val="none"/>
              </w:rPr>
              <w:t>授权代表委托书</w:t>
            </w:r>
            <w:r>
              <w:rPr>
                <w:rFonts w:hint="eastAsia" w:ascii="仿宋" w:hAnsi="仿宋" w:eastAsia="仿宋" w:cs="仿宋"/>
                <w:color w:val="auto"/>
                <w:szCs w:val="21"/>
                <w:highlight w:val="none"/>
                <w:lang w:eastAsia="zh-CN"/>
              </w:rPr>
              <w:t>）</w:t>
            </w:r>
          </w:p>
          <w:p w14:paraId="62DA2BF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本项目允许分支机构参与</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人为分支机构的，需具备总行</w:t>
            </w:r>
            <w:r>
              <w:rPr>
                <w:rFonts w:hint="eastAsia" w:ascii="宋体" w:hAnsi="宋体" w:cs="宋体"/>
                <w:color w:val="auto"/>
                <w:kern w:val="0"/>
                <w:sz w:val="21"/>
                <w:szCs w:val="21"/>
                <w:highlight w:val="none"/>
                <w:lang w:val="en-US" w:eastAsia="zh-CN"/>
              </w:rPr>
              <w:t>或省级分行</w:t>
            </w:r>
            <w:r>
              <w:rPr>
                <w:rFonts w:hint="eastAsia" w:ascii="宋体" w:hAnsi="宋体" w:eastAsia="宋体" w:cs="宋体"/>
                <w:color w:val="auto"/>
                <w:kern w:val="0"/>
                <w:sz w:val="21"/>
                <w:szCs w:val="21"/>
                <w:highlight w:val="none"/>
              </w:rPr>
              <w:t>出具的授权书，同一总行</w:t>
            </w:r>
            <w:r>
              <w:rPr>
                <w:rFonts w:hint="eastAsia" w:ascii="宋体" w:hAnsi="宋体" w:cs="宋体"/>
                <w:color w:val="auto"/>
                <w:kern w:val="0"/>
                <w:sz w:val="21"/>
                <w:szCs w:val="21"/>
                <w:highlight w:val="none"/>
                <w:lang w:val="en-US" w:eastAsia="zh-CN"/>
              </w:rPr>
              <w:t>或省级分行</w:t>
            </w:r>
            <w:r>
              <w:rPr>
                <w:rFonts w:hint="eastAsia" w:ascii="宋体" w:hAnsi="宋体" w:eastAsia="宋体" w:cs="宋体"/>
                <w:color w:val="auto"/>
                <w:kern w:val="0"/>
                <w:sz w:val="21"/>
                <w:szCs w:val="21"/>
                <w:highlight w:val="none"/>
              </w:rPr>
              <w:t>仅能授权一家分支机构行投标，且发出授权后总行或省级分行不得与分支机构同参与投标。(提供授权书原件，格式</w:t>
            </w:r>
            <w:r>
              <w:rPr>
                <w:rFonts w:hint="eastAsia" w:ascii="宋体" w:hAnsi="宋体" w:eastAsia="宋体" w:cs="宋体"/>
                <w:color w:val="auto"/>
                <w:kern w:val="0"/>
                <w:sz w:val="21"/>
                <w:szCs w:val="21"/>
                <w:highlight w:val="none"/>
                <w:lang w:eastAsia="zh-CN"/>
              </w:rPr>
              <w:t>自拟）</w:t>
            </w:r>
          </w:p>
          <w:p w14:paraId="551A03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宋体" w:hAnsi="宋体" w:eastAsia="宋体" w:cs="宋体"/>
                <w:color w:val="auto"/>
                <w:kern w:val="0"/>
                <w:sz w:val="21"/>
                <w:szCs w:val="21"/>
                <w:highlight w:val="none"/>
              </w:rPr>
              <w:t>投标文件中要求法定代表人签署或盖章的可以由</w:t>
            </w:r>
            <w:r>
              <w:rPr>
                <w:rFonts w:hint="eastAsia" w:ascii="宋体" w:hAnsi="宋体" w:eastAsia="宋体" w:cs="宋体"/>
                <w:color w:val="auto"/>
                <w:kern w:val="0"/>
                <w:sz w:val="21"/>
                <w:szCs w:val="21"/>
                <w:highlight w:val="none"/>
                <w:lang w:eastAsia="zh-CN"/>
              </w:rPr>
              <w:t>分支机构</w:t>
            </w:r>
            <w:r>
              <w:rPr>
                <w:rFonts w:hint="eastAsia" w:ascii="宋体" w:hAnsi="宋体" w:eastAsia="宋体" w:cs="宋体"/>
                <w:color w:val="auto"/>
                <w:kern w:val="0"/>
                <w:sz w:val="21"/>
                <w:szCs w:val="21"/>
                <w:highlight w:val="none"/>
              </w:rPr>
              <w:t>负责人签署或盖章。</w:t>
            </w:r>
            <w:r>
              <w:rPr>
                <w:rFonts w:hint="eastAsia" w:ascii="宋体" w:hAnsi="宋体" w:eastAsia="宋体" w:cs="宋体"/>
                <w:color w:val="auto"/>
                <w:kern w:val="0"/>
                <w:sz w:val="21"/>
                <w:szCs w:val="21"/>
                <w:highlight w:val="none"/>
                <w:lang w:eastAsia="zh-CN"/>
              </w:rPr>
              <w:t>分支机构</w:t>
            </w:r>
            <w:r>
              <w:rPr>
                <w:rFonts w:hint="eastAsia" w:ascii="宋体" w:hAnsi="宋体" w:eastAsia="宋体" w:cs="宋体"/>
                <w:color w:val="auto"/>
                <w:kern w:val="0"/>
                <w:sz w:val="21"/>
                <w:szCs w:val="21"/>
                <w:highlight w:val="none"/>
              </w:rPr>
              <w:t>使用总行</w:t>
            </w:r>
            <w:r>
              <w:rPr>
                <w:rFonts w:hint="eastAsia" w:ascii="宋体" w:hAnsi="宋体" w:cs="宋体"/>
                <w:color w:val="auto"/>
                <w:kern w:val="0"/>
                <w:sz w:val="21"/>
                <w:szCs w:val="21"/>
                <w:highlight w:val="none"/>
                <w:lang w:val="en-US" w:eastAsia="zh-CN"/>
              </w:rPr>
              <w:t>或省级分行</w:t>
            </w:r>
            <w:r>
              <w:rPr>
                <w:rFonts w:hint="eastAsia" w:ascii="宋体" w:hAnsi="宋体" w:eastAsia="宋体" w:cs="宋体"/>
                <w:color w:val="auto"/>
                <w:kern w:val="0"/>
                <w:sz w:val="21"/>
                <w:szCs w:val="21"/>
                <w:highlight w:val="none"/>
              </w:rPr>
              <w:t>相关证明材料(资质证书、认证证书、人员证书、业绩、财报</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均视同有效</w:t>
            </w:r>
            <w:r>
              <w:rPr>
                <w:rFonts w:hint="eastAsia" w:ascii="宋体" w:hAnsi="宋体" w:eastAsia="宋体" w:cs="宋体"/>
                <w:color w:val="auto"/>
                <w:kern w:val="0"/>
                <w:sz w:val="21"/>
                <w:szCs w:val="21"/>
                <w:highlight w:val="none"/>
                <w:lang w:eastAsia="zh-CN"/>
              </w:rPr>
              <w:t>。</w:t>
            </w:r>
          </w:p>
        </w:tc>
      </w:tr>
      <w:tr w14:paraId="3DDF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935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1BCD1B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p>
        </w:tc>
        <w:tc>
          <w:tcPr>
            <w:tcW w:w="3118" w:type="dxa"/>
            <w:vAlign w:val="center"/>
          </w:tcPr>
          <w:p w14:paraId="124AC9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2.</w:t>
            </w:r>
            <w:r>
              <w:rPr>
                <w:rFonts w:hint="eastAsia" w:ascii="仿宋" w:hAnsi="仿宋" w:eastAsia="仿宋" w:cs="仿宋"/>
                <w:color w:val="auto"/>
                <w:szCs w:val="21"/>
                <w:highlight w:val="none"/>
              </w:rPr>
              <w:t>具有良好的商业信誉和健全的财务会计制度</w:t>
            </w:r>
          </w:p>
        </w:tc>
        <w:tc>
          <w:tcPr>
            <w:tcW w:w="4984" w:type="dxa"/>
            <w:vMerge w:val="restart"/>
            <w:vAlign w:val="center"/>
          </w:tcPr>
          <w:p w14:paraId="4EA794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投标人提供“基本资格条件承诺函”（格式详见第七篇）</w:t>
            </w:r>
          </w:p>
        </w:tc>
      </w:tr>
      <w:tr w14:paraId="584B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D8FCB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3BA9A0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p>
        </w:tc>
        <w:tc>
          <w:tcPr>
            <w:tcW w:w="3118" w:type="dxa"/>
            <w:vAlign w:val="center"/>
          </w:tcPr>
          <w:p w14:paraId="4541CD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3.具有履行合同所必需的设备和专业技术能力</w:t>
            </w:r>
          </w:p>
        </w:tc>
        <w:tc>
          <w:tcPr>
            <w:tcW w:w="4984" w:type="dxa"/>
            <w:vMerge w:val="continue"/>
            <w:vAlign w:val="center"/>
          </w:tcPr>
          <w:p w14:paraId="05F747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p>
        </w:tc>
      </w:tr>
      <w:tr w14:paraId="3BEB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4891A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6EF13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p>
        </w:tc>
        <w:tc>
          <w:tcPr>
            <w:tcW w:w="3118" w:type="dxa"/>
            <w:vAlign w:val="center"/>
          </w:tcPr>
          <w:p w14:paraId="5F2F4E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4.有依法缴纳税收和社会保障金的良好记录</w:t>
            </w:r>
          </w:p>
        </w:tc>
        <w:tc>
          <w:tcPr>
            <w:tcW w:w="4984" w:type="dxa"/>
            <w:vMerge w:val="continue"/>
            <w:vAlign w:val="center"/>
          </w:tcPr>
          <w:p w14:paraId="5347E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p>
        </w:tc>
      </w:tr>
      <w:tr w14:paraId="7F52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213F5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422153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p>
        </w:tc>
        <w:tc>
          <w:tcPr>
            <w:tcW w:w="3118" w:type="dxa"/>
            <w:vAlign w:val="center"/>
          </w:tcPr>
          <w:p w14:paraId="48EB6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5.参加</w:t>
            </w:r>
            <w:r>
              <w:rPr>
                <w:rFonts w:hint="eastAsia" w:ascii="仿宋" w:hAnsi="仿宋" w:eastAsia="仿宋" w:cs="仿宋"/>
                <w:color w:val="auto"/>
                <w:szCs w:val="21"/>
                <w:highlight w:val="none"/>
                <w:lang w:eastAsia="zh-CN"/>
              </w:rPr>
              <w:t>本次招标活动</w:t>
            </w:r>
            <w:r>
              <w:rPr>
                <w:rFonts w:hint="eastAsia" w:ascii="仿宋" w:hAnsi="仿宋" w:eastAsia="仿宋" w:cs="仿宋"/>
                <w:color w:val="auto"/>
                <w:szCs w:val="21"/>
                <w:highlight w:val="none"/>
              </w:rPr>
              <w:t>前三年内，在经营活动中没有重大违法记录</w:t>
            </w:r>
          </w:p>
        </w:tc>
        <w:tc>
          <w:tcPr>
            <w:tcW w:w="4984" w:type="dxa"/>
            <w:vMerge w:val="continue"/>
            <w:vAlign w:val="center"/>
          </w:tcPr>
          <w:p w14:paraId="6E147C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Cs w:val="21"/>
                <w:highlight w:val="none"/>
              </w:rPr>
            </w:pPr>
          </w:p>
        </w:tc>
      </w:tr>
      <w:tr w14:paraId="324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C55D6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p>
        </w:tc>
        <w:tc>
          <w:tcPr>
            <w:tcW w:w="709" w:type="dxa"/>
            <w:vMerge w:val="continue"/>
            <w:vAlign w:val="center"/>
          </w:tcPr>
          <w:p w14:paraId="001B25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p>
        </w:tc>
        <w:tc>
          <w:tcPr>
            <w:tcW w:w="3118" w:type="dxa"/>
            <w:vAlign w:val="center"/>
          </w:tcPr>
          <w:p w14:paraId="493BA0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tc>
        <w:tc>
          <w:tcPr>
            <w:tcW w:w="4984" w:type="dxa"/>
            <w:vAlign w:val="center"/>
          </w:tcPr>
          <w:p w14:paraId="7A82D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en-US" w:eastAsia="zh-CN"/>
              </w:rPr>
            </w:pPr>
          </w:p>
        </w:tc>
      </w:tr>
      <w:tr w14:paraId="768E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225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w:t>
            </w:r>
          </w:p>
        </w:tc>
        <w:tc>
          <w:tcPr>
            <w:tcW w:w="3827" w:type="dxa"/>
            <w:gridSpan w:val="2"/>
            <w:vAlign w:val="center"/>
          </w:tcPr>
          <w:p w14:paraId="46151A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本项目的特定资格要求</w:t>
            </w:r>
          </w:p>
        </w:tc>
        <w:tc>
          <w:tcPr>
            <w:tcW w:w="4984" w:type="dxa"/>
            <w:vAlign w:val="center"/>
          </w:tcPr>
          <w:p w14:paraId="5510FD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按“第一篇三、投标人资格要求（三）本项目的特定资格要求”的要求提交。</w:t>
            </w:r>
          </w:p>
        </w:tc>
      </w:tr>
      <w:tr w14:paraId="1479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4842CA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w:t>
            </w:r>
          </w:p>
        </w:tc>
        <w:tc>
          <w:tcPr>
            <w:tcW w:w="3827" w:type="dxa"/>
            <w:gridSpan w:val="2"/>
            <w:vAlign w:val="center"/>
          </w:tcPr>
          <w:p w14:paraId="66DD56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投标保证金</w:t>
            </w:r>
          </w:p>
        </w:tc>
        <w:tc>
          <w:tcPr>
            <w:tcW w:w="4984" w:type="dxa"/>
            <w:vAlign w:val="center"/>
          </w:tcPr>
          <w:p w14:paraId="5886F2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w:t>
            </w:r>
            <w:r>
              <w:rPr>
                <w:rFonts w:hint="eastAsia" w:ascii="仿宋" w:hAnsi="仿宋" w:eastAsia="仿宋" w:cs="仿宋"/>
                <w:color w:val="auto"/>
                <w:szCs w:val="21"/>
                <w:highlight w:val="none"/>
                <w:lang w:val="en-US" w:eastAsia="zh-CN"/>
              </w:rPr>
              <w:t>招标</w:t>
            </w:r>
            <w:r>
              <w:rPr>
                <w:rFonts w:hint="eastAsia" w:ascii="仿宋" w:hAnsi="仿宋" w:eastAsia="仿宋" w:cs="仿宋"/>
                <w:color w:val="auto"/>
                <w:szCs w:val="21"/>
                <w:highlight w:val="none"/>
              </w:rPr>
              <w:t>文件要求足额交纳</w:t>
            </w:r>
            <w:r>
              <w:rPr>
                <w:rFonts w:hint="eastAsia" w:ascii="仿宋" w:hAnsi="仿宋" w:eastAsia="仿宋" w:cs="仿宋"/>
                <w:color w:val="auto"/>
                <w:szCs w:val="21"/>
                <w:highlight w:val="none"/>
                <w:lang w:val="en-US" w:eastAsia="zh-CN"/>
              </w:rPr>
              <w:t>投标</w:t>
            </w:r>
            <w:r>
              <w:rPr>
                <w:rFonts w:hint="eastAsia" w:ascii="仿宋" w:hAnsi="仿宋" w:eastAsia="仿宋" w:cs="仿宋"/>
                <w:color w:val="auto"/>
                <w:szCs w:val="21"/>
                <w:highlight w:val="none"/>
              </w:rPr>
              <w:t>保证金。</w:t>
            </w:r>
          </w:p>
        </w:tc>
      </w:tr>
    </w:tbl>
    <w:p w14:paraId="3B281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kern w:val="0"/>
          <w:sz w:val="24"/>
          <w:szCs w:val="24"/>
          <w:highlight w:val="none"/>
          <w:lang w:val="en-US" w:eastAsia="zh-CN"/>
        </w:rPr>
        <w:t>参照</w:t>
      </w:r>
      <w:r>
        <w:rPr>
          <w:rFonts w:hint="eastAsia" w:ascii="仿宋" w:hAnsi="仿宋" w:eastAsia="仿宋" w:cs="仿宋"/>
          <w:color w:val="auto"/>
          <w:kern w:val="0"/>
          <w:sz w:val="24"/>
          <w:szCs w:val="24"/>
          <w:highlight w:val="none"/>
        </w:rPr>
        <w:t>《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 “信用中国”网站(www.creditchina.gov.cn)、“中国政府采购网”(www.ccgp.gov.cn)等渠道查询信用记录。</w:t>
      </w:r>
    </w:p>
    <w:p w14:paraId="0246C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（二）符合性审查</w:t>
      </w:r>
    </w:p>
    <w:p w14:paraId="5922B1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评标委员会应当对符合资格的投标人的投标文件进行符合性审查，以确定其是否满足招标文件的实质性要求。符合性审查资料表如下：</w:t>
      </w:r>
    </w:p>
    <w:tbl>
      <w:tblPr>
        <w:tblStyle w:val="2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1339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D4C8D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序号</w:t>
            </w:r>
          </w:p>
        </w:tc>
        <w:tc>
          <w:tcPr>
            <w:tcW w:w="3119" w:type="dxa"/>
            <w:gridSpan w:val="2"/>
            <w:vAlign w:val="center"/>
          </w:tcPr>
          <w:p w14:paraId="1081E6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评审因素</w:t>
            </w:r>
          </w:p>
        </w:tc>
        <w:tc>
          <w:tcPr>
            <w:tcW w:w="5836" w:type="dxa"/>
            <w:vAlign w:val="center"/>
          </w:tcPr>
          <w:p w14:paraId="59E436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评审标准</w:t>
            </w:r>
          </w:p>
        </w:tc>
      </w:tr>
      <w:tr w14:paraId="09CB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089DB9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562" w:type="dxa"/>
            <w:vMerge w:val="restart"/>
            <w:vAlign w:val="center"/>
          </w:tcPr>
          <w:p w14:paraId="6C280C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有效性审查</w:t>
            </w:r>
          </w:p>
        </w:tc>
        <w:tc>
          <w:tcPr>
            <w:tcW w:w="1557" w:type="dxa"/>
            <w:vAlign w:val="center"/>
          </w:tcPr>
          <w:p w14:paraId="4EBEC1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投标文件签署或盖章</w:t>
            </w:r>
          </w:p>
        </w:tc>
        <w:tc>
          <w:tcPr>
            <w:tcW w:w="5836" w:type="dxa"/>
            <w:vAlign w:val="center"/>
          </w:tcPr>
          <w:p w14:paraId="16854C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投标文件上法定代表人（或其授权代表）或自然人（投标人为自然人）的签署或盖章齐全。</w:t>
            </w:r>
          </w:p>
        </w:tc>
      </w:tr>
      <w:tr w14:paraId="6D93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7357B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p>
        </w:tc>
        <w:tc>
          <w:tcPr>
            <w:tcW w:w="1562" w:type="dxa"/>
            <w:vMerge w:val="continue"/>
            <w:vAlign w:val="center"/>
          </w:tcPr>
          <w:p w14:paraId="73A35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p>
        </w:tc>
        <w:tc>
          <w:tcPr>
            <w:tcW w:w="1557" w:type="dxa"/>
            <w:vAlign w:val="center"/>
          </w:tcPr>
          <w:p w14:paraId="56164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投标方案</w:t>
            </w:r>
          </w:p>
        </w:tc>
        <w:tc>
          <w:tcPr>
            <w:tcW w:w="5836" w:type="dxa"/>
            <w:vAlign w:val="center"/>
          </w:tcPr>
          <w:p w14:paraId="2B3040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只能有一个方案投标。</w:t>
            </w:r>
          </w:p>
        </w:tc>
      </w:tr>
      <w:tr w14:paraId="788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9031E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p>
        </w:tc>
        <w:tc>
          <w:tcPr>
            <w:tcW w:w="1562" w:type="dxa"/>
            <w:vMerge w:val="continue"/>
            <w:vAlign w:val="center"/>
          </w:tcPr>
          <w:p w14:paraId="639CC2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p>
        </w:tc>
        <w:tc>
          <w:tcPr>
            <w:tcW w:w="1557" w:type="dxa"/>
            <w:vAlign w:val="center"/>
          </w:tcPr>
          <w:p w14:paraId="30A655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报价唯一</w:t>
            </w:r>
          </w:p>
        </w:tc>
        <w:tc>
          <w:tcPr>
            <w:tcW w:w="5836" w:type="dxa"/>
            <w:vAlign w:val="center"/>
          </w:tcPr>
          <w:p w14:paraId="6273D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只能有一个有效报价，不得提交选择性报价。</w:t>
            </w:r>
          </w:p>
        </w:tc>
      </w:tr>
      <w:tr w14:paraId="1DE3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059728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562" w:type="dxa"/>
            <w:vAlign w:val="center"/>
          </w:tcPr>
          <w:p w14:paraId="5F90BA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完整性审查</w:t>
            </w:r>
          </w:p>
        </w:tc>
        <w:tc>
          <w:tcPr>
            <w:tcW w:w="1557" w:type="dxa"/>
            <w:vAlign w:val="center"/>
          </w:tcPr>
          <w:p w14:paraId="574AA3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投标文件份数</w:t>
            </w:r>
          </w:p>
        </w:tc>
        <w:tc>
          <w:tcPr>
            <w:tcW w:w="5836" w:type="dxa"/>
            <w:vAlign w:val="center"/>
          </w:tcPr>
          <w:p w14:paraId="068EC6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投标文件正、副本数量（含电子文档）符合招标文件要求。</w:t>
            </w:r>
          </w:p>
        </w:tc>
      </w:tr>
      <w:tr w14:paraId="3D95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3BAD0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562" w:type="dxa"/>
            <w:vAlign w:val="center"/>
          </w:tcPr>
          <w:p w14:paraId="55C6C7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服务部分</w:t>
            </w:r>
          </w:p>
        </w:tc>
        <w:tc>
          <w:tcPr>
            <w:tcW w:w="1557" w:type="dxa"/>
            <w:vAlign w:val="center"/>
          </w:tcPr>
          <w:p w14:paraId="5D2CAE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投标文件内容</w:t>
            </w:r>
          </w:p>
        </w:tc>
        <w:tc>
          <w:tcPr>
            <w:tcW w:w="5836" w:type="dxa"/>
            <w:vAlign w:val="center"/>
          </w:tcPr>
          <w:p w14:paraId="3CD241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本招标文件第二篇中</w:t>
            </w:r>
            <w:r>
              <w:rPr>
                <w:rFonts w:hint="eastAsia" w:ascii="仿宋" w:hAnsi="仿宋" w:eastAsia="仿宋" w:cs="仿宋"/>
                <w:color w:val="auto"/>
                <w:kern w:val="0"/>
                <w:szCs w:val="21"/>
                <w:highlight w:val="none"/>
                <w:lang w:val="en-US" w:eastAsia="zh-CN"/>
              </w:rPr>
              <w:t>所有内容</w:t>
            </w:r>
            <w:r>
              <w:rPr>
                <w:rFonts w:hint="eastAsia" w:ascii="仿宋" w:hAnsi="仿宋" w:eastAsia="仿宋" w:cs="仿宋"/>
                <w:color w:val="auto"/>
                <w:kern w:val="0"/>
                <w:szCs w:val="21"/>
                <w:highlight w:val="none"/>
              </w:rPr>
              <w:t>。</w:t>
            </w:r>
          </w:p>
        </w:tc>
      </w:tr>
      <w:tr w14:paraId="586B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14:paraId="7CD504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562" w:type="dxa"/>
            <w:vAlign w:val="center"/>
          </w:tcPr>
          <w:p w14:paraId="52FDAF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商务部分</w:t>
            </w:r>
          </w:p>
        </w:tc>
        <w:tc>
          <w:tcPr>
            <w:tcW w:w="1557" w:type="dxa"/>
            <w:vAlign w:val="center"/>
          </w:tcPr>
          <w:p w14:paraId="71599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投标文件内容</w:t>
            </w:r>
          </w:p>
        </w:tc>
        <w:tc>
          <w:tcPr>
            <w:tcW w:w="5836" w:type="dxa"/>
            <w:vAlign w:val="center"/>
          </w:tcPr>
          <w:p w14:paraId="2A8C19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本招标文件第三篇中</w:t>
            </w:r>
            <w:r>
              <w:rPr>
                <w:rFonts w:hint="eastAsia" w:ascii="仿宋" w:hAnsi="仿宋" w:eastAsia="仿宋" w:cs="仿宋"/>
                <w:color w:val="auto"/>
                <w:kern w:val="0"/>
                <w:szCs w:val="21"/>
                <w:highlight w:val="none"/>
                <w:lang w:val="en-US" w:eastAsia="zh-CN"/>
              </w:rPr>
              <w:t>所有内容</w:t>
            </w:r>
            <w:r>
              <w:rPr>
                <w:rFonts w:hint="eastAsia" w:ascii="仿宋" w:hAnsi="仿宋" w:eastAsia="仿宋" w:cs="仿宋"/>
                <w:color w:val="auto"/>
                <w:kern w:val="0"/>
                <w:szCs w:val="21"/>
                <w:highlight w:val="none"/>
              </w:rPr>
              <w:t>。</w:t>
            </w:r>
          </w:p>
        </w:tc>
      </w:tr>
      <w:tr w14:paraId="5514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14:paraId="45807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562" w:type="dxa"/>
            <w:vAlign w:val="center"/>
          </w:tcPr>
          <w:p w14:paraId="741E47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1557" w:type="dxa"/>
            <w:vAlign w:val="center"/>
          </w:tcPr>
          <w:p w14:paraId="2BFCD4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投标文件内容</w:t>
            </w:r>
          </w:p>
        </w:tc>
        <w:tc>
          <w:tcPr>
            <w:tcW w:w="5836" w:type="dxa"/>
            <w:vAlign w:val="center"/>
          </w:tcPr>
          <w:p w14:paraId="18414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投标有效期为投标截止时间起90天。</w:t>
            </w:r>
          </w:p>
        </w:tc>
      </w:tr>
    </w:tbl>
    <w:p w14:paraId="7A2D67E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65" w:name="_Toc7454"/>
      <w:bookmarkStart w:id="66" w:name="_Toc76387244"/>
      <w:bookmarkStart w:id="67" w:name="_Toc9595"/>
      <w:r>
        <w:rPr>
          <w:rFonts w:hint="eastAsia" w:ascii="仿宋" w:hAnsi="仿宋" w:eastAsia="仿宋" w:cs="仿宋"/>
          <w:b/>
          <w:color w:val="auto"/>
          <w:sz w:val="24"/>
          <w:highlight w:val="none"/>
        </w:rPr>
        <w:t>二、评标方法</w:t>
      </w:r>
      <w:bookmarkEnd w:id="65"/>
      <w:bookmarkEnd w:id="66"/>
      <w:bookmarkEnd w:id="67"/>
    </w:p>
    <w:p w14:paraId="2BA25DD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本项目采用综合评分法进行评标。</w:t>
      </w:r>
    </w:p>
    <w:p w14:paraId="452B4C1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投标人总得分为价格、商务、服务等评定因素分别按照相应权重值计算分项得分后相加，满分为100分。</w:t>
      </w:r>
    </w:p>
    <w:p w14:paraId="0AA8F89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有关问题。对投标文件中含义不明确、同类问题表述不一致或者有明显文字和计算错误的内容，评标委员会可以书面形式（应当由评标委员会成员签字）要求投标人作出必要澄清、说明或者补正。投标人的澄清、说明或者补正应当采用书面形式，由其法定代表人（或其授权代表）或自然人（投标人为自然人）签字，其澄清的内容不得超出投标文件的范围或者改变投标文件的实质性内容。</w:t>
      </w:r>
    </w:p>
    <w:p w14:paraId="461902E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（一）比较与评价。按招标文件中规定的评标方法和标准，对资格审查和符合性审查合格的投标文件进行商务和服务评估。</w:t>
      </w:r>
    </w:p>
    <w:p w14:paraId="151E39F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0C89868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复核后，评标委员会汇总每个投标人每项评分因素的得分。</w:t>
      </w:r>
    </w:p>
    <w:p w14:paraId="5133CD2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（二）推荐中标候选人名单。</w:t>
      </w:r>
    </w:p>
    <w:p w14:paraId="3E59AE2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按评审后得分由高到低的排列顺序推荐综合得分排名前</w:t>
      </w:r>
      <w:r>
        <w:rPr>
          <w:rFonts w:hint="eastAsia" w:ascii="仿宋" w:hAnsi="仿宋" w:eastAsia="仿宋" w:cs="仿宋"/>
          <w:color w:val="auto"/>
          <w:sz w:val="24"/>
          <w:szCs w:val="24"/>
          <w:highlight w:val="none"/>
          <w:lang w:val="en-US" w:eastAsia="zh-CN"/>
        </w:rPr>
        <w:t>17名</w:t>
      </w:r>
      <w:r>
        <w:rPr>
          <w:rFonts w:hint="eastAsia" w:ascii="仿宋" w:hAnsi="仿宋" w:eastAsia="仿宋" w:cs="仿宋"/>
          <w:color w:val="auto"/>
          <w:sz w:val="24"/>
          <w:szCs w:val="24"/>
          <w:highlight w:val="none"/>
        </w:rPr>
        <w:t>的投标人为本项目中标候选人</w:t>
      </w: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rPr>
        <w:t>综合得分排名第</w:t>
      </w:r>
      <w:r>
        <w:rPr>
          <w:rFonts w:hint="eastAsia" w:ascii="仿宋" w:hAnsi="仿宋" w:eastAsia="仿宋" w:cs="仿宋"/>
          <w:color w:val="auto"/>
          <w:sz w:val="24"/>
          <w:szCs w:val="24"/>
          <w:highlight w:val="none"/>
          <w:lang w:val="en-US" w:eastAsia="zh-CN"/>
        </w:rPr>
        <w:t>1名至</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15名</w:t>
      </w:r>
      <w:r>
        <w:rPr>
          <w:rFonts w:hint="eastAsia" w:ascii="仿宋" w:hAnsi="仿宋" w:eastAsia="仿宋" w:cs="仿宋"/>
          <w:color w:val="auto"/>
          <w:sz w:val="24"/>
          <w:szCs w:val="24"/>
          <w:highlight w:val="none"/>
        </w:rPr>
        <w:t>的中标候选人</w:t>
      </w:r>
      <w:r>
        <w:rPr>
          <w:rFonts w:hint="eastAsia" w:ascii="仿宋" w:hAnsi="仿宋" w:eastAsia="仿宋" w:cs="仿宋"/>
          <w:color w:val="auto"/>
          <w:sz w:val="24"/>
          <w:szCs w:val="24"/>
          <w:highlight w:val="none"/>
          <w:lang w:eastAsia="zh-CN"/>
        </w:rPr>
        <w:t>经公示无疑后</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本项目的中标人）</w:t>
      </w:r>
      <w:r>
        <w:rPr>
          <w:rFonts w:hint="eastAsia" w:ascii="宋体" w:hAnsi="宋体" w:eastAsia="宋体" w:cs="宋体"/>
          <w:color w:val="auto"/>
          <w:sz w:val="24"/>
          <w:szCs w:val="24"/>
          <w:highlight w:val="none"/>
          <w:lang w:eastAsia="zh-CN"/>
        </w:rPr>
        <w:t>，</w:t>
      </w:r>
      <w:r>
        <w:rPr>
          <w:rFonts w:hint="eastAsia" w:ascii="仿宋" w:hAnsi="仿宋" w:eastAsia="仿宋" w:cs="仿宋"/>
          <w:color w:val="auto"/>
          <w:sz w:val="24"/>
          <w:szCs w:val="24"/>
          <w:highlight w:val="none"/>
        </w:rPr>
        <w:t>得分相同的，按投标报价由</w:t>
      </w:r>
      <w:r>
        <w:rPr>
          <w:rFonts w:hint="eastAsia" w:ascii="仿宋" w:hAnsi="仿宋" w:eastAsia="仿宋" w:cs="仿宋"/>
          <w:color w:val="auto"/>
          <w:sz w:val="24"/>
          <w:szCs w:val="24"/>
          <w:highlight w:val="none"/>
          <w:lang w:val="en-US" w:eastAsia="zh-CN"/>
        </w:rPr>
        <w:t>高</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val="en-US" w:eastAsia="zh-CN"/>
        </w:rPr>
        <w:t>低</w:t>
      </w:r>
      <w:r>
        <w:rPr>
          <w:rFonts w:hint="eastAsia" w:ascii="仿宋" w:hAnsi="仿宋" w:eastAsia="仿宋" w:cs="仿宋"/>
          <w:color w:val="auto"/>
          <w:sz w:val="24"/>
          <w:szCs w:val="24"/>
          <w:highlight w:val="none"/>
        </w:rPr>
        <w:t>顺序排列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w:t>
      </w:r>
      <w:r>
        <w:rPr>
          <w:rFonts w:hint="eastAsia" w:ascii="仿宋" w:hAnsi="仿宋" w:eastAsia="仿宋" w:cs="仿宋"/>
          <w:color w:val="auto"/>
          <w:sz w:val="24"/>
          <w:szCs w:val="24"/>
          <w:highlight w:val="none"/>
          <w:lang w:val="en-US" w:eastAsia="zh-CN"/>
        </w:rPr>
        <w:t>也</w:t>
      </w:r>
      <w:r>
        <w:rPr>
          <w:rFonts w:hint="eastAsia" w:ascii="仿宋" w:hAnsi="仿宋" w:eastAsia="仿宋" w:cs="仿宋"/>
          <w:color w:val="auto"/>
          <w:sz w:val="24"/>
          <w:szCs w:val="24"/>
          <w:highlight w:val="none"/>
        </w:rPr>
        <w:t>相同的</w:t>
      </w:r>
      <w:r>
        <w:rPr>
          <w:rFonts w:hint="eastAsia" w:ascii="仿宋" w:hAnsi="仿宋" w:eastAsia="仿宋" w:cs="仿宋"/>
          <w:color w:val="auto"/>
          <w:sz w:val="24"/>
          <w:szCs w:val="24"/>
          <w:highlight w:val="none"/>
          <w:lang w:val="en-US" w:eastAsia="zh-CN"/>
        </w:rPr>
        <w:t>以评分办法</w:t>
      </w:r>
      <w:r>
        <w:rPr>
          <w:rFonts w:hint="eastAsia" w:ascii="仿宋" w:hAnsi="仿宋" w:eastAsia="仿宋" w:cs="仿宋"/>
          <w:color w:val="auto"/>
          <w:sz w:val="24"/>
          <w:szCs w:val="24"/>
          <w:highlight w:val="none"/>
        </w:rPr>
        <w:t>评审因素</w:t>
      </w:r>
      <w:r>
        <w:rPr>
          <w:rFonts w:hint="eastAsia" w:ascii="仿宋" w:hAnsi="仿宋" w:eastAsia="仿宋" w:cs="仿宋"/>
          <w:color w:val="auto"/>
          <w:sz w:val="24"/>
          <w:szCs w:val="24"/>
          <w:highlight w:val="none"/>
          <w:lang w:val="en-US" w:eastAsia="zh-CN"/>
        </w:rPr>
        <w:t>中的对本项目的服务</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得分由高到低顺序排列，</w:t>
      </w:r>
      <w:r>
        <w:rPr>
          <w:rFonts w:hint="eastAsia" w:ascii="仿宋" w:hAnsi="仿宋" w:eastAsia="仿宋" w:cs="仿宋"/>
          <w:color w:val="auto"/>
          <w:sz w:val="24"/>
          <w:szCs w:val="24"/>
          <w:highlight w:val="none"/>
        </w:rPr>
        <w:t>若评分办法评审因素中的对本项目的服务方案得分也并列的则随机抽签确定排名。</w:t>
      </w:r>
    </w:p>
    <w:p w14:paraId="1578666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如果通过资格性审查和符合性审查的投标人不足15名，则所有通过资格性审查和符合性审查的投标人经综合评审后按得分排序全部推荐为本项目的中标候选人。</w:t>
      </w:r>
    </w:p>
    <w:p w14:paraId="0AEB39AC">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color w:val="auto"/>
          <w:highlight w:val="none"/>
        </w:rPr>
      </w:pPr>
      <w:bookmarkStart w:id="68" w:name="_Toc28859"/>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评标标准</w:t>
      </w:r>
      <w:bookmarkEnd w:id="68"/>
    </w:p>
    <w:p w14:paraId="391CD2B7">
      <w:pPr>
        <w:pageBreakBefore w:val="0"/>
        <w:widowControl w:val="0"/>
        <w:numPr>
          <w:ilvl w:val="0"/>
          <w:numId w:val="3"/>
        </w:numPr>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35"/>
        <w:gridCol w:w="1249"/>
        <w:gridCol w:w="4182"/>
        <w:gridCol w:w="2469"/>
      </w:tblGrid>
      <w:tr w14:paraId="6D92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151B708E">
            <w:pPr>
              <w:spacing w:line="280" w:lineRule="exact"/>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135" w:type="dxa"/>
            <w:vAlign w:val="center"/>
          </w:tcPr>
          <w:p w14:paraId="52761A85">
            <w:pPr>
              <w:spacing w:line="280" w:lineRule="exact"/>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评分因素及权值</w:t>
            </w:r>
          </w:p>
        </w:tc>
        <w:tc>
          <w:tcPr>
            <w:tcW w:w="1249" w:type="dxa"/>
            <w:vAlign w:val="center"/>
          </w:tcPr>
          <w:p w14:paraId="32B6DA55">
            <w:pPr>
              <w:spacing w:line="280" w:lineRule="exact"/>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w:t>
            </w:r>
          </w:p>
        </w:tc>
        <w:tc>
          <w:tcPr>
            <w:tcW w:w="4182" w:type="dxa"/>
            <w:vAlign w:val="center"/>
          </w:tcPr>
          <w:p w14:paraId="71EDB360">
            <w:pPr>
              <w:spacing w:line="280" w:lineRule="exact"/>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c>
          <w:tcPr>
            <w:tcW w:w="2469" w:type="dxa"/>
            <w:vAlign w:val="center"/>
          </w:tcPr>
          <w:p w14:paraId="57711726">
            <w:pPr>
              <w:spacing w:line="280" w:lineRule="exact"/>
              <w:ind w:left="1540" w:hanging="42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说明</w:t>
            </w:r>
          </w:p>
        </w:tc>
      </w:tr>
      <w:tr w14:paraId="5F6C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vMerge w:val="restart"/>
            <w:vAlign w:val="center"/>
          </w:tcPr>
          <w:p w14:paraId="40722494">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35" w:type="dxa"/>
            <w:vMerge w:val="restart"/>
            <w:vAlign w:val="center"/>
          </w:tcPr>
          <w:p w14:paraId="4A0879F2">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p w14:paraId="01BC6348">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w:t>
            </w:r>
          </w:p>
        </w:tc>
        <w:tc>
          <w:tcPr>
            <w:tcW w:w="1249" w:type="dxa"/>
            <w:vMerge w:val="restart"/>
            <w:vAlign w:val="center"/>
          </w:tcPr>
          <w:p w14:paraId="53F6CC27">
            <w:pPr>
              <w:spacing w:line="280" w:lineRule="exact"/>
              <w:ind w:firstLine="2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报价得分（30分）</w:t>
            </w:r>
          </w:p>
        </w:tc>
        <w:tc>
          <w:tcPr>
            <w:tcW w:w="4182" w:type="dxa"/>
            <w:vAlign w:val="center"/>
          </w:tcPr>
          <w:p w14:paraId="4EE945EF">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kern w:val="0"/>
                <w:sz w:val="21"/>
                <w:szCs w:val="21"/>
                <w:highlight w:val="none"/>
              </w:rPr>
              <w:t>一年期定期存款利率</w:t>
            </w:r>
            <w:r>
              <w:rPr>
                <w:rFonts w:hint="eastAsia" w:ascii="仿宋" w:hAnsi="仿宋" w:eastAsia="仿宋" w:cs="仿宋"/>
                <w:color w:val="auto"/>
                <w:kern w:val="0"/>
                <w:sz w:val="21"/>
                <w:szCs w:val="21"/>
                <w:highlight w:val="none"/>
                <w:lang w:val="en-US" w:eastAsia="zh-CN" w:bidi="ar-SA"/>
              </w:rPr>
              <w:t>（10分）</w:t>
            </w:r>
          </w:p>
          <w:p w14:paraId="4B30F3E3">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有效的投标报价中的</w:t>
            </w:r>
            <w:r>
              <w:rPr>
                <w:rFonts w:hint="eastAsia" w:ascii="仿宋" w:hAnsi="仿宋" w:eastAsia="仿宋" w:cs="仿宋"/>
                <w:color w:val="auto"/>
                <w:kern w:val="0"/>
                <w:sz w:val="21"/>
                <w:szCs w:val="21"/>
                <w:highlight w:val="none"/>
              </w:rPr>
              <w:t>一年期定期存款利率</w:t>
            </w:r>
            <w:r>
              <w:rPr>
                <w:rFonts w:hint="eastAsia" w:ascii="仿宋" w:hAnsi="仿宋" w:eastAsia="仿宋" w:cs="仿宋"/>
                <w:color w:val="auto"/>
                <w:sz w:val="21"/>
                <w:szCs w:val="21"/>
                <w:highlight w:val="none"/>
                <w:lang w:val="en-US" w:eastAsia="zh-CN"/>
              </w:rPr>
              <w:t>最高价为评标基准价，其价格分为满分。其他投标人的价格分统一按照下列公式计算：</w:t>
            </w:r>
          </w:p>
          <w:p w14:paraId="106C556B">
            <w:pPr>
              <w:spacing w:line="280" w:lineRule="exact"/>
              <w:ind w:left="-3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投标报价得分＝（投标报价/评标基准价）×10分。</w:t>
            </w:r>
          </w:p>
        </w:tc>
        <w:tc>
          <w:tcPr>
            <w:tcW w:w="2469" w:type="dxa"/>
            <w:vMerge w:val="restart"/>
            <w:vAlign w:val="center"/>
          </w:tcPr>
          <w:p w14:paraId="35A15D5F">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评标委员会</w:t>
            </w:r>
            <w:r>
              <w:rPr>
                <w:rFonts w:hint="eastAsia" w:ascii="仿宋" w:hAnsi="仿宋" w:eastAsia="仿宋" w:cs="仿宋"/>
                <w:color w:val="auto"/>
                <w:sz w:val="21"/>
                <w:szCs w:val="21"/>
                <w:highlight w:val="none"/>
                <w:lang w:val="en-US" w:eastAsia="zh-CN"/>
              </w:rPr>
              <w:t>根据有效投标人的报价进行评审。</w:t>
            </w:r>
          </w:p>
          <w:p w14:paraId="1C7226C2">
            <w:pPr>
              <w:spacing w:line="280" w:lineRule="exact"/>
              <w:ind w:left="-38"/>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后期双方在服务合同中约定的上浮BP不能低于投标文件中的BP报价。</w:t>
            </w:r>
          </w:p>
        </w:tc>
      </w:tr>
      <w:tr w14:paraId="41E1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vMerge w:val="continue"/>
            <w:vAlign w:val="center"/>
          </w:tcPr>
          <w:p w14:paraId="483A4F2D">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22321183">
            <w:pPr>
              <w:spacing w:line="280" w:lineRule="exact"/>
              <w:ind w:firstLine="28"/>
              <w:jc w:val="center"/>
              <w:rPr>
                <w:rFonts w:hint="eastAsia" w:ascii="仿宋" w:hAnsi="仿宋" w:eastAsia="仿宋" w:cs="仿宋"/>
                <w:color w:val="auto"/>
                <w:sz w:val="21"/>
                <w:szCs w:val="21"/>
                <w:highlight w:val="none"/>
              </w:rPr>
            </w:pPr>
          </w:p>
        </w:tc>
        <w:tc>
          <w:tcPr>
            <w:tcW w:w="1249" w:type="dxa"/>
            <w:vMerge w:val="continue"/>
            <w:vAlign w:val="center"/>
          </w:tcPr>
          <w:p w14:paraId="72F18E6A">
            <w:pPr>
              <w:spacing w:line="280" w:lineRule="exact"/>
              <w:ind w:firstLine="28"/>
              <w:jc w:val="center"/>
              <w:rPr>
                <w:rFonts w:hint="eastAsia" w:ascii="仿宋" w:hAnsi="仿宋" w:eastAsia="仿宋" w:cs="仿宋"/>
                <w:color w:val="auto"/>
                <w:sz w:val="21"/>
                <w:szCs w:val="21"/>
                <w:highlight w:val="none"/>
                <w:lang w:val="en-US" w:eastAsia="zh-CN"/>
              </w:rPr>
            </w:pPr>
          </w:p>
        </w:tc>
        <w:tc>
          <w:tcPr>
            <w:tcW w:w="4182" w:type="dxa"/>
            <w:vAlign w:val="center"/>
          </w:tcPr>
          <w:p w14:paraId="43A4ED98">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kern w:val="0"/>
                <w:sz w:val="21"/>
                <w:szCs w:val="21"/>
                <w:highlight w:val="none"/>
              </w:rPr>
              <w:t>一年期定期存款</w:t>
            </w:r>
            <w:r>
              <w:rPr>
                <w:rFonts w:hint="eastAsia" w:ascii="仿宋" w:hAnsi="仿宋" w:eastAsia="仿宋" w:cs="仿宋"/>
                <w:color w:val="auto"/>
                <w:kern w:val="0"/>
                <w:sz w:val="21"/>
                <w:szCs w:val="21"/>
                <w:highlight w:val="none"/>
                <w:lang w:val="en-US" w:eastAsia="zh-CN"/>
              </w:rPr>
              <w:t>挂牌利率上浮BP</w:t>
            </w:r>
            <w:r>
              <w:rPr>
                <w:rFonts w:hint="eastAsia" w:ascii="仿宋" w:hAnsi="仿宋" w:eastAsia="仿宋" w:cs="仿宋"/>
                <w:color w:val="auto"/>
                <w:kern w:val="0"/>
                <w:sz w:val="21"/>
                <w:szCs w:val="21"/>
                <w:highlight w:val="none"/>
                <w:lang w:val="en-US" w:eastAsia="zh-CN" w:bidi="ar-SA"/>
              </w:rPr>
              <w:t>（5分）</w:t>
            </w:r>
          </w:p>
          <w:p w14:paraId="0D4508AF">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有效的投标报价中的</w:t>
            </w:r>
            <w:r>
              <w:rPr>
                <w:rFonts w:hint="eastAsia" w:ascii="仿宋" w:hAnsi="仿宋" w:eastAsia="仿宋" w:cs="仿宋"/>
                <w:color w:val="auto"/>
                <w:kern w:val="0"/>
                <w:sz w:val="21"/>
                <w:szCs w:val="21"/>
                <w:highlight w:val="none"/>
              </w:rPr>
              <w:t>一年期定期存款</w:t>
            </w:r>
            <w:r>
              <w:rPr>
                <w:rFonts w:hint="eastAsia" w:ascii="仿宋" w:hAnsi="仿宋" w:eastAsia="仿宋" w:cs="仿宋"/>
                <w:color w:val="auto"/>
                <w:kern w:val="0"/>
                <w:sz w:val="21"/>
                <w:szCs w:val="21"/>
                <w:highlight w:val="none"/>
                <w:lang w:val="en-US" w:eastAsia="zh-CN"/>
              </w:rPr>
              <w:t>挂牌</w:t>
            </w:r>
            <w:r>
              <w:rPr>
                <w:rFonts w:hint="eastAsia" w:ascii="仿宋" w:hAnsi="仿宋" w:eastAsia="仿宋" w:cs="仿宋"/>
                <w:color w:val="auto"/>
                <w:kern w:val="0"/>
                <w:sz w:val="21"/>
                <w:szCs w:val="21"/>
                <w:highlight w:val="none"/>
              </w:rPr>
              <w:t>利率</w:t>
            </w:r>
            <w:r>
              <w:rPr>
                <w:rFonts w:hint="eastAsia" w:ascii="仿宋" w:hAnsi="仿宋" w:eastAsia="仿宋" w:cs="仿宋"/>
                <w:color w:val="auto"/>
                <w:sz w:val="21"/>
                <w:szCs w:val="21"/>
                <w:highlight w:val="none"/>
                <w:lang w:val="en-US" w:eastAsia="zh-CN"/>
              </w:rPr>
              <w:t>上浮BP最高价为评标基准价，其价格分为满分。其他投标人的价格分统一按照下列公式计算：</w:t>
            </w:r>
          </w:p>
          <w:p w14:paraId="00B5523F">
            <w:pPr>
              <w:spacing w:line="280" w:lineRule="exact"/>
              <w:ind w:left="-38"/>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投标报价得分＝（投标报价/评标基准价）×5分。</w:t>
            </w:r>
          </w:p>
        </w:tc>
        <w:tc>
          <w:tcPr>
            <w:tcW w:w="2469" w:type="dxa"/>
            <w:vMerge w:val="continue"/>
            <w:vAlign w:val="center"/>
          </w:tcPr>
          <w:p w14:paraId="6096B79F">
            <w:pPr>
              <w:spacing w:line="280" w:lineRule="exact"/>
              <w:ind w:left="-38"/>
              <w:rPr>
                <w:rFonts w:hint="eastAsia" w:ascii="仿宋" w:hAnsi="仿宋" w:eastAsia="仿宋" w:cs="仿宋"/>
                <w:color w:val="auto"/>
                <w:sz w:val="21"/>
                <w:szCs w:val="21"/>
                <w:highlight w:val="none"/>
                <w:lang w:eastAsia="zh-CN"/>
              </w:rPr>
            </w:pPr>
          </w:p>
        </w:tc>
      </w:tr>
      <w:tr w14:paraId="31AF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vMerge w:val="continue"/>
            <w:vAlign w:val="center"/>
          </w:tcPr>
          <w:p w14:paraId="5837EB86">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7F62FA86">
            <w:pPr>
              <w:spacing w:line="280" w:lineRule="exact"/>
              <w:ind w:firstLine="28"/>
              <w:jc w:val="center"/>
              <w:rPr>
                <w:rFonts w:hint="eastAsia" w:ascii="仿宋" w:hAnsi="仿宋" w:eastAsia="仿宋" w:cs="仿宋"/>
                <w:color w:val="auto"/>
                <w:sz w:val="21"/>
                <w:szCs w:val="21"/>
                <w:highlight w:val="none"/>
              </w:rPr>
            </w:pPr>
          </w:p>
        </w:tc>
        <w:tc>
          <w:tcPr>
            <w:tcW w:w="1249" w:type="dxa"/>
            <w:vMerge w:val="continue"/>
            <w:vAlign w:val="center"/>
          </w:tcPr>
          <w:p w14:paraId="3EB5417A">
            <w:pPr>
              <w:spacing w:line="280" w:lineRule="exact"/>
              <w:ind w:firstLine="28"/>
              <w:jc w:val="center"/>
              <w:rPr>
                <w:rFonts w:hint="eastAsia" w:ascii="仿宋" w:hAnsi="仿宋" w:eastAsia="仿宋" w:cs="仿宋"/>
                <w:color w:val="auto"/>
                <w:sz w:val="21"/>
                <w:szCs w:val="21"/>
                <w:highlight w:val="none"/>
                <w:lang w:val="en-US" w:eastAsia="zh-CN"/>
              </w:rPr>
            </w:pPr>
          </w:p>
        </w:tc>
        <w:tc>
          <w:tcPr>
            <w:tcW w:w="4182" w:type="dxa"/>
            <w:vAlign w:val="center"/>
          </w:tcPr>
          <w:p w14:paraId="7E7989E5">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kern w:val="0"/>
                <w:sz w:val="21"/>
                <w:szCs w:val="21"/>
                <w:highlight w:val="none"/>
              </w:rPr>
              <w:t>协定存款利率</w:t>
            </w:r>
            <w:r>
              <w:rPr>
                <w:rFonts w:hint="eastAsia" w:ascii="仿宋" w:hAnsi="仿宋" w:eastAsia="仿宋" w:cs="仿宋"/>
                <w:color w:val="auto"/>
                <w:kern w:val="0"/>
                <w:sz w:val="21"/>
                <w:szCs w:val="21"/>
                <w:highlight w:val="none"/>
                <w:lang w:val="en-US" w:eastAsia="zh-CN" w:bidi="ar-SA"/>
              </w:rPr>
              <w:t>（10分）</w:t>
            </w:r>
          </w:p>
          <w:p w14:paraId="6B52B20A">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有效的投标报价中的</w:t>
            </w:r>
            <w:r>
              <w:rPr>
                <w:rFonts w:hint="eastAsia" w:ascii="仿宋" w:hAnsi="仿宋" w:eastAsia="仿宋" w:cs="仿宋"/>
                <w:color w:val="auto"/>
                <w:kern w:val="0"/>
                <w:sz w:val="21"/>
                <w:szCs w:val="21"/>
                <w:highlight w:val="none"/>
              </w:rPr>
              <w:t>协定存款利率</w:t>
            </w:r>
            <w:r>
              <w:rPr>
                <w:rFonts w:hint="eastAsia" w:ascii="仿宋" w:hAnsi="仿宋" w:eastAsia="仿宋" w:cs="仿宋"/>
                <w:color w:val="auto"/>
                <w:sz w:val="21"/>
                <w:szCs w:val="21"/>
                <w:highlight w:val="none"/>
                <w:lang w:val="en-US" w:eastAsia="zh-CN"/>
              </w:rPr>
              <w:t>最高价为评标基准价，其价格分为满分。其他投标人的价格分统一按照下列公式计算：</w:t>
            </w:r>
          </w:p>
          <w:p w14:paraId="28A2876D">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投标报价得分＝（投标报价/评标基准价）×10分。</w:t>
            </w:r>
          </w:p>
        </w:tc>
        <w:tc>
          <w:tcPr>
            <w:tcW w:w="2469" w:type="dxa"/>
            <w:vMerge w:val="continue"/>
            <w:vAlign w:val="center"/>
          </w:tcPr>
          <w:p w14:paraId="322E6B22">
            <w:pPr>
              <w:spacing w:line="280" w:lineRule="exact"/>
              <w:ind w:left="-38"/>
              <w:rPr>
                <w:rFonts w:hint="eastAsia" w:ascii="仿宋" w:hAnsi="仿宋" w:eastAsia="仿宋" w:cs="仿宋"/>
                <w:color w:val="auto"/>
                <w:sz w:val="21"/>
                <w:szCs w:val="21"/>
                <w:highlight w:val="none"/>
                <w:lang w:eastAsia="zh-CN"/>
              </w:rPr>
            </w:pPr>
          </w:p>
        </w:tc>
      </w:tr>
      <w:tr w14:paraId="4215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vMerge w:val="continue"/>
            <w:vAlign w:val="center"/>
          </w:tcPr>
          <w:p w14:paraId="2E83FF2B">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752B2120">
            <w:pPr>
              <w:spacing w:line="280" w:lineRule="exact"/>
              <w:ind w:firstLine="28"/>
              <w:jc w:val="center"/>
              <w:rPr>
                <w:rFonts w:hint="eastAsia" w:ascii="仿宋" w:hAnsi="仿宋" w:eastAsia="仿宋" w:cs="仿宋"/>
                <w:color w:val="auto"/>
                <w:sz w:val="21"/>
                <w:szCs w:val="21"/>
                <w:highlight w:val="none"/>
              </w:rPr>
            </w:pPr>
          </w:p>
        </w:tc>
        <w:tc>
          <w:tcPr>
            <w:tcW w:w="1249" w:type="dxa"/>
            <w:vMerge w:val="continue"/>
            <w:vAlign w:val="center"/>
          </w:tcPr>
          <w:p w14:paraId="5AE7054F">
            <w:pPr>
              <w:spacing w:line="280" w:lineRule="exact"/>
              <w:ind w:firstLine="28"/>
              <w:jc w:val="center"/>
              <w:rPr>
                <w:rFonts w:hint="eastAsia" w:ascii="仿宋" w:hAnsi="仿宋" w:eastAsia="仿宋" w:cs="仿宋"/>
                <w:color w:val="auto"/>
                <w:sz w:val="21"/>
                <w:szCs w:val="21"/>
                <w:highlight w:val="none"/>
                <w:lang w:val="en-US" w:eastAsia="zh-CN"/>
              </w:rPr>
            </w:pPr>
          </w:p>
        </w:tc>
        <w:tc>
          <w:tcPr>
            <w:tcW w:w="4182" w:type="dxa"/>
            <w:vAlign w:val="center"/>
          </w:tcPr>
          <w:p w14:paraId="39E071BC">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4.协定</w:t>
            </w:r>
            <w:r>
              <w:rPr>
                <w:rFonts w:hint="eastAsia" w:ascii="仿宋" w:hAnsi="仿宋" w:eastAsia="仿宋" w:cs="仿宋"/>
                <w:color w:val="auto"/>
                <w:kern w:val="0"/>
                <w:sz w:val="21"/>
                <w:szCs w:val="21"/>
                <w:highlight w:val="none"/>
              </w:rPr>
              <w:t>存款</w:t>
            </w:r>
            <w:r>
              <w:rPr>
                <w:rFonts w:hint="eastAsia" w:ascii="仿宋" w:hAnsi="仿宋" w:eastAsia="仿宋" w:cs="仿宋"/>
                <w:color w:val="auto"/>
                <w:kern w:val="0"/>
                <w:sz w:val="21"/>
                <w:szCs w:val="21"/>
                <w:highlight w:val="none"/>
                <w:lang w:val="en-US" w:eastAsia="zh-CN"/>
              </w:rPr>
              <w:t>挂牌利率上浮BP</w:t>
            </w:r>
            <w:r>
              <w:rPr>
                <w:rFonts w:hint="eastAsia" w:ascii="仿宋" w:hAnsi="仿宋" w:eastAsia="仿宋" w:cs="仿宋"/>
                <w:color w:val="auto"/>
                <w:kern w:val="0"/>
                <w:sz w:val="21"/>
                <w:szCs w:val="21"/>
                <w:highlight w:val="none"/>
                <w:lang w:val="en-US" w:eastAsia="zh-CN" w:bidi="ar-SA"/>
              </w:rPr>
              <w:t>（5分）</w:t>
            </w:r>
          </w:p>
          <w:p w14:paraId="7D450EB8">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有效的投标报价中的</w:t>
            </w:r>
            <w:r>
              <w:rPr>
                <w:rFonts w:hint="eastAsia" w:ascii="仿宋" w:hAnsi="仿宋" w:eastAsia="仿宋" w:cs="仿宋"/>
                <w:color w:val="auto"/>
                <w:kern w:val="0"/>
                <w:sz w:val="21"/>
                <w:szCs w:val="21"/>
                <w:highlight w:val="none"/>
                <w:lang w:val="en-US" w:eastAsia="zh-CN"/>
              </w:rPr>
              <w:t>协定</w:t>
            </w:r>
            <w:r>
              <w:rPr>
                <w:rFonts w:hint="eastAsia" w:ascii="仿宋" w:hAnsi="仿宋" w:eastAsia="仿宋" w:cs="仿宋"/>
                <w:color w:val="auto"/>
                <w:kern w:val="0"/>
                <w:sz w:val="21"/>
                <w:szCs w:val="21"/>
                <w:highlight w:val="none"/>
              </w:rPr>
              <w:t>存款</w:t>
            </w:r>
            <w:r>
              <w:rPr>
                <w:rFonts w:hint="eastAsia" w:ascii="仿宋" w:hAnsi="仿宋" w:eastAsia="仿宋" w:cs="仿宋"/>
                <w:color w:val="auto"/>
                <w:kern w:val="0"/>
                <w:sz w:val="21"/>
                <w:szCs w:val="21"/>
                <w:highlight w:val="none"/>
                <w:lang w:val="en-US" w:eastAsia="zh-CN"/>
              </w:rPr>
              <w:t>挂牌</w:t>
            </w:r>
            <w:r>
              <w:rPr>
                <w:rFonts w:hint="eastAsia" w:ascii="仿宋" w:hAnsi="仿宋" w:eastAsia="仿宋" w:cs="仿宋"/>
                <w:color w:val="auto"/>
                <w:kern w:val="0"/>
                <w:sz w:val="21"/>
                <w:szCs w:val="21"/>
                <w:highlight w:val="none"/>
              </w:rPr>
              <w:t>利率</w:t>
            </w:r>
            <w:r>
              <w:rPr>
                <w:rFonts w:hint="eastAsia" w:ascii="仿宋" w:hAnsi="仿宋" w:eastAsia="仿宋" w:cs="仿宋"/>
                <w:color w:val="auto"/>
                <w:sz w:val="21"/>
                <w:szCs w:val="21"/>
                <w:highlight w:val="none"/>
                <w:lang w:val="en-US" w:eastAsia="zh-CN"/>
              </w:rPr>
              <w:t>上浮BP最高价为评标基准价，其价格分为满分。其他投标人的价格分统一按照下列公式计算：</w:t>
            </w:r>
          </w:p>
          <w:p w14:paraId="18CCD4FF">
            <w:pPr>
              <w:spacing w:line="280" w:lineRule="exact"/>
              <w:ind w:left="-3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投标报价得分＝（投标报价/评标基准价）×5分。</w:t>
            </w:r>
          </w:p>
        </w:tc>
        <w:tc>
          <w:tcPr>
            <w:tcW w:w="2469" w:type="dxa"/>
            <w:vMerge w:val="continue"/>
            <w:vAlign w:val="center"/>
          </w:tcPr>
          <w:p w14:paraId="6B582230">
            <w:pPr>
              <w:spacing w:line="280" w:lineRule="exact"/>
              <w:ind w:left="-38"/>
              <w:rPr>
                <w:rFonts w:hint="eastAsia" w:ascii="仿宋" w:hAnsi="仿宋" w:eastAsia="仿宋" w:cs="仿宋"/>
                <w:color w:val="auto"/>
                <w:sz w:val="21"/>
                <w:szCs w:val="21"/>
                <w:highlight w:val="none"/>
                <w:lang w:eastAsia="zh-CN"/>
              </w:rPr>
            </w:pPr>
          </w:p>
        </w:tc>
      </w:tr>
      <w:tr w14:paraId="174B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restart"/>
            <w:vAlign w:val="center"/>
          </w:tcPr>
          <w:p w14:paraId="29F66610">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35" w:type="dxa"/>
            <w:vMerge w:val="restart"/>
            <w:vAlign w:val="center"/>
          </w:tcPr>
          <w:p w14:paraId="54A4334E">
            <w:pPr>
              <w:spacing w:line="280" w:lineRule="exact"/>
              <w:ind w:firstLine="28"/>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服务部分</w:t>
            </w:r>
          </w:p>
          <w:p w14:paraId="7720BFFF">
            <w:pPr>
              <w:spacing w:line="280" w:lineRule="exact"/>
              <w:ind w:firstLine="28"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kern w:val="0"/>
                <w:sz w:val="21"/>
                <w:szCs w:val="21"/>
                <w:highlight w:val="none"/>
                <w:lang w:val="en-US" w:eastAsia="zh-CN"/>
              </w:rPr>
              <w:t>50</w:t>
            </w:r>
            <w:r>
              <w:rPr>
                <w:rFonts w:hint="eastAsia" w:ascii="仿宋" w:hAnsi="仿宋" w:eastAsia="仿宋" w:cs="仿宋"/>
                <w:b w:val="0"/>
                <w:bCs w:val="0"/>
                <w:color w:val="auto"/>
                <w:sz w:val="21"/>
                <w:szCs w:val="21"/>
                <w:highlight w:val="none"/>
              </w:rPr>
              <w:t>%）</w:t>
            </w:r>
          </w:p>
        </w:tc>
        <w:tc>
          <w:tcPr>
            <w:tcW w:w="1249" w:type="dxa"/>
            <w:vMerge w:val="restart"/>
            <w:vAlign w:val="center"/>
          </w:tcPr>
          <w:p w14:paraId="13A8CADF">
            <w:pPr>
              <w:spacing w:line="280" w:lineRule="exact"/>
              <w:ind w:firstLine="28" w:firstLineChars="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lang w:val="en-US" w:eastAsia="zh-CN"/>
              </w:rPr>
              <w:t>服务方案（50</w:t>
            </w:r>
            <w:r>
              <w:rPr>
                <w:rFonts w:hint="eastAsia" w:ascii="仿宋" w:hAnsi="仿宋" w:eastAsia="仿宋" w:cs="仿宋"/>
                <w:b w:val="0"/>
                <w:bCs w:val="0"/>
                <w:color w:val="auto"/>
                <w:sz w:val="21"/>
                <w:szCs w:val="21"/>
                <w:highlight w:val="none"/>
              </w:rPr>
              <w:t>分</w:t>
            </w:r>
            <w:r>
              <w:rPr>
                <w:rFonts w:hint="eastAsia" w:ascii="仿宋" w:hAnsi="仿宋" w:eastAsia="仿宋" w:cs="仿宋"/>
                <w:b w:val="0"/>
                <w:bCs w:val="0"/>
                <w:color w:val="auto"/>
                <w:kern w:val="0"/>
                <w:sz w:val="21"/>
                <w:szCs w:val="21"/>
                <w:highlight w:val="none"/>
                <w:lang w:val="en-US" w:eastAsia="zh-CN"/>
              </w:rPr>
              <w:t>）</w:t>
            </w:r>
          </w:p>
        </w:tc>
        <w:tc>
          <w:tcPr>
            <w:tcW w:w="4182" w:type="dxa"/>
            <w:vAlign w:val="center"/>
          </w:tcPr>
          <w:p w14:paraId="0B175C2F">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w:t>
            </w:r>
            <w:r>
              <w:rPr>
                <w:rFonts w:hint="eastAsia" w:ascii="仿宋" w:hAnsi="仿宋" w:eastAsia="仿宋" w:cs="仿宋"/>
                <w:color w:val="auto"/>
                <w:sz w:val="21"/>
                <w:szCs w:val="21"/>
                <w:highlight w:val="none"/>
                <w:lang w:eastAsia="zh-CN"/>
              </w:rPr>
              <w:t>账户设置</w:t>
            </w:r>
            <w:r>
              <w:rPr>
                <w:rFonts w:hint="eastAsia" w:ascii="仿宋" w:hAnsi="仿宋" w:eastAsia="仿宋" w:cs="仿宋"/>
                <w:color w:val="auto"/>
                <w:sz w:val="21"/>
                <w:szCs w:val="21"/>
                <w:highlight w:val="none"/>
                <w:lang w:val="en-US" w:eastAsia="zh-CN"/>
              </w:rPr>
              <w:t>方案；（满分5分）</w:t>
            </w:r>
          </w:p>
          <w:p w14:paraId="0B0B40C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restart"/>
            <w:vAlign w:val="center"/>
          </w:tcPr>
          <w:p w14:paraId="539A199F">
            <w:pPr>
              <w:spacing w:line="28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评标委员会全体成员对投标人提供的技术部分每项独立进行评审打分汇总，取汇总分值的算术平均值为该投标人技术部分得分。得分保留至小数点后两位，第三位四舍五入注：</w:t>
            </w:r>
          </w:p>
          <w:p w14:paraId="2D123612">
            <w:pPr>
              <w:spacing w:line="28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投标人需提供服务方案。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t>
            </w:r>
          </w:p>
          <w:p w14:paraId="21BE0E78">
            <w:pPr>
              <w:spacing w:line="28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方案须建立在本项目使用场景之上，否则对应方案按0分处理。</w:t>
            </w:r>
          </w:p>
        </w:tc>
      </w:tr>
      <w:tr w14:paraId="7F46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16BA26D3">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45F5795A">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1EF06DA4">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494242D0">
            <w:pPr>
              <w:numPr>
                <w:ilvl w:val="0"/>
                <w:numId w:val="4"/>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对本项目</w:t>
            </w:r>
            <w:r>
              <w:rPr>
                <w:rFonts w:hint="eastAsia" w:ascii="仿宋" w:hAnsi="仿宋" w:eastAsia="仿宋" w:cs="仿宋"/>
                <w:color w:val="auto"/>
                <w:sz w:val="21"/>
                <w:szCs w:val="21"/>
                <w:highlight w:val="none"/>
                <w:lang w:eastAsia="zh-CN"/>
              </w:rPr>
              <w:t>资金管理，资金进行统一归集、统一支付、统一调度、统一核算</w:t>
            </w:r>
            <w:r>
              <w:rPr>
                <w:rFonts w:hint="eastAsia" w:ascii="仿宋" w:hAnsi="仿宋" w:eastAsia="仿宋" w:cs="仿宋"/>
                <w:color w:val="auto"/>
                <w:sz w:val="21"/>
                <w:szCs w:val="21"/>
                <w:highlight w:val="none"/>
                <w:lang w:val="en-US" w:eastAsia="zh-CN"/>
              </w:rPr>
              <w:t>方案（满分5分）</w:t>
            </w:r>
          </w:p>
          <w:p w14:paraId="6C2CB73F">
            <w:pPr>
              <w:numPr>
                <w:ilvl w:val="0"/>
                <w:numId w:val="0"/>
              </w:numPr>
              <w:spacing w:line="240" w:lineRule="auto"/>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78FA7842">
            <w:pPr>
              <w:spacing w:line="280" w:lineRule="exact"/>
              <w:rPr>
                <w:rFonts w:hint="eastAsia" w:ascii="仿宋" w:hAnsi="仿宋" w:eastAsia="仿宋" w:cs="仿宋"/>
                <w:color w:val="auto"/>
                <w:sz w:val="21"/>
                <w:szCs w:val="21"/>
                <w:highlight w:val="none"/>
                <w:lang w:eastAsia="zh-CN"/>
              </w:rPr>
            </w:pPr>
          </w:p>
        </w:tc>
      </w:tr>
      <w:tr w14:paraId="6D66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003E7177">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709EB053">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03A7B14F">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2997CE8E">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对本项目资金的</w:t>
            </w:r>
            <w:r>
              <w:rPr>
                <w:rFonts w:hint="eastAsia" w:ascii="仿宋" w:hAnsi="仿宋" w:eastAsia="仿宋" w:cs="仿宋"/>
                <w:color w:val="auto"/>
                <w:sz w:val="21"/>
                <w:szCs w:val="21"/>
                <w:highlight w:val="none"/>
                <w:lang w:eastAsia="zh-CN"/>
              </w:rPr>
              <w:t>预警机制，确保资金的安全</w:t>
            </w:r>
            <w:r>
              <w:rPr>
                <w:rFonts w:hint="eastAsia" w:ascii="仿宋" w:hAnsi="仿宋" w:eastAsia="仿宋" w:cs="仿宋"/>
                <w:color w:val="auto"/>
                <w:sz w:val="21"/>
                <w:szCs w:val="21"/>
                <w:highlight w:val="none"/>
                <w:lang w:val="en-US" w:eastAsia="zh-CN"/>
              </w:rPr>
              <w:t>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（满分5分）</w:t>
            </w:r>
          </w:p>
          <w:p w14:paraId="4C9F7809">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1403DB60">
            <w:pPr>
              <w:spacing w:line="280" w:lineRule="exact"/>
              <w:rPr>
                <w:rFonts w:hint="eastAsia" w:ascii="仿宋" w:hAnsi="仿宋" w:eastAsia="仿宋" w:cs="仿宋"/>
                <w:color w:val="auto"/>
                <w:sz w:val="21"/>
                <w:szCs w:val="21"/>
                <w:highlight w:val="none"/>
                <w:lang w:eastAsia="zh-CN"/>
              </w:rPr>
            </w:pPr>
          </w:p>
        </w:tc>
      </w:tr>
      <w:tr w14:paraId="79B1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100EBB9F">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206FE4CE">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294CC03B">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18302C3E">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对本项目资金的</w:t>
            </w:r>
            <w:r>
              <w:rPr>
                <w:rFonts w:hint="eastAsia" w:ascii="仿宋" w:hAnsi="仿宋" w:eastAsia="仿宋" w:cs="仿宋"/>
                <w:color w:val="auto"/>
                <w:sz w:val="21"/>
                <w:szCs w:val="21"/>
                <w:highlight w:val="none"/>
                <w:lang w:eastAsia="zh-CN"/>
              </w:rPr>
              <w:t>风险</w:t>
            </w:r>
            <w:r>
              <w:rPr>
                <w:rFonts w:hint="eastAsia" w:ascii="仿宋" w:hAnsi="仿宋" w:eastAsia="仿宋" w:cs="仿宋"/>
                <w:color w:val="auto"/>
                <w:sz w:val="21"/>
                <w:szCs w:val="21"/>
                <w:highlight w:val="none"/>
                <w:lang w:val="en-US" w:eastAsia="zh-CN"/>
              </w:rPr>
              <w:t>控制方案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（满分5分）</w:t>
            </w:r>
          </w:p>
          <w:p w14:paraId="6D39AC35">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346A0DE2">
            <w:pPr>
              <w:spacing w:line="280" w:lineRule="exact"/>
              <w:rPr>
                <w:rFonts w:hint="eastAsia" w:ascii="仿宋" w:hAnsi="仿宋" w:eastAsia="仿宋" w:cs="仿宋"/>
                <w:color w:val="auto"/>
                <w:sz w:val="21"/>
                <w:szCs w:val="21"/>
                <w:highlight w:val="none"/>
                <w:lang w:eastAsia="zh-CN"/>
              </w:rPr>
            </w:pPr>
          </w:p>
        </w:tc>
      </w:tr>
      <w:tr w14:paraId="3C64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4B4FC116">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60755248">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766BAF7F">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6099230A">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对本项目建立的数据分析方案；（满分5分）</w:t>
            </w:r>
          </w:p>
          <w:p w14:paraId="64682992">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1DF0EFEA">
            <w:pPr>
              <w:spacing w:line="280" w:lineRule="exact"/>
              <w:rPr>
                <w:rFonts w:hint="eastAsia" w:ascii="仿宋" w:hAnsi="仿宋" w:eastAsia="仿宋" w:cs="仿宋"/>
                <w:color w:val="auto"/>
                <w:sz w:val="21"/>
                <w:szCs w:val="21"/>
                <w:highlight w:val="none"/>
                <w:lang w:eastAsia="zh-CN"/>
              </w:rPr>
            </w:pPr>
          </w:p>
        </w:tc>
      </w:tr>
      <w:tr w14:paraId="2B59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33025127">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28024564">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75252244">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164F5112">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对本项目的日常考核方案；（满分5分）</w:t>
            </w:r>
          </w:p>
          <w:p w14:paraId="27B2F055">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55AB81BF">
            <w:pPr>
              <w:spacing w:line="280" w:lineRule="exact"/>
              <w:rPr>
                <w:rFonts w:hint="eastAsia" w:ascii="仿宋" w:hAnsi="仿宋" w:eastAsia="仿宋" w:cs="仿宋"/>
                <w:color w:val="auto"/>
                <w:sz w:val="21"/>
                <w:szCs w:val="21"/>
                <w:highlight w:val="none"/>
                <w:lang w:eastAsia="zh-CN"/>
              </w:rPr>
            </w:pPr>
          </w:p>
        </w:tc>
      </w:tr>
      <w:tr w14:paraId="2BF5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256A9D31">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0DDE87B5">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0B4ADAE5">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66063105">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对本项目的服务质量方案；（满分5分）</w:t>
            </w:r>
          </w:p>
          <w:p w14:paraId="6774BD88">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53B7DDF1">
            <w:pPr>
              <w:spacing w:line="280" w:lineRule="exact"/>
              <w:rPr>
                <w:rFonts w:hint="eastAsia" w:ascii="仿宋" w:hAnsi="仿宋" w:eastAsia="仿宋" w:cs="仿宋"/>
                <w:color w:val="auto"/>
                <w:sz w:val="21"/>
                <w:szCs w:val="21"/>
                <w:highlight w:val="none"/>
                <w:lang w:eastAsia="zh-CN"/>
              </w:rPr>
            </w:pPr>
          </w:p>
        </w:tc>
      </w:tr>
      <w:tr w14:paraId="688B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744BB965">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33E5338C">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49FAD664">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2EBA0425">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对本项目的投诉处理考核方案；（满分5分）</w:t>
            </w:r>
          </w:p>
          <w:p w14:paraId="430FA1DC">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67AF5A74">
            <w:pPr>
              <w:spacing w:line="280" w:lineRule="exact"/>
              <w:rPr>
                <w:rFonts w:hint="eastAsia" w:ascii="仿宋" w:hAnsi="仿宋" w:eastAsia="仿宋" w:cs="仿宋"/>
                <w:color w:val="auto"/>
                <w:sz w:val="21"/>
                <w:szCs w:val="21"/>
                <w:highlight w:val="none"/>
                <w:lang w:eastAsia="zh-CN"/>
              </w:rPr>
            </w:pPr>
          </w:p>
        </w:tc>
      </w:tr>
      <w:tr w14:paraId="1DD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4BFC5C15">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447EAC25">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7649EB3D">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6F66C763">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对本项目委派专人服务事项方案；（满分5分）</w:t>
            </w:r>
          </w:p>
          <w:p w14:paraId="0B610C9F">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79D7096A">
            <w:pPr>
              <w:spacing w:line="280" w:lineRule="exact"/>
              <w:rPr>
                <w:rFonts w:hint="eastAsia" w:ascii="仿宋" w:hAnsi="仿宋" w:eastAsia="仿宋" w:cs="仿宋"/>
                <w:color w:val="auto"/>
                <w:sz w:val="21"/>
                <w:szCs w:val="21"/>
                <w:highlight w:val="none"/>
                <w:lang w:eastAsia="zh-CN"/>
              </w:rPr>
            </w:pPr>
          </w:p>
        </w:tc>
      </w:tr>
      <w:tr w14:paraId="36CD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1" w:type="dxa"/>
            <w:vMerge w:val="continue"/>
            <w:vAlign w:val="center"/>
          </w:tcPr>
          <w:p w14:paraId="5C8869B3">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68A1806D">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6C584AD9">
            <w:pPr>
              <w:spacing w:line="280" w:lineRule="exact"/>
              <w:ind w:firstLine="28"/>
              <w:jc w:val="center"/>
              <w:rPr>
                <w:rFonts w:hint="eastAsia" w:ascii="仿宋" w:hAnsi="仿宋" w:eastAsia="仿宋" w:cs="仿宋"/>
                <w:b w:val="0"/>
                <w:bCs w:val="0"/>
                <w:color w:val="auto"/>
                <w:kern w:val="0"/>
                <w:sz w:val="21"/>
                <w:szCs w:val="21"/>
                <w:highlight w:val="none"/>
                <w:lang w:val="en-US" w:eastAsia="zh-CN"/>
              </w:rPr>
            </w:pPr>
          </w:p>
        </w:tc>
        <w:tc>
          <w:tcPr>
            <w:tcW w:w="4182" w:type="dxa"/>
            <w:vAlign w:val="center"/>
          </w:tcPr>
          <w:p w14:paraId="0A131B66">
            <w:pPr>
              <w:numPr>
                <w:ilvl w:val="0"/>
                <w:numId w:val="4"/>
              </w:num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对本项目的突发应急资金处理方案。（满分5分）</w:t>
            </w:r>
          </w:p>
          <w:p w14:paraId="3387B496">
            <w:pPr>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评审要求：方案内容不存在瑕疵得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分；方案内容存在1处瑕疵得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分；方案内容存在2处瑕疵得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分；方案内容存在3处瑕疵得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分；方案内容存在4处瑕疵得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分；方案内容存在5处及以上瑕疵的或未提供得0分。</w:t>
            </w:r>
          </w:p>
        </w:tc>
        <w:tc>
          <w:tcPr>
            <w:tcW w:w="2469" w:type="dxa"/>
            <w:vMerge w:val="continue"/>
            <w:vAlign w:val="center"/>
          </w:tcPr>
          <w:p w14:paraId="6AD07D74">
            <w:pPr>
              <w:spacing w:line="280" w:lineRule="exact"/>
              <w:rPr>
                <w:rFonts w:hint="eastAsia" w:ascii="仿宋" w:hAnsi="仿宋" w:eastAsia="仿宋" w:cs="仿宋"/>
                <w:color w:val="auto"/>
                <w:sz w:val="21"/>
                <w:szCs w:val="21"/>
                <w:highlight w:val="none"/>
                <w:lang w:eastAsia="zh-CN"/>
              </w:rPr>
            </w:pPr>
          </w:p>
        </w:tc>
      </w:tr>
      <w:tr w14:paraId="2410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1" w:type="dxa"/>
            <w:vMerge w:val="restart"/>
            <w:vAlign w:val="center"/>
          </w:tcPr>
          <w:p w14:paraId="5D1E7EBC">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p w14:paraId="75D539CC">
            <w:pPr>
              <w:spacing w:line="280" w:lineRule="exact"/>
              <w:ind w:firstLine="28"/>
              <w:jc w:val="center"/>
              <w:rPr>
                <w:rFonts w:hint="eastAsia" w:ascii="仿宋" w:hAnsi="仿宋" w:eastAsia="仿宋" w:cs="仿宋"/>
                <w:color w:val="auto"/>
                <w:sz w:val="21"/>
                <w:szCs w:val="21"/>
                <w:highlight w:val="none"/>
              </w:rPr>
            </w:pPr>
          </w:p>
        </w:tc>
        <w:tc>
          <w:tcPr>
            <w:tcW w:w="1135" w:type="dxa"/>
            <w:vMerge w:val="restart"/>
            <w:vAlign w:val="center"/>
          </w:tcPr>
          <w:p w14:paraId="70A6810F">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p w14:paraId="035CED7A">
            <w:pPr>
              <w:spacing w:line="280" w:lineRule="exact"/>
              <w:ind w:firstLine="28"/>
              <w:jc w:val="center"/>
              <w:rPr>
                <w:rFonts w:hint="eastAsia" w:ascii="仿宋" w:hAnsi="仿宋" w:eastAsia="仿宋" w:cs="仿宋"/>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20</w:t>
            </w:r>
            <w:r>
              <w:rPr>
                <w:rFonts w:hint="eastAsia" w:ascii="仿宋" w:hAnsi="仿宋" w:eastAsia="仿宋" w:cs="仿宋"/>
                <w:b w:val="0"/>
                <w:bCs w:val="0"/>
                <w:color w:val="auto"/>
                <w:sz w:val="21"/>
                <w:szCs w:val="21"/>
                <w:highlight w:val="none"/>
              </w:rPr>
              <w:t>%）</w:t>
            </w:r>
          </w:p>
        </w:tc>
        <w:tc>
          <w:tcPr>
            <w:tcW w:w="1249" w:type="dxa"/>
            <w:vMerge w:val="restart"/>
            <w:vAlign w:val="center"/>
          </w:tcPr>
          <w:p w14:paraId="623122FA">
            <w:pPr>
              <w:spacing w:line="280" w:lineRule="exact"/>
              <w:ind w:firstLine="28"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支持地方经济发展（</w:t>
            </w:r>
            <w:r>
              <w:rPr>
                <w:rFonts w:hint="eastAsia" w:ascii="仿宋" w:hAnsi="仿宋" w:eastAsia="仿宋" w:cs="仿宋"/>
                <w:color w:val="auto"/>
                <w:sz w:val="21"/>
                <w:szCs w:val="21"/>
                <w:highlight w:val="none"/>
                <w:lang w:val="en-US" w:eastAsia="zh-CN"/>
              </w:rPr>
              <w:t>20分</w:t>
            </w:r>
            <w:r>
              <w:rPr>
                <w:rFonts w:hint="eastAsia" w:ascii="仿宋" w:hAnsi="仿宋" w:eastAsia="仿宋" w:cs="仿宋"/>
                <w:color w:val="auto"/>
                <w:sz w:val="21"/>
                <w:szCs w:val="21"/>
                <w:highlight w:val="none"/>
                <w:lang w:eastAsia="zh-CN"/>
              </w:rPr>
              <w:t>）</w:t>
            </w:r>
          </w:p>
        </w:tc>
        <w:tc>
          <w:tcPr>
            <w:tcW w:w="4182" w:type="dxa"/>
            <w:vAlign w:val="center"/>
          </w:tcPr>
          <w:p w14:paraId="104F62D2">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区域税收贡献（5分）</w:t>
            </w:r>
          </w:p>
          <w:p w14:paraId="2FB0DBE3">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2024-2025年近2年区域税收贡献增量由高到低排名。</w:t>
            </w:r>
          </w:p>
          <w:p w14:paraId="01D284C9">
            <w:pPr>
              <w:spacing w:line="280" w:lineRule="exac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第一名得5分；第二名得4.5分，第三名得4分，第四名得3.5分；第五名得3分；依次按0.5分递减类推。</w:t>
            </w:r>
          </w:p>
        </w:tc>
        <w:tc>
          <w:tcPr>
            <w:tcW w:w="2469" w:type="dxa"/>
            <w:vAlign w:val="center"/>
          </w:tcPr>
          <w:p w14:paraId="07AD24BC">
            <w:pPr>
              <w:spacing w:line="280" w:lineRule="exac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在投标文件中提供增值税、企业所得税、印花税纳税凭证，加盖投标人鲜章。投标人营业执照地址在大渡口区的，提供自身的纳税凭证；投标人营业执照地址不在大渡口的，提供驻大渡口区分支机构的纳税凭证。</w:t>
            </w:r>
          </w:p>
        </w:tc>
      </w:tr>
      <w:tr w14:paraId="56F8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14:paraId="6750977F">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311A79BB">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617F36B1">
            <w:pPr>
              <w:spacing w:line="280" w:lineRule="exact"/>
              <w:ind w:firstLine="28" w:firstLineChars="0"/>
              <w:jc w:val="center"/>
              <w:rPr>
                <w:rFonts w:hint="eastAsia" w:ascii="仿宋" w:hAnsi="仿宋" w:eastAsia="仿宋" w:cs="仿宋"/>
                <w:color w:val="auto"/>
                <w:sz w:val="21"/>
                <w:szCs w:val="21"/>
                <w:highlight w:val="none"/>
                <w:lang w:eastAsia="zh-CN"/>
              </w:rPr>
            </w:pPr>
          </w:p>
        </w:tc>
        <w:tc>
          <w:tcPr>
            <w:tcW w:w="4182" w:type="dxa"/>
            <w:vAlign w:val="center"/>
          </w:tcPr>
          <w:p w14:paraId="09B36DC3">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截止2026年3月31日大渡口区属国有企业融资余额（6分）</w:t>
            </w:r>
          </w:p>
          <w:p w14:paraId="595D8C02">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按对大渡口区属国有企业融资余额由高到低排名。</w:t>
            </w:r>
          </w:p>
          <w:p w14:paraId="0FAD5731">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第一名得6分；第二名得5.5分，第三名得5分，第四名得4.5分；第五名得4分；依次按0.5分递减类推。</w:t>
            </w:r>
          </w:p>
        </w:tc>
        <w:tc>
          <w:tcPr>
            <w:tcW w:w="2469" w:type="dxa"/>
            <w:vAlign w:val="center"/>
          </w:tcPr>
          <w:p w14:paraId="3225D3AA">
            <w:pPr>
              <w:spacing w:line="280" w:lineRule="exac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投标人在投标文件中提供大渡口区属国有企业出具的数据证明材料</w:t>
            </w:r>
          </w:p>
        </w:tc>
      </w:tr>
      <w:tr w14:paraId="6B7C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Merge w:val="continue"/>
            <w:vAlign w:val="center"/>
          </w:tcPr>
          <w:p w14:paraId="401C39F0">
            <w:pPr>
              <w:spacing w:line="280" w:lineRule="exact"/>
              <w:ind w:firstLine="28"/>
              <w:jc w:val="center"/>
              <w:rPr>
                <w:rFonts w:hint="eastAsia" w:ascii="仿宋" w:hAnsi="仿宋" w:eastAsia="仿宋" w:cs="仿宋"/>
                <w:color w:val="auto"/>
                <w:sz w:val="21"/>
                <w:szCs w:val="21"/>
                <w:highlight w:val="none"/>
              </w:rPr>
            </w:pPr>
          </w:p>
        </w:tc>
        <w:tc>
          <w:tcPr>
            <w:tcW w:w="1135" w:type="dxa"/>
            <w:vMerge w:val="continue"/>
            <w:vAlign w:val="center"/>
          </w:tcPr>
          <w:p w14:paraId="567E5D53">
            <w:pPr>
              <w:spacing w:line="280" w:lineRule="exact"/>
              <w:ind w:firstLine="28"/>
              <w:jc w:val="center"/>
              <w:rPr>
                <w:rFonts w:hint="eastAsia" w:ascii="仿宋" w:hAnsi="仿宋" w:eastAsia="仿宋" w:cs="仿宋"/>
                <w:b w:val="0"/>
                <w:bCs w:val="0"/>
                <w:color w:val="auto"/>
                <w:sz w:val="21"/>
                <w:szCs w:val="21"/>
                <w:highlight w:val="none"/>
              </w:rPr>
            </w:pPr>
          </w:p>
        </w:tc>
        <w:tc>
          <w:tcPr>
            <w:tcW w:w="1249" w:type="dxa"/>
            <w:vMerge w:val="continue"/>
            <w:vAlign w:val="center"/>
          </w:tcPr>
          <w:p w14:paraId="05FF149B">
            <w:pPr>
              <w:spacing w:line="280" w:lineRule="exact"/>
              <w:ind w:firstLine="28" w:firstLineChars="0"/>
              <w:jc w:val="center"/>
              <w:rPr>
                <w:rFonts w:hint="eastAsia" w:ascii="仿宋" w:hAnsi="仿宋" w:eastAsia="仿宋" w:cs="仿宋"/>
                <w:color w:val="auto"/>
                <w:sz w:val="21"/>
                <w:szCs w:val="21"/>
                <w:highlight w:val="none"/>
                <w:lang w:eastAsia="zh-CN"/>
              </w:rPr>
            </w:pPr>
          </w:p>
        </w:tc>
        <w:tc>
          <w:tcPr>
            <w:tcW w:w="4182" w:type="dxa"/>
            <w:vAlign w:val="center"/>
          </w:tcPr>
          <w:p w14:paraId="30A1ECB1">
            <w:pPr>
              <w:pStyle w:val="1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2024-2025年近2年对大渡口区属国有企业融资增量（9分）  </w:t>
            </w:r>
          </w:p>
          <w:p w14:paraId="6E2D662F">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按对大渡口区属国有企业融增量由高到低排名</w:t>
            </w:r>
          </w:p>
          <w:p w14:paraId="0E7111AD">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第一名得9分；第二名得8.5分，第三名得8分，第四名得7.5分；第五名得7分；依次按0.5分递减类推（无增量得0分）</w:t>
            </w:r>
          </w:p>
        </w:tc>
        <w:tc>
          <w:tcPr>
            <w:tcW w:w="2469" w:type="dxa"/>
            <w:vAlign w:val="center"/>
          </w:tcPr>
          <w:p w14:paraId="2F3AB15D">
            <w:pPr>
              <w:spacing w:line="28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投标人在投标文件中提供大渡口区属国有企业出具的数据证明材料</w:t>
            </w:r>
          </w:p>
        </w:tc>
      </w:tr>
    </w:tbl>
    <w:p w14:paraId="5F70C4B9">
      <w:pPr>
        <w:pageBreakBefore w:val="0"/>
        <w:widowControl w:val="0"/>
        <w:kinsoku/>
        <w:wordWrap/>
        <w:overflowPunct/>
        <w:topLinePunct w:val="0"/>
        <w:autoSpaceDE/>
        <w:autoSpaceDN/>
        <w:bidi w:val="0"/>
        <w:snapToGri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eastAsia="zh-CN"/>
        </w:rPr>
        <w:t>以上评审计算保留小数点后两位。</w:t>
      </w:r>
    </w:p>
    <w:p w14:paraId="2F70FD27">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69" w:name="_Toc144480590"/>
      <w:bookmarkStart w:id="70" w:name="_Toc149559694"/>
      <w:bookmarkStart w:id="71" w:name="_Toc29988"/>
      <w:bookmarkStart w:id="72" w:name="_Toc30131"/>
      <w:bookmarkStart w:id="73" w:name="_Toc76387246"/>
      <w:r>
        <w:rPr>
          <w:rFonts w:hint="eastAsia" w:ascii="仿宋" w:hAnsi="仿宋" w:eastAsia="仿宋" w:cs="仿宋"/>
          <w:b/>
          <w:color w:val="auto"/>
          <w:sz w:val="24"/>
          <w:highlight w:val="none"/>
        </w:rPr>
        <w:t>四、无效投标条款</w:t>
      </w:r>
      <w:bookmarkEnd w:id="69"/>
      <w:bookmarkEnd w:id="70"/>
      <w:bookmarkEnd w:id="71"/>
      <w:bookmarkEnd w:id="72"/>
      <w:bookmarkEnd w:id="73"/>
    </w:p>
    <w:p w14:paraId="547A0ED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投标人或其投标文件出现下列情况之一者，应为无效投标：</w:t>
      </w:r>
    </w:p>
    <w:p w14:paraId="243946C0">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（一）未按照招标文件的规定提交投标保证金的；</w:t>
      </w:r>
    </w:p>
    <w:p w14:paraId="426485D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（二）投标文件未按招标文件要求签署、盖章的；</w:t>
      </w:r>
    </w:p>
    <w:p w14:paraId="2BEF3CD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（三）不具备招标文件中规定的资格要求的；</w:t>
      </w:r>
    </w:p>
    <w:p w14:paraId="58802CC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（四）报价超过招标文件中规定的预算金额或者最高限价的；</w:t>
      </w:r>
    </w:p>
    <w:p w14:paraId="1905221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（五）投标文件含有</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不能接受的附加条件的；</w:t>
      </w:r>
    </w:p>
    <w:p w14:paraId="7E4C25C0">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（六）投标人串通投标的；</w:t>
      </w:r>
    </w:p>
    <w:p w14:paraId="6B4EA36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（七）法律、法规和招标文件规定的其他无效情形。</w:t>
      </w:r>
    </w:p>
    <w:p w14:paraId="5682B36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74" w:name="_Toc76387247"/>
      <w:bookmarkStart w:id="75" w:name="_Toc27480"/>
      <w:bookmarkStart w:id="76" w:name="_Toc149559695"/>
      <w:bookmarkStart w:id="77" w:name="_Toc20790"/>
      <w:bookmarkStart w:id="78" w:name="_Toc7000"/>
      <w:r>
        <w:rPr>
          <w:rFonts w:hint="eastAsia" w:ascii="仿宋" w:hAnsi="仿宋" w:eastAsia="仿宋" w:cs="仿宋"/>
          <w:b/>
          <w:color w:val="auto"/>
          <w:sz w:val="24"/>
          <w:highlight w:val="none"/>
        </w:rPr>
        <w:t>五、废标条款</w:t>
      </w:r>
      <w:bookmarkEnd w:id="74"/>
      <w:bookmarkEnd w:id="75"/>
      <w:bookmarkEnd w:id="76"/>
      <w:bookmarkEnd w:id="77"/>
      <w:bookmarkEnd w:id="78"/>
    </w:p>
    <w:p w14:paraId="4A316F5A">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在招标采购中，出现下列情形之一的，应予废标：</w:t>
      </w:r>
    </w:p>
    <w:p w14:paraId="18CB931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（一）符合专业条件的投标人或者对招标文件作实质响应的投标人不足三家的；</w:t>
      </w:r>
    </w:p>
    <w:p w14:paraId="1BE88DD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（二）投标人的报价均超过了采购预算，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不能支付的；</w:t>
      </w:r>
    </w:p>
    <w:p w14:paraId="610D80C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（三）出现影响采购公正的违法、违规行为的；</w:t>
      </w:r>
    </w:p>
    <w:p w14:paraId="7C5EED2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（四）因重大变故，采购任务取消的。</w:t>
      </w:r>
    </w:p>
    <w:p w14:paraId="32A9B0C4">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废标后，除采购任务取消情形外，应当重新组织采购。</w:t>
      </w:r>
    </w:p>
    <w:p w14:paraId="3327655F">
      <w:pPr>
        <w:widowControl/>
        <w:spacing w:line="360" w:lineRule="auto"/>
        <w:jc w:val="left"/>
        <w:rPr>
          <w:rFonts w:hint="eastAsia" w:ascii="仿宋" w:hAnsi="仿宋" w:eastAsia="仿宋" w:cs="仿宋"/>
          <w:b/>
          <w:color w:val="auto"/>
          <w:kern w:val="0"/>
          <w:sz w:val="36"/>
          <w:szCs w:val="36"/>
          <w:highlight w:val="none"/>
        </w:rPr>
      </w:pPr>
      <w:bookmarkStart w:id="79" w:name="_Toc76387248"/>
      <w:bookmarkStart w:id="80" w:name="_Toc15053"/>
      <w:r>
        <w:rPr>
          <w:rFonts w:hint="eastAsia" w:ascii="仿宋" w:hAnsi="仿宋" w:eastAsia="仿宋" w:cs="仿宋"/>
          <w:b/>
          <w:color w:val="auto"/>
          <w:sz w:val="36"/>
          <w:szCs w:val="36"/>
          <w:highlight w:val="none"/>
        </w:rPr>
        <w:br w:type="page"/>
      </w:r>
    </w:p>
    <w:p w14:paraId="714BE904">
      <w:pPr>
        <w:pStyle w:val="2"/>
        <w:spacing w:beforeLines="0" w:afterLines="0" w:line="360" w:lineRule="auto"/>
        <w:rPr>
          <w:rFonts w:hint="eastAsia" w:ascii="仿宋" w:hAnsi="仿宋" w:eastAsia="仿宋" w:cs="仿宋"/>
          <w:b/>
          <w:color w:val="auto"/>
          <w:sz w:val="36"/>
          <w:szCs w:val="36"/>
          <w:highlight w:val="none"/>
        </w:rPr>
      </w:pPr>
      <w:bookmarkStart w:id="81" w:name="_Toc4786"/>
      <w:r>
        <w:rPr>
          <w:rFonts w:hint="eastAsia" w:ascii="仿宋" w:hAnsi="仿宋" w:eastAsia="仿宋" w:cs="仿宋"/>
          <w:b/>
          <w:color w:val="auto"/>
          <w:sz w:val="36"/>
          <w:szCs w:val="36"/>
          <w:highlight w:val="none"/>
        </w:rPr>
        <w:t>第五篇  投标人须知</w:t>
      </w:r>
      <w:bookmarkEnd w:id="79"/>
      <w:bookmarkEnd w:id="80"/>
      <w:bookmarkEnd w:id="81"/>
    </w:p>
    <w:p w14:paraId="4182BDB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82" w:name="_Toc501"/>
      <w:bookmarkStart w:id="83" w:name="_Toc76387249"/>
      <w:bookmarkStart w:id="84" w:name="_Toc6126"/>
      <w:r>
        <w:rPr>
          <w:rFonts w:hint="eastAsia" w:ascii="仿宋" w:hAnsi="仿宋" w:eastAsia="仿宋" w:cs="仿宋"/>
          <w:b/>
          <w:color w:val="auto"/>
          <w:sz w:val="24"/>
          <w:highlight w:val="none"/>
        </w:rPr>
        <w:t>一、投标人</w:t>
      </w:r>
      <w:bookmarkEnd w:id="82"/>
      <w:bookmarkEnd w:id="83"/>
      <w:bookmarkEnd w:id="84"/>
    </w:p>
    <w:p w14:paraId="2AB92542">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bookmarkStart w:id="85" w:name="_Toc688"/>
      <w:bookmarkStart w:id="86" w:name="_Toc76387261"/>
      <w:r>
        <w:rPr>
          <w:rFonts w:hint="eastAsia" w:ascii="仿宋" w:hAnsi="仿宋" w:eastAsia="仿宋" w:cs="仿宋"/>
          <w:color w:val="auto"/>
          <w:sz w:val="24"/>
          <w:highlight w:val="none"/>
        </w:rPr>
        <w:t>（一）投标人</w:t>
      </w:r>
    </w:p>
    <w:p w14:paraId="0AD2A2A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投标人是指响应招标、参加投标竞争的法人、其他组织或者自然人。</w:t>
      </w:r>
    </w:p>
    <w:p w14:paraId="0F8C0554">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（二）合格投标人条件</w:t>
      </w:r>
    </w:p>
    <w:p w14:paraId="5EF0AF1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合格投标人应完全符合招标文件第一篇中规定的投标人资格条件，并对招标文件作出实质性响应。</w:t>
      </w:r>
    </w:p>
    <w:p w14:paraId="0D40A468">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（三）投标人的风险</w:t>
      </w:r>
    </w:p>
    <w:p w14:paraId="128084C7">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投标人没有按照招标文件要求提供全部资料，或者投标人没有对招标文件在各方面作出实质性响应，可能导致投标被拒绝或评定为无效投标。</w:t>
      </w:r>
    </w:p>
    <w:p w14:paraId="1CEAF56C">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（四）法律责任</w:t>
      </w:r>
    </w:p>
    <w:p w14:paraId="25A73F3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投标人违反《中华人民共和国</w:t>
      </w:r>
      <w:r>
        <w:rPr>
          <w:rFonts w:hint="eastAsia" w:ascii="仿宋" w:hAnsi="仿宋" w:eastAsia="仿宋" w:cs="仿宋"/>
          <w:color w:val="auto"/>
          <w:sz w:val="24"/>
          <w:highlight w:val="none"/>
          <w:lang w:val="en-US" w:eastAsia="zh-CN"/>
        </w:rPr>
        <w:t>招标投标</w:t>
      </w:r>
      <w:r>
        <w:rPr>
          <w:rFonts w:hint="eastAsia" w:ascii="仿宋" w:hAnsi="仿宋" w:eastAsia="仿宋" w:cs="仿宋"/>
          <w:color w:val="auto"/>
          <w:sz w:val="24"/>
          <w:highlight w:val="none"/>
        </w:rPr>
        <w:t>法》《中华人民共和国</w:t>
      </w:r>
      <w:r>
        <w:rPr>
          <w:rFonts w:hint="eastAsia" w:ascii="仿宋" w:hAnsi="仿宋" w:eastAsia="仿宋" w:cs="仿宋"/>
          <w:color w:val="auto"/>
          <w:sz w:val="24"/>
          <w:highlight w:val="none"/>
          <w:lang w:val="en-US" w:eastAsia="zh-CN"/>
        </w:rPr>
        <w:t>招标投标</w:t>
      </w:r>
      <w:r>
        <w:rPr>
          <w:rFonts w:hint="eastAsia" w:ascii="仿宋" w:hAnsi="仿宋" w:eastAsia="仿宋" w:cs="仿宋"/>
          <w:color w:val="auto"/>
          <w:sz w:val="24"/>
          <w:highlight w:val="none"/>
        </w:rPr>
        <w:t>法实施条例》等相关规定，将按规定追究投标人法律责任。</w:t>
      </w:r>
    </w:p>
    <w:p w14:paraId="426DAB62">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87" w:name="_Toc149559698"/>
      <w:bookmarkStart w:id="88" w:name="_Toc76387250"/>
      <w:bookmarkStart w:id="89" w:name="_Toc14594"/>
      <w:bookmarkStart w:id="90" w:name="_Toc18853"/>
      <w:bookmarkStart w:id="91" w:name="_Toc144480594"/>
      <w:r>
        <w:rPr>
          <w:rFonts w:hint="eastAsia" w:ascii="仿宋" w:hAnsi="仿宋" w:eastAsia="仿宋" w:cs="仿宋"/>
          <w:b/>
          <w:color w:val="auto"/>
          <w:sz w:val="24"/>
          <w:highlight w:val="none"/>
        </w:rPr>
        <w:t>二、招标文件</w:t>
      </w:r>
      <w:bookmarkEnd w:id="87"/>
      <w:bookmarkEnd w:id="88"/>
      <w:bookmarkEnd w:id="89"/>
      <w:bookmarkEnd w:id="90"/>
      <w:bookmarkEnd w:id="91"/>
    </w:p>
    <w:p w14:paraId="7521EE1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招标文件是投标人编制投标文件的依据，是评标委员会评判依据和标准。招标文件也是</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与中标人签订合同的基础。</w:t>
      </w:r>
    </w:p>
    <w:p w14:paraId="165D877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（一）招标文件由投标邀请书；项目服务需求；项目商务需求；投标人须知；评标方法、评标标准、无效投标条款和废标条款；合同主要条款、合同范本；投标文件格式等七部分组成。</w:t>
      </w:r>
    </w:p>
    <w:p w14:paraId="6DE3014E">
      <w:pPr>
        <w:pageBreakBefore w:val="0"/>
        <w:widowControl w:val="0"/>
        <w:kinsoku/>
        <w:wordWrap/>
        <w:overflowPunct/>
        <w:topLinePunct w:val="0"/>
        <w:autoSpaceDE/>
        <w:autoSpaceDN/>
        <w:bidi w:val="0"/>
        <w:snapToGrid/>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（二）</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对招标文件所作的一切有效的书面通知、修改及补充，都是招标文件不可分割的部分。</w:t>
      </w:r>
    </w:p>
    <w:p w14:paraId="724DD2F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对已发出的招标文件需要进行澄清或修改的，应以书面形式或公告形式通知所有招标文件收受人。该澄清或者修改的内容为招标文件的组成部分。</w:t>
      </w:r>
    </w:p>
    <w:p w14:paraId="18BF8625">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92" w:name="_Toc8669"/>
      <w:bookmarkStart w:id="93" w:name="_Toc144480595"/>
      <w:bookmarkStart w:id="94" w:name="_Toc76387251"/>
      <w:bookmarkStart w:id="95" w:name="_Toc149559699"/>
      <w:bookmarkStart w:id="96" w:name="_Toc11155"/>
      <w:r>
        <w:rPr>
          <w:rFonts w:hint="eastAsia" w:ascii="仿宋" w:hAnsi="仿宋" w:eastAsia="仿宋" w:cs="仿宋"/>
          <w:b/>
          <w:color w:val="auto"/>
          <w:sz w:val="24"/>
          <w:highlight w:val="none"/>
        </w:rPr>
        <w:t>三、投标文件</w:t>
      </w:r>
      <w:bookmarkEnd w:id="92"/>
      <w:bookmarkEnd w:id="93"/>
      <w:bookmarkEnd w:id="94"/>
      <w:bookmarkEnd w:id="95"/>
      <w:bookmarkEnd w:id="96"/>
    </w:p>
    <w:p w14:paraId="4214F9F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投标人应当按照招标文件的要求编制投标文件，并对招标文件提出的要求和条件作出实质性响应，投标文件原则上采用软面订本，同时应编制完整的页码、目录。</w:t>
      </w:r>
    </w:p>
    <w:p w14:paraId="66E6043E">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（一）投标文件组成</w:t>
      </w:r>
    </w:p>
    <w:p w14:paraId="71DD00AB">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 第七篇“投标文件格式”规定的部分和投标人所作的一切有效补充、修改和承诺等文件组成，投标人应按照第七篇“投标文件格式”规定的目录顺序组织编写和装订，否则有可能影响评委对投标文件的评审。</w:t>
      </w:r>
    </w:p>
    <w:p w14:paraId="4008450C">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（二）联合投标</w:t>
      </w:r>
    </w:p>
    <w:p w14:paraId="168AA890">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p w14:paraId="4A5C6361">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（三）投标有效期</w:t>
      </w:r>
    </w:p>
    <w:p w14:paraId="3B6BD8C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投标有效期为投标截止时间起90天。</w:t>
      </w:r>
    </w:p>
    <w:p w14:paraId="2F294737">
      <w:pPr>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（四）投标保证金</w:t>
      </w:r>
      <w:r>
        <w:rPr>
          <w:rFonts w:hint="eastAsia" w:ascii="仿宋" w:hAnsi="仿宋" w:eastAsia="仿宋" w:cs="仿宋"/>
          <w:color w:val="auto"/>
          <w:sz w:val="24"/>
          <w:highlight w:val="none"/>
          <w:lang w:eastAsia="zh-CN"/>
        </w:rPr>
        <w:t>：无</w:t>
      </w:r>
    </w:p>
    <w:p w14:paraId="259CD8A0">
      <w:pPr>
        <w:pageBreakBefore w:val="0"/>
        <w:widowControl w:val="0"/>
        <w:kinsoku/>
        <w:wordWrap/>
        <w:overflowPunct/>
        <w:topLinePunct w:val="0"/>
        <w:autoSpaceDE/>
        <w:autoSpaceDN/>
        <w:bidi w:val="0"/>
        <w:snapToGrid/>
        <w:spacing w:line="360" w:lineRule="auto"/>
        <w:ind w:firstLine="470" w:firstLineChars="196"/>
        <w:jc w:val="left"/>
        <w:textAlignment w:val="auto"/>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（五）投标文件的份数和签署</w:t>
      </w:r>
    </w:p>
    <w:p w14:paraId="260B3A8C">
      <w:pPr>
        <w:pageBreakBefore w:val="0"/>
        <w:widowControl w:val="0"/>
        <w:tabs>
          <w:tab w:val="left" w:pos="0"/>
        </w:tabs>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58153D73">
      <w:pPr>
        <w:pageBreakBefore w:val="0"/>
        <w:widowControl w:val="0"/>
        <w:tabs>
          <w:tab w:val="left" w:pos="0"/>
        </w:tabs>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2.在投标文件正本中，招标文件第七篇投标文件格式中规定签署、盖章的地方必须按其规定签署、盖章。</w:t>
      </w:r>
    </w:p>
    <w:p w14:paraId="4FB4EF26">
      <w:pPr>
        <w:pageBreakBefore w:val="0"/>
        <w:widowControl w:val="0"/>
        <w:tabs>
          <w:tab w:val="left" w:pos="0"/>
        </w:tabs>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3.若投标人对投标文件的错处作必要修改，则应在修改处加盖投标人公章或由</w:t>
      </w:r>
      <w:r>
        <w:rPr>
          <w:rFonts w:hint="eastAsia" w:ascii="仿宋" w:hAnsi="仿宋" w:eastAsia="仿宋" w:cs="仿宋"/>
          <w:color w:val="auto"/>
          <w:sz w:val="24"/>
          <w:szCs w:val="28"/>
          <w:highlight w:val="none"/>
        </w:rPr>
        <w:t>法定代表人（或其授权代表）或自然人（投标人为自然人）</w:t>
      </w:r>
      <w:r>
        <w:rPr>
          <w:rFonts w:hint="eastAsia" w:ascii="仿宋" w:hAnsi="仿宋" w:eastAsia="仿宋" w:cs="仿宋"/>
          <w:color w:val="auto"/>
          <w:sz w:val="24"/>
          <w:highlight w:val="none"/>
        </w:rPr>
        <w:t>签署确认。</w:t>
      </w:r>
    </w:p>
    <w:p w14:paraId="2B2121C9">
      <w:pPr>
        <w:pageBreakBefore w:val="0"/>
        <w:widowControl w:val="0"/>
        <w:kinsoku/>
        <w:wordWrap/>
        <w:overflowPunct/>
        <w:topLinePunct w:val="0"/>
        <w:autoSpaceDE/>
        <w:autoSpaceDN/>
        <w:bidi w:val="0"/>
        <w:snapToGrid/>
        <w:spacing w:line="360" w:lineRule="auto"/>
        <w:ind w:firstLine="470" w:firstLineChars="196"/>
        <w:jc w:val="left"/>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4.电报、电话、传真形式的投标文件概不接受。</w:t>
      </w:r>
    </w:p>
    <w:p w14:paraId="38F7A51A">
      <w:pPr>
        <w:pageBreakBefore w:val="0"/>
        <w:widowControl w:val="0"/>
        <w:kinsoku/>
        <w:wordWrap/>
        <w:overflowPunct/>
        <w:topLinePunct w:val="0"/>
        <w:autoSpaceDE/>
        <w:autoSpaceDN/>
        <w:bidi w:val="0"/>
        <w:snapToGrid/>
        <w:spacing w:line="360" w:lineRule="auto"/>
        <w:ind w:firstLine="470" w:firstLineChars="196"/>
        <w:jc w:val="left"/>
        <w:textAlignment w:val="auto"/>
        <w:outlineLvl w:val="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（六）投标报价</w:t>
      </w:r>
    </w:p>
    <w:p w14:paraId="5633C8EB">
      <w:pPr>
        <w:pageBreakBefore w:val="0"/>
        <w:widowControl w:val="0"/>
        <w:kinsoku/>
        <w:wordWrap/>
        <w:overflowPunct/>
        <w:topLinePunct w:val="0"/>
        <w:autoSpaceDE/>
        <w:autoSpaceDN/>
        <w:bidi w:val="0"/>
        <w:snapToGrid/>
        <w:spacing w:line="360" w:lineRule="auto"/>
        <w:ind w:firstLine="470" w:firstLineChars="196"/>
        <w:jc w:val="left"/>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1.投标人应严格按照“第七篇 投标文件格式”中“开标一览表”</w:t>
      </w:r>
      <w:r>
        <w:rPr>
          <w:rFonts w:hint="eastAsia" w:ascii="仿宋" w:hAnsi="仿宋" w:eastAsia="仿宋" w:cs="仿宋"/>
          <w:color w:val="auto"/>
          <w:sz w:val="24"/>
          <w:highlight w:val="none"/>
        </w:rPr>
        <w:t>的格式填写报价。</w:t>
      </w:r>
    </w:p>
    <w:p w14:paraId="218449A8">
      <w:pPr>
        <w:pageBreakBefore w:val="0"/>
        <w:widowControl w:val="0"/>
        <w:kinsoku/>
        <w:wordWrap/>
        <w:overflowPunct/>
        <w:topLinePunct w:val="0"/>
        <w:autoSpaceDE/>
        <w:autoSpaceDN/>
        <w:bidi w:val="0"/>
        <w:snapToGrid/>
        <w:spacing w:line="360" w:lineRule="auto"/>
        <w:ind w:left="2"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2.投标人的报价为一次性报价，即在投标有效期内投标价格固定不变。</w:t>
      </w:r>
    </w:p>
    <w:p w14:paraId="7C9D41B4">
      <w:pPr>
        <w:pageBreakBefore w:val="0"/>
        <w:widowControl w:val="0"/>
        <w:kinsoku/>
        <w:wordWrap/>
        <w:overflowPunct/>
        <w:topLinePunct w:val="0"/>
        <w:autoSpaceDE/>
        <w:autoSpaceDN/>
        <w:bidi w:val="0"/>
        <w:snapToGrid/>
        <w:spacing w:line="360" w:lineRule="auto"/>
        <w:ind w:left="2"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3.本项目只接受一个投标报价，有选择的或有条件的报价将不予接受。</w:t>
      </w:r>
    </w:p>
    <w:p w14:paraId="0DFBC137">
      <w:pPr>
        <w:pStyle w:val="13"/>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（七）修正错误</w:t>
      </w:r>
    </w:p>
    <w:p w14:paraId="2D677EC8">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若投标文件出现计算或表达上的错误，修正错误的原则如下：</w:t>
      </w:r>
    </w:p>
    <w:p w14:paraId="102384A3">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1.投标文件中开标一览表（报价表）内容与投标文件中相应内容不一致的，以开标一览表（报价表）为准；</w:t>
      </w:r>
    </w:p>
    <w:p w14:paraId="501EBA35">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46EB20AB">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3.单价金额小数点或者百分比有明显错位的，以开标一览表的总价为准，并修改单价；</w:t>
      </w:r>
    </w:p>
    <w:p w14:paraId="37C2CF8A">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4A491D5C">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3EA5756E">
      <w:pPr>
        <w:pStyle w:val="13"/>
        <w:pageBreakBefore w:val="0"/>
        <w:widowControl w:val="0"/>
        <w:kinsoku/>
        <w:wordWrap/>
        <w:overflowPunct/>
        <w:topLinePunct w:val="0"/>
        <w:autoSpaceDE/>
        <w:autoSpaceDN/>
        <w:bidi w:val="0"/>
        <w:snapToGrid/>
        <w:spacing w:line="360" w:lineRule="auto"/>
        <w:ind w:firstLine="480" w:firstLineChars="200"/>
        <w:textAlignment w:val="auto"/>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（八）投标文件的递交</w:t>
      </w:r>
    </w:p>
    <w:p w14:paraId="29CAF547">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投标文件的正本、副本以及电子文档均应密封送达投标地点，应在封套上注明项目名称、投标人名称。若正本、副本以及电子文档分别进行密封的，还应在封套上注明“正本”、“副本”、“电子文档”字样。</w:t>
      </w:r>
    </w:p>
    <w:p w14:paraId="63FB1C1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97" w:name="_Toc5348"/>
      <w:bookmarkStart w:id="98" w:name="_Toc31822"/>
      <w:bookmarkStart w:id="99" w:name="_Toc76387252"/>
      <w:bookmarkStart w:id="100" w:name="_Toc144480596"/>
      <w:bookmarkStart w:id="101" w:name="_Toc149559700"/>
      <w:r>
        <w:rPr>
          <w:rFonts w:hint="eastAsia" w:ascii="仿宋" w:hAnsi="仿宋" w:eastAsia="仿宋" w:cs="仿宋"/>
          <w:b/>
          <w:color w:val="auto"/>
          <w:sz w:val="24"/>
          <w:highlight w:val="none"/>
        </w:rPr>
        <w:t>四、开标</w:t>
      </w:r>
      <w:bookmarkEnd w:id="97"/>
      <w:bookmarkEnd w:id="98"/>
      <w:bookmarkEnd w:id="99"/>
      <w:bookmarkEnd w:id="100"/>
      <w:bookmarkEnd w:id="101"/>
    </w:p>
    <w:p w14:paraId="43713E5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（一）开标应当在招标文件中“投标邀请书”确定的时间和地点公开进行。</w:t>
      </w:r>
    </w:p>
    <w:p w14:paraId="4D814FB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可视采购具体情况，延长投标截止时间和开标时间，并将变更时间书面通知所有招标文件收受人。</w:t>
      </w:r>
    </w:p>
    <w:p w14:paraId="098F3F8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（三）开标由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主持，邀请投标人和有关监督部门代表参加,有关监督部门可视情况派员现场监督。</w:t>
      </w:r>
    </w:p>
    <w:p w14:paraId="74BD215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（四）开标时，由投标人或者其推选的代表检查投标文件的密封情况；经确认无误后，由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或者</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工作人员当众拆封，宣布投标人名称、投标价格和开标一览表规定的需要宣布的其他内容。投标人不足三家的，不得开标。</w:t>
      </w:r>
    </w:p>
    <w:p w14:paraId="48F1D4D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（五）未宣读的投标价格、价格折扣和招标文件允许提供的备选投标方案等实质性内容等，评标时不予承认。</w:t>
      </w:r>
    </w:p>
    <w:p w14:paraId="1CF8907D">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（六）开标过程应由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专人负责记录，并存档备查。</w:t>
      </w:r>
    </w:p>
    <w:p w14:paraId="6B13D6C5">
      <w:pPr>
        <w:pStyle w:val="13"/>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（七）投标人未参加开标的，视同认可开标结果。</w:t>
      </w:r>
    </w:p>
    <w:p w14:paraId="08ACBEDB">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02" w:name="_Toc149559701"/>
      <w:bookmarkStart w:id="103" w:name="_Toc12509"/>
      <w:bookmarkStart w:id="104" w:name="_Toc144480597"/>
      <w:bookmarkStart w:id="105" w:name="_Toc3726"/>
      <w:bookmarkStart w:id="106" w:name="_Toc76387253"/>
      <w:r>
        <w:rPr>
          <w:rFonts w:hint="eastAsia" w:ascii="仿宋" w:hAnsi="仿宋" w:eastAsia="仿宋" w:cs="仿宋"/>
          <w:b/>
          <w:color w:val="auto"/>
          <w:sz w:val="24"/>
          <w:highlight w:val="none"/>
        </w:rPr>
        <w:t>五、评标</w:t>
      </w:r>
      <w:bookmarkEnd w:id="102"/>
      <w:bookmarkEnd w:id="103"/>
      <w:bookmarkEnd w:id="104"/>
      <w:bookmarkEnd w:id="105"/>
      <w:bookmarkEnd w:id="106"/>
    </w:p>
    <w:p w14:paraId="07BED3D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见第四篇内容。</w:t>
      </w:r>
    </w:p>
    <w:p w14:paraId="4FD6C54E">
      <w:pPr>
        <w:pStyle w:val="3"/>
        <w:rPr>
          <w:rFonts w:hint="eastAsia" w:ascii="宋体" w:hAnsi="宋体" w:eastAsia="宋体" w:cs="宋体"/>
          <w:b/>
          <w:color w:val="auto"/>
          <w:sz w:val="24"/>
          <w:highlight w:val="none"/>
        </w:rPr>
      </w:pPr>
      <w:r>
        <w:rPr>
          <w:rFonts w:hint="eastAsia"/>
          <w:color w:val="auto"/>
          <w:highlight w:val="none"/>
          <w:lang w:val="en-US" w:eastAsia="zh-CN"/>
        </w:rPr>
        <w:t xml:space="preserve"> </w:t>
      </w:r>
      <w:bookmarkStart w:id="107" w:name="_Toc1480"/>
      <w:bookmarkStart w:id="108" w:name="_Toc16375"/>
      <w:bookmarkStart w:id="109" w:name="_Toc5474"/>
      <w:bookmarkStart w:id="110" w:name="_Toc15184"/>
      <w:bookmarkStart w:id="111" w:name="_Toc11952"/>
      <w:bookmarkStart w:id="112" w:name="_Toc28321"/>
      <w:bookmarkStart w:id="113" w:name="_Toc15751"/>
      <w:bookmarkStart w:id="114" w:name="_Toc13972"/>
      <w:bookmarkStart w:id="115" w:name="_Toc11542"/>
      <w:r>
        <w:rPr>
          <w:rFonts w:hint="eastAsia" w:ascii="仿宋" w:hAnsi="仿宋" w:eastAsia="仿宋" w:cs="仿宋"/>
          <w:b/>
          <w:color w:val="auto"/>
          <w:sz w:val="24"/>
          <w:highlight w:val="none"/>
        </w:rPr>
        <w:t>六、定标</w:t>
      </w:r>
      <w:bookmarkEnd w:id="107"/>
      <w:r>
        <w:rPr>
          <w:rFonts w:hint="eastAsia" w:ascii="仿宋" w:hAnsi="仿宋" w:eastAsia="仿宋" w:cs="仿宋"/>
          <w:b/>
          <w:color w:val="auto"/>
          <w:sz w:val="24"/>
          <w:highlight w:val="none"/>
        </w:rPr>
        <w:t>、公示及中标通知</w:t>
      </w:r>
      <w:bookmarkEnd w:id="108"/>
      <w:bookmarkEnd w:id="109"/>
      <w:bookmarkEnd w:id="110"/>
      <w:bookmarkEnd w:id="111"/>
      <w:bookmarkEnd w:id="112"/>
      <w:bookmarkEnd w:id="113"/>
      <w:bookmarkEnd w:id="114"/>
      <w:bookmarkEnd w:id="115"/>
    </w:p>
    <w:p w14:paraId="406E2512">
      <w:pPr>
        <w:pageBreakBefore w:val="0"/>
        <w:widowControl w:val="0"/>
        <w:kinsoku/>
        <w:wordWrap/>
        <w:overflowPunct/>
        <w:topLinePunct w:val="0"/>
        <w:autoSpaceDE/>
        <w:autoSpaceDN/>
        <w:bidi w:val="0"/>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（一）定标方式及变更</w:t>
      </w:r>
    </w:p>
    <w:p w14:paraId="11148828">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人应当确定排名前15名的中标候选人为中标人（如中标候选人不足15名的则全部作为中标人）。排名前15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C8B5872">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（二）中标公示及中标通知</w:t>
      </w:r>
    </w:p>
    <w:p w14:paraId="070393FC">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招标人在收到评标报告之日起3日内公示中标候选人，公示期不得少于3日。</w:t>
      </w:r>
    </w:p>
    <w:p w14:paraId="159B98A3">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在本招标文件规定的投标有效期内，且未有投标人的异议与投诉，招标人以书面形式向中标人发出中标通知书。</w:t>
      </w:r>
    </w:p>
    <w:p w14:paraId="4E4E8F46">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16" w:name="_Toc7481"/>
      <w:bookmarkStart w:id="117" w:name="_Toc144480599"/>
      <w:bookmarkStart w:id="118" w:name="_Toc25352"/>
      <w:bookmarkStart w:id="119" w:name="_Toc149559703"/>
      <w:bookmarkStart w:id="120" w:name="_Toc76387255"/>
      <w:r>
        <w:rPr>
          <w:rFonts w:hint="eastAsia" w:ascii="仿宋" w:hAnsi="仿宋" w:eastAsia="仿宋" w:cs="仿宋"/>
          <w:b/>
          <w:color w:val="auto"/>
          <w:sz w:val="24"/>
          <w:highlight w:val="none"/>
        </w:rPr>
        <w:t>七、中标</w:t>
      </w:r>
      <w:bookmarkEnd w:id="116"/>
      <w:bookmarkEnd w:id="117"/>
      <w:bookmarkEnd w:id="118"/>
      <w:bookmarkEnd w:id="119"/>
      <w:bookmarkEnd w:id="120"/>
    </w:p>
    <w:p w14:paraId="32392A1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依法确定中标人后，</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以书面形式发出中标通知书。</w:t>
      </w:r>
    </w:p>
    <w:p w14:paraId="19152736">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（二）中标通知书发出后，</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改变中标结果，或者中标人放弃中标，应当承担相应的法律责任。</w:t>
      </w:r>
    </w:p>
    <w:p w14:paraId="79FACB87">
      <w:pPr>
        <w:pStyle w:val="3"/>
        <w:rPr>
          <w:rFonts w:hint="eastAsia" w:ascii="仿宋" w:hAnsi="仿宋" w:eastAsia="仿宋" w:cs="仿宋"/>
          <w:b/>
          <w:color w:val="auto"/>
          <w:sz w:val="24"/>
          <w:highlight w:val="none"/>
        </w:rPr>
      </w:pPr>
      <w:bookmarkStart w:id="121" w:name="_Toc13579"/>
      <w:bookmarkStart w:id="122" w:name="_Toc26303"/>
      <w:bookmarkStart w:id="123" w:name="_Toc11606"/>
      <w:bookmarkStart w:id="124" w:name="_Toc17578"/>
      <w:bookmarkStart w:id="125" w:name="_Toc26091"/>
      <w:bookmarkStart w:id="126" w:name="_Toc11303"/>
      <w:bookmarkStart w:id="127" w:name="_Toc17903"/>
      <w:bookmarkStart w:id="128" w:name="_Toc25779"/>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rPr>
        <w:t>、澄清和答疑</w:t>
      </w:r>
      <w:bookmarkEnd w:id="121"/>
      <w:bookmarkEnd w:id="122"/>
      <w:bookmarkEnd w:id="123"/>
      <w:bookmarkEnd w:id="124"/>
      <w:bookmarkEnd w:id="125"/>
      <w:bookmarkEnd w:id="126"/>
      <w:bookmarkEnd w:id="127"/>
      <w:bookmarkEnd w:id="128"/>
    </w:p>
    <w:p w14:paraId="4DE3601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投标人对招标文件及答疑补遗提出异议的截止时间：</w:t>
      </w:r>
    </w:p>
    <w:p w14:paraId="062EDD01">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对招标文件和答疑补遗有异议的，应当在投标截止时间10日前，以书面形式通知招标人或招标代理机构。招标人应当自收到异议之日起3日内做出答复，并将答复内容以补遗的形式发布。补遗内容可能影响投标文件编制的，须在投标截止时间15日前发布，发布时间至投标截止时间不足15日的，须相应延后投标截止时间。</w:t>
      </w:r>
    </w:p>
    <w:p w14:paraId="6013048E">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29" w:name="_Toc19317"/>
      <w:bookmarkStart w:id="130" w:name="_Toc144480601"/>
      <w:bookmarkStart w:id="131" w:name="_Toc76387257"/>
      <w:bookmarkStart w:id="132" w:name="_Toc149559705"/>
      <w:bookmarkStart w:id="133" w:name="_Toc10333"/>
      <w:r>
        <w:rPr>
          <w:rFonts w:hint="eastAsia" w:ascii="仿宋" w:hAnsi="仿宋" w:eastAsia="仿宋" w:cs="仿宋"/>
          <w:b/>
          <w:color w:val="auto"/>
          <w:sz w:val="24"/>
          <w:highlight w:val="none"/>
        </w:rPr>
        <w:t>九、</w:t>
      </w:r>
      <w:r>
        <w:rPr>
          <w:rFonts w:hint="eastAsia" w:ascii="仿宋" w:hAnsi="仿宋" w:eastAsia="仿宋" w:cs="仿宋"/>
          <w:b/>
          <w:color w:val="auto"/>
          <w:sz w:val="24"/>
          <w:highlight w:val="none"/>
          <w:lang w:val="en-US" w:eastAsia="zh-CN"/>
        </w:rPr>
        <w:t>招标</w:t>
      </w:r>
      <w:r>
        <w:rPr>
          <w:rFonts w:hint="eastAsia" w:ascii="仿宋" w:hAnsi="仿宋" w:eastAsia="仿宋" w:cs="仿宋"/>
          <w:b/>
          <w:color w:val="auto"/>
          <w:sz w:val="24"/>
          <w:highlight w:val="none"/>
        </w:rPr>
        <w:t>代理服务费</w:t>
      </w:r>
      <w:bookmarkEnd w:id="129"/>
      <w:bookmarkEnd w:id="130"/>
      <w:bookmarkEnd w:id="131"/>
      <w:bookmarkEnd w:id="132"/>
      <w:bookmarkEnd w:id="133"/>
    </w:p>
    <w:p w14:paraId="288EF749">
      <w:pPr>
        <w:pageBreakBefore w:val="0"/>
        <w:widowControl w:val="0"/>
        <w:kinsoku/>
        <w:wordWrap/>
        <w:overflowPunct/>
        <w:topLinePunct w:val="0"/>
        <w:autoSpaceDE/>
        <w:autoSpaceDN/>
        <w:bidi w:val="0"/>
        <w:snapToGrid/>
        <w:spacing w:line="360" w:lineRule="auto"/>
        <w:ind w:firstLine="480" w:firstLineChars="200"/>
        <w:textAlignment w:val="auto"/>
        <w:rPr>
          <w:rFonts w:hint="default" w:ascii="仿宋" w:hAnsi="仿宋" w:eastAsia="仿宋" w:cs="仿宋"/>
          <w:color w:val="auto"/>
          <w:sz w:val="24"/>
          <w:highlight w:val="none"/>
          <w:u w:val="single"/>
          <w:lang w:val="en-US" w:eastAsia="zh-CN"/>
        </w:rPr>
      </w:pPr>
      <w:bookmarkStart w:id="134" w:name="_Toc22956"/>
      <w:bookmarkStart w:id="135" w:name="_Toc149559707"/>
      <w:bookmarkStart w:id="136" w:name="_Toc76387259"/>
      <w:bookmarkStart w:id="137" w:name="_Toc141954607"/>
      <w:bookmarkStart w:id="138" w:name="_Toc17716"/>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本项目的</w:t>
      </w:r>
      <w:bookmarkStart w:id="139" w:name="_Toc1394"/>
      <w:bookmarkStart w:id="140" w:name="_Toc30569"/>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eastAsia="zh-CN"/>
        </w:rPr>
        <w:t>代理服务费为：</w:t>
      </w:r>
      <w:r>
        <w:rPr>
          <w:rFonts w:hint="eastAsia" w:ascii="仿宋" w:hAnsi="仿宋" w:eastAsia="仿宋" w:cs="仿宋"/>
          <w:color w:val="auto"/>
          <w:sz w:val="24"/>
          <w:highlight w:val="none"/>
          <w:u w:val="single"/>
          <w:lang w:val="en-US" w:eastAsia="zh-CN"/>
        </w:rPr>
        <w:t>20000.00元</w:t>
      </w:r>
      <w:r>
        <w:rPr>
          <w:rFonts w:hint="eastAsia" w:ascii="仿宋" w:hAnsi="仿宋" w:eastAsia="仿宋" w:cs="仿宋"/>
          <w:color w:val="auto"/>
          <w:sz w:val="24"/>
          <w:highlight w:val="none"/>
          <w:u w:val="none"/>
          <w:lang w:val="en-US" w:eastAsia="zh-CN"/>
        </w:rPr>
        <w:t>，由招标人向招标代理机构一次性支付。</w:t>
      </w:r>
    </w:p>
    <w:bookmarkEnd w:id="139"/>
    <w:bookmarkEnd w:id="140"/>
    <w:p w14:paraId="1C0579AD">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采购代理服务费缴纳账号：</w:t>
      </w:r>
    </w:p>
    <w:p w14:paraId="08FC6A35">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户  名：重庆市义渡工程管理有限公司</w:t>
      </w:r>
    </w:p>
    <w:p w14:paraId="49300AE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开户行：重庆银行股份有限公司大渡口支行</w:t>
      </w:r>
    </w:p>
    <w:p w14:paraId="27FBD54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帐  号：340102029004903154</w:t>
      </w:r>
    </w:p>
    <w:p w14:paraId="59950545">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41" w:name="_Toc20339"/>
      <w:r>
        <w:rPr>
          <w:rFonts w:hint="eastAsia" w:ascii="仿宋" w:hAnsi="仿宋" w:eastAsia="仿宋" w:cs="仿宋"/>
          <w:b/>
          <w:color w:val="auto"/>
          <w:sz w:val="24"/>
          <w:highlight w:val="none"/>
          <w:lang w:eastAsia="zh-CN"/>
        </w:rPr>
        <w:t>十、</w:t>
      </w:r>
      <w:r>
        <w:rPr>
          <w:rFonts w:hint="eastAsia" w:ascii="仿宋" w:hAnsi="仿宋" w:eastAsia="仿宋" w:cs="仿宋"/>
          <w:b/>
          <w:color w:val="auto"/>
          <w:sz w:val="24"/>
          <w:highlight w:val="none"/>
        </w:rPr>
        <w:t>签订合同</w:t>
      </w:r>
      <w:bookmarkEnd w:id="134"/>
      <w:bookmarkEnd w:id="135"/>
      <w:bookmarkEnd w:id="136"/>
      <w:bookmarkEnd w:id="137"/>
      <w:bookmarkEnd w:id="138"/>
      <w:bookmarkEnd w:id="141"/>
    </w:p>
    <w:p w14:paraId="1DDD95EE">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原则上应在中标通知书发出之日起</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十日内和中标人签订合同，无正当理由不得拒绝或拖延合同签订。所签订的合同不得对招标文件和中标人投标文件作实质性修改。其他未尽事宜由</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和中标人在采购合同中详细约定。</w:t>
      </w:r>
    </w:p>
    <w:p w14:paraId="484E6D8F">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（二）招标文件、中标人的投标文件及澄清文件等，均为签订合同的依据。</w:t>
      </w:r>
    </w:p>
    <w:p w14:paraId="14679F59">
      <w:pPr>
        <w:pageBreakBefore w:val="0"/>
        <w:widowControl w:val="0"/>
        <w:kinsoku/>
        <w:wordWrap/>
        <w:overflowPunct/>
        <w:topLinePunct w:val="0"/>
        <w:autoSpaceDE/>
        <w:autoSpaceDN/>
        <w:bidi w:val="0"/>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）合同原则上应按照《合同》签订，相关单位要求使用合同通用格式版本的，应按其要求另行签订其他合同。</w:t>
      </w:r>
    </w:p>
    <w:p w14:paraId="7CF251AF">
      <w:pPr>
        <w:pStyle w:val="3"/>
        <w:pageBreakBefore w:val="0"/>
        <w:widowControl w:val="0"/>
        <w:kinsoku/>
        <w:wordWrap/>
        <w:overflowPunct/>
        <w:topLinePunct w:val="0"/>
        <w:autoSpaceDE/>
        <w:autoSpaceDN/>
        <w:bidi w:val="0"/>
        <w:snapToGrid/>
        <w:spacing w:line="360" w:lineRule="auto"/>
        <w:jc w:val="left"/>
        <w:textAlignment w:val="auto"/>
        <w:rPr>
          <w:rFonts w:hint="eastAsia" w:ascii="仿宋" w:hAnsi="仿宋" w:eastAsia="仿宋" w:cs="仿宋"/>
          <w:b/>
          <w:color w:val="auto"/>
          <w:sz w:val="24"/>
          <w:highlight w:val="none"/>
        </w:rPr>
      </w:pPr>
      <w:bookmarkStart w:id="142" w:name="_Toc11349"/>
      <w:bookmarkStart w:id="143" w:name="_Toc23965"/>
      <w:bookmarkStart w:id="144" w:name="_Toc23671"/>
      <w:bookmarkStart w:id="145" w:name="_Toc11558"/>
      <w:bookmarkStart w:id="146" w:name="_Toc29139"/>
      <w:bookmarkStart w:id="147" w:name="_Toc149559708"/>
      <w:bookmarkStart w:id="148" w:name="_Toc13934"/>
      <w:bookmarkStart w:id="149" w:name="_Toc26438"/>
      <w:bookmarkStart w:id="150" w:name="_Toc1406"/>
      <w:bookmarkStart w:id="151" w:name="_Toc9393"/>
      <w:bookmarkStart w:id="152" w:name="_Toc13027"/>
      <w:bookmarkStart w:id="153" w:name="_Toc4207"/>
      <w:bookmarkStart w:id="154" w:name="_Toc25795"/>
      <w:bookmarkStart w:id="155" w:name="_Toc20041"/>
      <w:bookmarkStart w:id="156" w:name="_Toc4923"/>
      <w:bookmarkStart w:id="157" w:name="_Toc19650"/>
      <w:bookmarkStart w:id="158" w:name="_Toc26635"/>
      <w:bookmarkStart w:id="159" w:name="_Toc30327"/>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eastAsia="zh-CN"/>
        </w:rPr>
        <w:t>一</w:t>
      </w:r>
      <w:r>
        <w:rPr>
          <w:rFonts w:hint="eastAsia" w:ascii="仿宋" w:hAnsi="仿宋" w:eastAsia="仿宋" w:cs="仿宋"/>
          <w:b/>
          <w:color w:val="auto"/>
          <w:sz w:val="24"/>
          <w:highlight w:val="none"/>
        </w:rPr>
        <w:t>、</w:t>
      </w:r>
      <w:bookmarkEnd w:id="142"/>
      <w:bookmarkEnd w:id="143"/>
      <w:bookmarkEnd w:id="144"/>
      <w:bookmarkEnd w:id="145"/>
      <w:r>
        <w:rPr>
          <w:rFonts w:hint="eastAsia" w:ascii="仿宋" w:hAnsi="仿宋" w:eastAsia="仿宋" w:cs="仿宋"/>
          <w:b/>
          <w:color w:val="auto"/>
          <w:sz w:val="24"/>
          <w:highlight w:val="none"/>
        </w:rPr>
        <w:t>项目验收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FCEB39E">
      <w:pPr>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合同执行完毕，</w:t>
      </w: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原则上应在7个工作日内组织履约情况验收，不得无故拖延或附加额外条件。</w:t>
      </w:r>
      <w:r>
        <w:rPr>
          <w:rFonts w:hint="eastAsia" w:ascii="仿宋" w:hAnsi="仿宋" w:eastAsia="仿宋" w:cs="仿宋"/>
          <w:color w:val="auto"/>
          <w:highlight w:val="none"/>
        </w:rPr>
        <w:br w:type="page"/>
      </w:r>
      <w:r>
        <w:rPr>
          <w:rFonts w:hint="eastAsia" w:ascii="仿宋" w:hAnsi="仿宋" w:eastAsia="仿宋" w:cs="仿宋"/>
          <w:color w:val="auto"/>
          <w:highlight w:val="none"/>
          <w:lang w:val="en-US" w:eastAsia="zh-CN"/>
        </w:rPr>
        <w:t xml:space="preserve">          </w:t>
      </w:r>
    </w:p>
    <w:p w14:paraId="7D3F81CA">
      <w:pPr>
        <w:pStyle w:val="2"/>
        <w:keepNext/>
        <w:keepLines w:val="0"/>
        <w:pageBreakBefore w:val="0"/>
        <w:widowControl w:val="0"/>
        <w:kinsoku/>
        <w:wordWrap/>
        <w:overflowPunct/>
        <w:topLinePunct w:val="0"/>
        <w:autoSpaceDE/>
        <w:autoSpaceDN/>
        <w:bidi w:val="0"/>
        <w:adjustRightInd/>
        <w:snapToGrid/>
        <w:spacing w:before="191" w:beforeLines="50" w:afterLines="0" w:line="360" w:lineRule="auto"/>
        <w:textAlignment w:val="auto"/>
        <w:rPr>
          <w:rFonts w:hint="eastAsia" w:ascii="仿宋" w:hAnsi="仿宋" w:eastAsia="仿宋" w:cs="仿宋"/>
          <w:b/>
          <w:color w:val="auto"/>
          <w:sz w:val="36"/>
          <w:szCs w:val="36"/>
          <w:highlight w:val="none"/>
        </w:rPr>
      </w:pPr>
      <w:bookmarkStart w:id="160" w:name="_Toc10111"/>
      <w:r>
        <w:rPr>
          <w:rFonts w:hint="eastAsia" w:ascii="仿宋" w:hAnsi="仿宋" w:eastAsia="仿宋" w:cs="仿宋"/>
          <w:b/>
          <w:color w:val="auto"/>
          <w:sz w:val="36"/>
          <w:szCs w:val="36"/>
          <w:highlight w:val="none"/>
        </w:rPr>
        <w:t>第六篇  合同主要条款和格式合同（样本</w:t>
      </w:r>
      <w:bookmarkEnd w:id="85"/>
      <w:bookmarkEnd w:id="86"/>
      <w:r>
        <w:rPr>
          <w:rFonts w:hint="eastAsia" w:ascii="仿宋" w:hAnsi="仿宋" w:eastAsia="仿宋" w:cs="仿宋"/>
          <w:b/>
          <w:color w:val="auto"/>
          <w:sz w:val="36"/>
          <w:szCs w:val="36"/>
          <w:highlight w:val="none"/>
        </w:rPr>
        <w:t>）</w:t>
      </w:r>
      <w:bookmarkEnd w:id="160"/>
      <w:bookmarkStart w:id="161" w:name="_Toc277084870"/>
      <w:bookmarkStart w:id="162" w:name="_Toc285722712"/>
      <w:bookmarkStart w:id="163" w:name="_Toc20685"/>
      <w:bookmarkStart w:id="164" w:name="_Toc76387262"/>
    </w:p>
    <w:bookmarkEnd w:id="161"/>
    <w:bookmarkEnd w:id="162"/>
    <w:bookmarkEnd w:id="163"/>
    <w:bookmarkEnd w:id="164"/>
    <w:p w14:paraId="6FE2EE2E">
      <w:pPr>
        <w:spacing w:line="360" w:lineRule="auto"/>
        <w:jc w:val="left"/>
        <w:rPr>
          <w:rFonts w:hint="eastAsia" w:ascii="仿宋" w:hAnsi="仿宋" w:eastAsia="仿宋" w:cs="仿宋"/>
          <w:color w:val="auto"/>
          <w:sz w:val="24"/>
          <w:szCs w:val="24"/>
          <w:highlight w:val="none"/>
        </w:rPr>
      </w:pPr>
    </w:p>
    <w:p w14:paraId="4477D5B3">
      <w:pPr>
        <w:spacing w:line="560" w:lineRule="exact"/>
        <w:jc w:val="center"/>
        <w:rPr>
          <w:rFonts w:hint="eastAsia" w:ascii="方正仿宋_GBK" w:hAnsi="方正仿宋_GBK" w:eastAsia="方正仿宋_GBK" w:cs="方正仿宋_GBK"/>
          <w:b/>
          <w:color w:val="auto"/>
          <w:sz w:val="40"/>
          <w:szCs w:val="40"/>
          <w:highlight w:val="none"/>
        </w:rPr>
      </w:pPr>
      <w:r>
        <w:rPr>
          <w:rFonts w:hint="eastAsia" w:ascii="方正仿宋_GBK" w:hAnsi="方正仿宋_GBK" w:eastAsia="方正仿宋_GBK" w:cs="方正仿宋_GBK"/>
          <w:b/>
          <w:color w:val="auto"/>
          <w:sz w:val="40"/>
          <w:szCs w:val="40"/>
          <w:highlight w:val="none"/>
        </w:rPr>
        <w:t>大渡口区物业专项维修资金专户管理银行服务协议</w:t>
      </w:r>
    </w:p>
    <w:p w14:paraId="0B4B5CB9">
      <w:pPr>
        <w:spacing w:line="400" w:lineRule="exact"/>
        <w:jc w:val="center"/>
        <w:rPr>
          <w:rFonts w:hint="eastAsia" w:ascii="方正仿宋_GBK" w:hAnsi="方正仿宋_GBK" w:eastAsia="方正仿宋_GBK" w:cs="方正仿宋_GBK"/>
          <w:b/>
          <w:color w:val="auto"/>
          <w:sz w:val="44"/>
          <w:szCs w:val="44"/>
          <w:highlight w:val="none"/>
        </w:rPr>
      </w:pPr>
    </w:p>
    <w:p w14:paraId="5421BBD5">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甲方：</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 xml:space="preserve"> (以下简称甲方)</w:t>
      </w:r>
    </w:p>
    <w:p w14:paraId="31353CC0">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乙方：</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u w:val="single"/>
          <w:lang w:val="en-US" w:eastAsia="zh-CN"/>
        </w:rPr>
        <w:t xml:space="preserve"> </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(以下简称乙方)</w:t>
      </w:r>
    </w:p>
    <w:p w14:paraId="6317407F">
      <w:pPr>
        <w:snapToGrid w:val="0"/>
        <w:spacing w:line="4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为进一步加强物业专项维修资金专户管理，确保资金安全及保值增值，根据《重庆市物业专项维修资金管理办法》（市政府令第347号）有关要求，经甲方招标确定乙方为</w:t>
      </w:r>
      <w:r>
        <w:rPr>
          <w:rFonts w:hint="eastAsia" w:ascii="方正仿宋_GBK" w:hAnsi="方正仿宋_GBK" w:eastAsia="方正仿宋_GBK" w:cs="方正仿宋_GBK"/>
          <w:color w:val="auto"/>
          <w:sz w:val="24"/>
          <w:highlight w:val="none"/>
          <w:lang w:val="en-US" w:eastAsia="zh-CN"/>
        </w:rPr>
        <w:t>大渡口区</w:t>
      </w:r>
      <w:r>
        <w:rPr>
          <w:rFonts w:hint="eastAsia" w:ascii="方正仿宋_GBK" w:hAnsi="方正仿宋_GBK" w:eastAsia="方正仿宋_GBK" w:cs="方正仿宋_GBK"/>
          <w:color w:val="auto"/>
          <w:sz w:val="24"/>
          <w:highlight w:val="none"/>
        </w:rPr>
        <w:t>物业专项维修资金专户管理银行，本着自愿、平等、诚信的原则，经甲乙双方协商达成如下协议：</w:t>
      </w:r>
    </w:p>
    <w:p w14:paraId="0D66D72A">
      <w:pPr>
        <w:tabs>
          <w:tab w:val="left" w:pos="1255"/>
          <w:tab w:val="left" w:pos="1506"/>
        </w:tabs>
        <w:snapToGrid w:val="0"/>
        <w:spacing w:line="400" w:lineRule="exact"/>
        <w:ind w:firstLine="480" w:firstLineChars="200"/>
        <w:rPr>
          <w:rFonts w:ascii="方正黑体_GBK" w:hAnsi="方正黑体_GBK" w:eastAsia="方正黑体_GBK" w:cs="方正黑体_GBK"/>
          <w:bCs/>
          <w:color w:val="auto"/>
          <w:sz w:val="24"/>
          <w:highlight w:val="none"/>
        </w:rPr>
      </w:pPr>
      <w:r>
        <w:rPr>
          <w:rFonts w:hint="eastAsia" w:ascii="方正黑体_GBK" w:hAnsi="方正黑体_GBK" w:eastAsia="方正黑体_GBK" w:cs="方正黑体_GBK"/>
          <w:bCs/>
          <w:color w:val="auto"/>
          <w:sz w:val="24"/>
          <w:highlight w:val="none"/>
        </w:rPr>
        <w:t>一、服务内容</w:t>
      </w:r>
    </w:p>
    <w:p w14:paraId="5D4C7E23">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（一）根据《重庆市物业专项维修资金管理办法》347号文件服务要求，乙方需协助甲方办理物业专项维修资金账户设立、交存、使用、结息、划转、结算、对账、查询以及聘请第三方监督等服务事项。</w:t>
      </w:r>
    </w:p>
    <w:p w14:paraId="44A1DEB7">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（二）乙方的服务期限为</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年；</w:t>
      </w:r>
      <w:r>
        <w:rPr>
          <w:rFonts w:ascii="方正仿宋_GBK" w:hAnsi="方正仿宋_GBK" w:eastAsia="方正仿宋_GBK" w:cs="方正仿宋_GBK"/>
          <w:color w:val="auto"/>
          <w:sz w:val="24"/>
          <w:szCs w:val="24"/>
          <w:highlight w:val="none"/>
        </w:rPr>
        <w:t>若资金转入之日至</w:t>
      </w:r>
      <w:r>
        <w:rPr>
          <w:rFonts w:hint="eastAsia" w:ascii="方正仿宋_GBK" w:hAnsi="方正仿宋_GBK" w:eastAsia="方正仿宋_GBK" w:cs="方正仿宋_GBK"/>
          <w:color w:val="auto"/>
          <w:sz w:val="24"/>
          <w:szCs w:val="24"/>
          <w:highlight w:val="none"/>
        </w:rPr>
        <w:t>乙方</w:t>
      </w:r>
      <w:r>
        <w:rPr>
          <w:rFonts w:ascii="方正仿宋_GBK" w:hAnsi="方正仿宋_GBK" w:eastAsia="方正仿宋_GBK" w:cs="方正仿宋_GBK"/>
          <w:color w:val="auto"/>
          <w:sz w:val="24"/>
          <w:szCs w:val="24"/>
          <w:highlight w:val="none"/>
        </w:rPr>
        <w:t>服务期限届满之日不足</w:t>
      </w:r>
      <w:r>
        <w:rPr>
          <w:rFonts w:hint="eastAsia" w:ascii="方正仿宋_GBK" w:hAnsi="方正仿宋_GBK" w:eastAsia="方正仿宋_GBK" w:cs="方正仿宋_GBK"/>
          <w:color w:val="auto"/>
          <w:sz w:val="24"/>
          <w:szCs w:val="24"/>
          <w:highlight w:val="none"/>
          <w:lang w:val="en-US" w:eastAsia="zh-CN"/>
        </w:rPr>
        <w:t>1</w:t>
      </w:r>
      <w:r>
        <w:rPr>
          <w:rFonts w:ascii="方正仿宋_GBK" w:hAnsi="方正仿宋_GBK" w:eastAsia="方正仿宋_GBK" w:cs="方正仿宋_GBK"/>
          <w:color w:val="auto"/>
          <w:sz w:val="24"/>
          <w:szCs w:val="24"/>
          <w:highlight w:val="none"/>
        </w:rPr>
        <w:t>年的，存款期限可至</w:t>
      </w:r>
      <w:r>
        <w:rPr>
          <w:rFonts w:hint="eastAsia" w:ascii="方正仿宋_GBK" w:hAnsi="方正仿宋_GBK" w:eastAsia="方正仿宋_GBK" w:cs="方正仿宋_GBK"/>
          <w:color w:val="auto"/>
          <w:sz w:val="24"/>
          <w:szCs w:val="24"/>
          <w:highlight w:val="none"/>
          <w:lang w:val="en-US" w:eastAsia="zh-CN"/>
        </w:rPr>
        <w:t>1</w:t>
      </w:r>
      <w:r>
        <w:rPr>
          <w:rFonts w:ascii="方正仿宋_GBK" w:hAnsi="方正仿宋_GBK" w:eastAsia="方正仿宋_GBK" w:cs="方正仿宋_GBK"/>
          <w:color w:val="auto"/>
          <w:sz w:val="24"/>
          <w:szCs w:val="24"/>
          <w:highlight w:val="none"/>
        </w:rPr>
        <w:t>年期满。</w:t>
      </w:r>
    </w:p>
    <w:p w14:paraId="27B3F850">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（三）乙方在服务期限内，</w:t>
      </w:r>
      <w:r>
        <w:rPr>
          <w:rFonts w:hint="eastAsia" w:ascii="仿宋" w:hAnsi="仿宋" w:eastAsia="仿宋" w:cs="仿宋"/>
          <w:color w:val="auto"/>
          <w:kern w:val="0"/>
          <w:sz w:val="24"/>
          <w:szCs w:val="24"/>
          <w:highlight w:val="none"/>
        </w:rPr>
        <w:t>要服从、配合存款划转、软件升级等相关事宜；对不服从、配合相关事宜，以及不按规定提供服务并承担费用的情形，</w:t>
      </w:r>
      <w:r>
        <w:rPr>
          <w:rFonts w:hint="eastAsia" w:ascii="仿宋" w:hAnsi="仿宋" w:eastAsia="仿宋" w:cs="仿宋"/>
          <w:color w:val="auto"/>
          <w:kern w:val="0"/>
          <w:sz w:val="24"/>
          <w:szCs w:val="24"/>
          <w:highlight w:val="none"/>
          <w:lang w:val="en-US" w:eastAsia="zh-CN"/>
        </w:rPr>
        <w:t>物业专项维修资金管理机构</w:t>
      </w:r>
      <w:r>
        <w:rPr>
          <w:rFonts w:hint="eastAsia" w:ascii="方正仿宋_GBK" w:hAnsi="方正仿宋_GBK" w:eastAsia="方正仿宋_GBK" w:cs="方正仿宋_GBK"/>
          <w:color w:val="auto"/>
          <w:sz w:val="24"/>
          <w:szCs w:val="24"/>
          <w:highlight w:val="none"/>
        </w:rPr>
        <w:t>有权调整现有物业专项维修资金的存款管理额度。</w:t>
      </w:r>
    </w:p>
    <w:p w14:paraId="0DEC1007">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（四）</w:t>
      </w:r>
      <w:r>
        <w:rPr>
          <w:rFonts w:hint="eastAsia" w:ascii="方正仿宋_GBK" w:hAnsi="方正仿宋_GBK" w:eastAsia="方正仿宋_GBK" w:cs="方正仿宋_GBK"/>
          <w:color w:val="auto"/>
          <w:sz w:val="24"/>
          <w:szCs w:val="24"/>
          <w:highlight w:val="none"/>
          <w:lang w:val="en-US" w:eastAsia="zh-CN"/>
        </w:rPr>
        <w:t>设立物业专项维修资金专户进行资金管理，确保资金安全。</w:t>
      </w:r>
    </w:p>
    <w:p w14:paraId="325CA14F">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（五）协助物业专项维修资金管理</w:t>
      </w:r>
      <w:r>
        <w:rPr>
          <w:rFonts w:hint="eastAsia" w:ascii="方正仿宋_GBK" w:hAnsi="方正仿宋_GBK" w:eastAsia="方正仿宋_GBK" w:cs="方正仿宋_GBK"/>
          <w:color w:val="auto"/>
          <w:sz w:val="24"/>
          <w:szCs w:val="24"/>
          <w:highlight w:val="none"/>
          <w:lang w:val="en-US" w:eastAsia="zh-CN"/>
        </w:rPr>
        <w:t>机构</w:t>
      </w:r>
      <w:r>
        <w:rPr>
          <w:rFonts w:hint="eastAsia" w:ascii="方正仿宋_GBK" w:hAnsi="方正仿宋_GBK" w:eastAsia="方正仿宋_GBK" w:cs="方正仿宋_GBK"/>
          <w:color w:val="auto"/>
          <w:sz w:val="24"/>
          <w:szCs w:val="24"/>
          <w:highlight w:val="none"/>
        </w:rPr>
        <w:t>建立物业专项维修资金管理系统、实时监控平台以及实时对账系统，对物业专项维修资金的交存、使用、增值等进行统一管理，接受业主和相关部门的监督和查询。</w:t>
      </w:r>
    </w:p>
    <w:p w14:paraId="64360479">
      <w:pPr>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（六）服务期内，按照合同约定执行，服务期满或协议解除，乙方必须承担服务期满或协议解除至资金转出之日前该时段的所有费用并维持服务。</w:t>
      </w:r>
    </w:p>
    <w:p w14:paraId="614B8984">
      <w:pPr>
        <w:tabs>
          <w:tab w:val="left" w:pos="1255"/>
          <w:tab w:val="left" w:pos="1506"/>
        </w:tabs>
        <w:snapToGrid w:val="0"/>
        <w:spacing w:line="400" w:lineRule="exact"/>
        <w:ind w:firstLine="480" w:firstLineChars="200"/>
        <w:rPr>
          <w:rFonts w:hint="eastAsia" w:ascii="方正黑体_GBK" w:hAnsi="方正黑体_GBK" w:eastAsia="方正黑体_GBK" w:cs="方正黑体_GBK"/>
          <w:bCs/>
          <w:color w:val="auto"/>
          <w:sz w:val="24"/>
          <w:highlight w:val="none"/>
        </w:rPr>
      </w:pPr>
      <w:r>
        <w:rPr>
          <w:rFonts w:hint="eastAsia" w:ascii="方正黑体_GBK" w:hAnsi="方正黑体_GBK" w:eastAsia="方正黑体_GBK" w:cs="方正黑体_GBK"/>
          <w:bCs/>
          <w:color w:val="auto"/>
          <w:sz w:val="24"/>
          <w:highlight w:val="none"/>
        </w:rPr>
        <w:t>二、服务要求</w:t>
      </w:r>
    </w:p>
    <w:p w14:paraId="5A2BD121">
      <w:pPr>
        <w:spacing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1.协助甲方办理物业专项维修资金账户设立、交存、使用、结息、划转、结算、对账、查询、系统维护升级，专户资金跨行存储包括日常资金结算服务、代收代付、转账汇款、账户对帐服务、年检服务、安全保障等在内的一切配套基本服务</w:t>
      </w:r>
      <w:r>
        <w:rPr>
          <w:rFonts w:hint="eastAsia" w:ascii="方正仿宋_GBK" w:hAnsi="方正仿宋_GBK" w:eastAsia="方正仿宋_GBK" w:cs="方正仿宋_GBK"/>
          <w:color w:val="auto"/>
          <w:sz w:val="24"/>
          <w:szCs w:val="24"/>
          <w:highlight w:val="none"/>
          <w:lang w:eastAsia="zh-CN"/>
        </w:rPr>
        <w:t>；</w:t>
      </w:r>
    </w:p>
    <w:p w14:paraId="34296494">
      <w:pPr>
        <w:spacing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2.乙方</w:t>
      </w:r>
      <w:r>
        <w:rPr>
          <w:rFonts w:hint="eastAsia" w:ascii="方正仿宋_GBK" w:hAnsi="方正仿宋_GBK" w:eastAsia="方正仿宋_GBK" w:cs="方正仿宋_GBK"/>
          <w:color w:val="auto"/>
          <w:sz w:val="24"/>
          <w:szCs w:val="24"/>
          <w:highlight w:val="none"/>
        </w:rPr>
        <w:t>专门为</w:t>
      </w:r>
      <w:r>
        <w:rPr>
          <w:rFonts w:hint="eastAsia" w:ascii="方正仿宋_GBK" w:hAnsi="方正仿宋_GBK" w:eastAsia="方正仿宋_GBK" w:cs="方正仿宋_GBK"/>
          <w:color w:val="auto"/>
          <w:sz w:val="24"/>
          <w:szCs w:val="24"/>
          <w:highlight w:val="none"/>
          <w:lang w:val="en-US" w:eastAsia="zh-CN"/>
        </w:rPr>
        <w:t>物业专项维修资金设立专户</w:t>
      </w:r>
      <w:r>
        <w:rPr>
          <w:rFonts w:hint="eastAsia" w:ascii="方正仿宋_GBK" w:hAnsi="方正仿宋_GBK" w:eastAsia="方正仿宋_GBK" w:cs="方正仿宋_GBK"/>
          <w:color w:val="auto"/>
          <w:sz w:val="24"/>
          <w:szCs w:val="24"/>
          <w:highlight w:val="none"/>
        </w:rPr>
        <w:t>服务，且相关费用由</w:t>
      </w:r>
      <w:r>
        <w:rPr>
          <w:rFonts w:hint="eastAsia" w:ascii="方正仿宋_GBK" w:hAnsi="方正仿宋_GBK" w:eastAsia="方正仿宋_GBK" w:cs="方正仿宋_GBK"/>
          <w:color w:val="auto"/>
          <w:sz w:val="24"/>
          <w:szCs w:val="24"/>
          <w:highlight w:val="none"/>
          <w:lang w:val="en-US" w:eastAsia="zh-CN"/>
        </w:rPr>
        <w:t>乙方</w:t>
      </w:r>
      <w:r>
        <w:rPr>
          <w:rFonts w:hint="eastAsia" w:ascii="方正仿宋_GBK" w:hAnsi="方正仿宋_GBK" w:eastAsia="方正仿宋_GBK" w:cs="方正仿宋_GBK"/>
          <w:color w:val="auto"/>
          <w:sz w:val="24"/>
          <w:szCs w:val="24"/>
          <w:highlight w:val="none"/>
        </w:rPr>
        <w:t>自行负责；提供至少一名业务人员，</w:t>
      </w:r>
      <w:r>
        <w:rPr>
          <w:rFonts w:hint="eastAsia" w:ascii="仿宋" w:hAnsi="仿宋" w:eastAsia="仿宋" w:cs="仿宋"/>
          <w:color w:val="auto"/>
          <w:kern w:val="0"/>
          <w:sz w:val="24"/>
          <w:szCs w:val="24"/>
          <w:highlight w:val="none"/>
          <w:lang w:val="en-US" w:eastAsia="zh-CN" w:bidi="ar-SA"/>
        </w:rPr>
        <w:t>乙方需提供专人对口服务，及时与甲方对账，</w:t>
      </w:r>
      <w:r>
        <w:rPr>
          <w:rFonts w:hint="eastAsia" w:ascii="方正仿宋_GBK" w:hAnsi="方正仿宋_GBK" w:eastAsia="方正仿宋_GBK" w:cs="方正仿宋_GBK"/>
          <w:color w:val="auto"/>
          <w:sz w:val="24"/>
          <w:szCs w:val="24"/>
          <w:highlight w:val="none"/>
          <w:lang w:val="en-US" w:eastAsia="zh-CN"/>
        </w:rPr>
        <w:t>乙方</w:t>
      </w:r>
      <w:r>
        <w:rPr>
          <w:rFonts w:hint="eastAsia" w:ascii="方正仿宋_GBK" w:hAnsi="方正仿宋_GBK" w:eastAsia="方正仿宋_GBK" w:cs="方正仿宋_GBK"/>
          <w:color w:val="auto"/>
          <w:sz w:val="24"/>
          <w:szCs w:val="24"/>
          <w:highlight w:val="none"/>
        </w:rPr>
        <w:t>提供业务人员的服务质量未达要求，</w:t>
      </w:r>
      <w:r>
        <w:rPr>
          <w:rFonts w:hint="eastAsia" w:ascii="方正仿宋_GBK" w:hAnsi="方正仿宋_GBK" w:eastAsia="方正仿宋_GBK" w:cs="方正仿宋_GBK"/>
          <w:color w:val="auto"/>
          <w:sz w:val="24"/>
          <w:szCs w:val="24"/>
          <w:highlight w:val="none"/>
          <w:lang w:val="en-US" w:eastAsia="zh-CN"/>
        </w:rPr>
        <w:t>甲方</w:t>
      </w:r>
      <w:r>
        <w:rPr>
          <w:rFonts w:hint="eastAsia" w:ascii="方正仿宋_GBK" w:hAnsi="方正仿宋_GBK" w:eastAsia="方正仿宋_GBK" w:cs="方正仿宋_GBK"/>
          <w:color w:val="auto"/>
          <w:sz w:val="24"/>
          <w:szCs w:val="24"/>
          <w:highlight w:val="none"/>
        </w:rPr>
        <w:t>有权要求更换</w:t>
      </w:r>
      <w:r>
        <w:rPr>
          <w:rFonts w:hint="eastAsia" w:ascii="方正仿宋_GBK" w:hAnsi="方正仿宋_GBK" w:eastAsia="方正仿宋_GBK" w:cs="方正仿宋_GBK"/>
          <w:color w:val="auto"/>
          <w:sz w:val="24"/>
          <w:szCs w:val="24"/>
          <w:highlight w:val="none"/>
          <w:lang w:eastAsia="zh-CN"/>
        </w:rPr>
        <w:t>；</w:t>
      </w:r>
    </w:p>
    <w:p w14:paraId="7AF04D8C">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3.在大渡口内有多个网点的，所有对公网点都必须接受对公对私现金缴款和支票转账。在大渡口内仅有一个网点的，该网点必须接受对公对私现金缴款和支票转账。</w:t>
      </w:r>
    </w:p>
    <w:p w14:paraId="185C6D34">
      <w:pPr>
        <w:spacing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次日17点前传送前日的收支票据和电子数据</w:t>
      </w:r>
      <w:r>
        <w:rPr>
          <w:rFonts w:hint="eastAsia" w:ascii="方正仿宋_GBK" w:hAnsi="方正仿宋_GBK" w:eastAsia="方正仿宋_GBK" w:cs="方正仿宋_GBK"/>
          <w:color w:val="auto"/>
          <w:sz w:val="24"/>
          <w:szCs w:val="24"/>
          <w:highlight w:val="none"/>
          <w:lang w:eastAsia="zh-CN"/>
        </w:rPr>
        <w:t>；</w:t>
      </w:r>
    </w:p>
    <w:p w14:paraId="2CBF3704">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5.提供 VIP 专柜服务，甲方要求乙方提供服务时，乙方须在 30 分钟内响应回复，1小时内到达甲方指定地点开展工作；</w:t>
      </w:r>
    </w:p>
    <w:p w14:paraId="6B32CEC1">
      <w:pPr>
        <w:spacing w:line="400" w:lineRule="exact"/>
        <w:ind w:firstLine="480" w:firstLineChars="20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6.乙方</w:t>
      </w:r>
      <w:r>
        <w:rPr>
          <w:rFonts w:hint="eastAsia" w:ascii="方正仿宋_GBK" w:hAnsi="方正仿宋_GBK" w:eastAsia="方正仿宋_GBK" w:cs="方正仿宋_GBK"/>
          <w:color w:val="auto"/>
          <w:sz w:val="24"/>
          <w:szCs w:val="24"/>
          <w:highlight w:val="none"/>
        </w:rPr>
        <w:t>必须</w:t>
      </w:r>
      <w:r>
        <w:rPr>
          <w:rFonts w:hint="eastAsia" w:ascii="方正仿宋_GBK" w:hAnsi="方正仿宋_GBK" w:eastAsia="方正仿宋_GBK" w:cs="方正仿宋_GBK"/>
          <w:color w:val="auto"/>
          <w:sz w:val="24"/>
          <w:szCs w:val="24"/>
          <w:highlight w:val="none"/>
          <w:lang w:val="en-US" w:eastAsia="zh-CN"/>
        </w:rPr>
        <w:t>自行</w:t>
      </w:r>
      <w:r>
        <w:rPr>
          <w:rFonts w:hint="eastAsia" w:ascii="方正仿宋_GBK" w:hAnsi="方正仿宋_GBK" w:eastAsia="方正仿宋_GBK" w:cs="方正仿宋_GBK"/>
          <w:color w:val="auto"/>
          <w:sz w:val="24"/>
          <w:szCs w:val="24"/>
          <w:highlight w:val="none"/>
        </w:rPr>
        <w:t>接入物业专项维修资金管理系统</w:t>
      </w:r>
      <w:r>
        <w:rPr>
          <w:rFonts w:hint="eastAsia" w:ascii="方正仿宋_GBK" w:hAnsi="方正仿宋_GBK" w:eastAsia="方正仿宋_GBK" w:cs="方正仿宋_GBK"/>
          <w:color w:val="auto"/>
          <w:sz w:val="24"/>
          <w:szCs w:val="24"/>
          <w:highlight w:val="none"/>
          <w:lang w:val="en-US" w:eastAsia="zh-CN"/>
        </w:rPr>
        <w:t>并承担相关</w:t>
      </w:r>
      <w:r>
        <w:rPr>
          <w:rFonts w:hint="eastAsia" w:ascii="方正仿宋_GBK" w:hAnsi="方正仿宋_GBK" w:eastAsia="方正仿宋_GBK" w:cs="方正仿宋_GBK"/>
          <w:color w:val="auto"/>
          <w:sz w:val="24"/>
          <w:szCs w:val="24"/>
          <w:highlight w:val="none"/>
        </w:rPr>
        <w:t>费用</w:t>
      </w:r>
      <w:r>
        <w:rPr>
          <w:rFonts w:hint="eastAsia" w:ascii="方正仿宋_GBK" w:hAnsi="方正仿宋_GBK" w:eastAsia="方正仿宋_GBK" w:cs="方正仿宋_GBK"/>
          <w:color w:val="auto"/>
          <w:sz w:val="24"/>
          <w:szCs w:val="24"/>
          <w:highlight w:val="none"/>
          <w:lang w:eastAsia="zh-CN"/>
        </w:rPr>
        <w:t>；</w:t>
      </w:r>
    </w:p>
    <w:p w14:paraId="27342685">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7.乙方应为物业专项维修资金项目提供票据服务、实时对账查询服务、到期转存服务、账户费用减免等。明确本项目的项目负责人、对接专员及项目团队人员， 并提供项目负责人、对接专员及项目团队人员的姓名和联系方式。项目负责人信息、 技术服务部门信息必须明确详尽（包括联系人、联系电话、传真、地址和电子邮件信息）；</w:t>
      </w:r>
    </w:p>
    <w:p w14:paraId="5F1B9CBD">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乙方专户管理服务期限为2年，如资金转入之日至专户管理服务期限届满之日不足1年的，存款期限可至1年期满；如遇招标文件规定和《物业专项维修资金专户管理银行服务协议》约定的提前支取情形，提前支取存款利率按国家相关规定执行；</w:t>
      </w:r>
    </w:p>
    <w:p w14:paraId="3964FB27">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9.出现下列情形的，甲方有权提前支取已存入乙方专户的物业专项维修资金</w:t>
      </w:r>
    </w:p>
    <w:p w14:paraId="2CE786CA">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（1）乙方未按照本招标文件规定、投标文件承诺或《物业专项维修资金专户管理银行服务协议》约定履行义务，对甲方提出的工作改进意见未落实的或未按主管部门的要求开展工作的；</w:t>
      </w:r>
    </w:p>
    <w:p w14:paraId="71DBF3A8">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（2）乙方签订《物业专项维修资金专户管理银行服务协议》后，拒不执行中标上浮BP的，视为乙方违约。甲方有权从乙方中转出已存入的资金，按相关规定追究该乙方的违约责任。</w:t>
      </w:r>
    </w:p>
    <w:p w14:paraId="794B988F">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10.按合同第三条的约定对资金进行计息，及时将利息打入存款人账户。不能以任何理由拒绝办理或部分办理；</w:t>
      </w:r>
    </w:p>
    <w:p w14:paraId="6B0FE600">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11.依法为甲方的信息保密；</w:t>
      </w:r>
    </w:p>
    <w:p w14:paraId="5975CFC8">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12.遇到需要提前支取的情况，应该在核对相应的材料后给予绿色通道快速处理，不得拖延；</w:t>
      </w:r>
    </w:p>
    <w:p w14:paraId="022AE152">
      <w:pPr>
        <w:spacing w:line="4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13.乙方需提供廉政承诺书。</w:t>
      </w:r>
    </w:p>
    <w:p w14:paraId="33403662">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三、存款利率及合同期限</w:t>
      </w:r>
    </w:p>
    <w:p w14:paraId="038B9C43">
      <w:pPr>
        <w:snapToGrid w:val="0"/>
        <w:spacing w:line="400" w:lineRule="exact"/>
        <w:ind w:firstLine="480" w:firstLineChars="200"/>
        <w:rPr>
          <w:rFonts w:hint="eastAsia" w:ascii="方正仿宋_GBK" w:hAnsi="方正仿宋_GBK" w:eastAsia="方正仿宋_GBK" w:cs="方正仿宋_GBK"/>
          <w:color w:val="auto"/>
          <w:sz w:val="24"/>
          <w:szCs w:val="28"/>
          <w:highlight w:val="none"/>
          <w:lang w:val="en-US" w:eastAsia="zh-CN"/>
        </w:rPr>
      </w:pPr>
      <w:r>
        <w:rPr>
          <w:rFonts w:hint="eastAsia" w:ascii="方正仿宋_GBK" w:hAnsi="宋体" w:eastAsia="方正仿宋_GBK"/>
          <w:color w:val="auto"/>
          <w:sz w:val="24"/>
          <w:highlight w:val="none"/>
        </w:rPr>
        <w:t>（一）服务期限内的</w:t>
      </w:r>
      <w:r>
        <w:rPr>
          <w:rFonts w:hint="eastAsia" w:ascii="方正仿宋_GBK" w:hAnsi="方正仿宋_GBK" w:eastAsia="方正仿宋_GBK" w:cs="方正仿宋_GBK"/>
          <w:color w:val="auto"/>
          <w:sz w:val="24"/>
          <w:szCs w:val="28"/>
          <w:highlight w:val="none"/>
          <w:lang w:val="en-US" w:eastAsia="zh-CN"/>
        </w:rPr>
        <w:t>一</w:t>
      </w:r>
      <w:r>
        <w:rPr>
          <w:rFonts w:hint="eastAsia" w:ascii="方正仿宋_GBK" w:hAnsi="方正仿宋_GBK" w:eastAsia="方正仿宋_GBK" w:cs="方正仿宋_GBK"/>
          <w:color w:val="auto"/>
          <w:sz w:val="24"/>
          <w:szCs w:val="28"/>
          <w:highlight w:val="none"/>
        </w:rPr>
        <w:t>年期定期存款</w:t>
      </w:r>
      <w:r>
        <w:rPr>
          <w:rFonts w:hint="eastAsia" w:ascii="方正仿宋_GBK" w:hAnsi="宋体" w:eastAsia="方正仿宋_GBK"/>
          <w:color w:val="auto"/>
          <w:sz w:val="24"/>
          <w:highlight w:val="none"/>
        </w:rPr>
        <w:t>利率为</w:t>
      </w:r>
      <w:r>
        <w:rPr>
          <w:rFonts w:hint="eastAsia" w:ascii="方正仿宋_GBK" w:hAnsi="宋体" w:eastAsia="方正仿宋_GBK"/>
          <w:color w:val="auto"/>
          <w:sz w:val="24"/>
          <w:highlight w:val="none"/>
          <w:lang w:val="en-US" w:eastAsia="zh-CN"/>
        </w:rPr>
        <w:t>资金存入</w:t>
      </w:r>
      <w:r>
        <w:rPr>
          <w:rFonts w:hint="eastAsia" w:ascii="方正仿宋_GBK" w:hAnsi="方正仿宋_GBK" w:eastAsia="方正仿宋_GBK" w:cs="方正仿宋_GBK"/>
          <w:color w:val="auto"/>
          <w:sz w:val="24"/>
          <w:szCs w:val="28"/>
          <w:highlight w:val="none"/>
          <w:lang w:val="en-US" w:eastAsia="zh-CN"/>
        </w:rPr>
        <w:t>日，乙方</w:t>
      </w:r>
      <w:r>
        <w:rPr>
          <w:rFonts w:hint="eastAsia" w:ascii="方正仿宋_GBK" w:hAnsi="方正仿宋_GBK" w:eastAsia="方正仿宋_GBK" w:cs="方正仿宋_GBK"/>
          <w:color w:val="auto"/>
          <w:sz w:val="24"/>
          <w:szCs w:val="28"/>
          <w:highlight w:val="none"/>
        </w:rPr>
        <w:t>挂牌的</w:t>
      </w:r>
      <w:r>
        <w:rPr>
          <w:rFonts w:hint="eastAsia" w:ascii="方正仿宋_GBK" w:hAnsi="方正仿宋_GBK" w:eastAsia="方正仿宋_GBK" w:cs="方正仿宋_GBK"/>
          <w:color w:val="auto"/>
          <w:sz w:val="24"/>
          <w:szCs w:val="28"/>
          <w:highlight w:val="none"/>
          <w:lang w:val="en-US" w:eastAsia="zh-CN"/>
        </w:rPr>
        <w:t>一</w:t>
      </w:r>
      <w:r>
        <w:rPr>
          <w:rFonts w:hint="eastAsia" w:ascii="方正仿宋_GBK" w:hAnsi="方正仿宋_GBK" w:eastAsia="方正仿宋_GBK" w:cs="方正仿宋_GBK"/>
          <w:color w:val="auto"/>
          <w:sz w:val="24"/>
          <w:szCs w:val="28"/>
          <w:highlight w:val="none"/>
        </w:rPr>
        <w:t>年期定期存款利率</w:t>
      </w:r>
      <w:r>
        <w:rPr>
          <w:rFonts w:hint="eastAsia" w:ascii="方正仿宋_GBK" w:hAnsi="方正仿宋_GBK" w:eastAsia="方正仿宋_GBK" w:cs="方正仿宋_GBK"/>
          <w:color w:val="auto"/>
          <w:sz w:val="24"/>
          <w:szCs w:val="28"/>
          <w:highlight w:val="none"/>
          <w:lang w:val="en-US" w:eastAsia="zh-CN"/>
        </w:rPr>
        <w:t>基础上</w:t>
      </w:r>
      <w:r>
        <w:rPr>
          <w:rFonts w:hint="eastAsia" w:ascii="方正仿宋_GBK" w:hAnsi="方正仿宋_GBK" w:eastAsia="方正仿宋_GBK" w:cs="方正仿宋_GBK"/>
          <w:color w:val="auto"/>
          <w:sz w:val="24"/>
          <w:szCs w:val="28"/>
          <w:highlight w:val="none"/>
        </w:rPr>
        <w:t>上浮</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BP；协定存款</w:t>
      </w:r>
      <w:r>
        <w:rPr>
          <w:rFonts w:hint="eastAsia" w:ascii="方正仿宋_GBK" w:hAnsi="宋体" w:eastAsia="方正仿宋_GBK"/>
          <w:color w:val="auto"/>
          <w:sz w:val="24"/>
          <w:highlight w:val="none"/>
        </w:rPr>
        <w:t>利率为</w:t>
      </w:r>
      <w:r>
        <w:rPr>
          <w:rFonts w:hint="eastAsia" w:ascii="方正仿宋_GBK" w:hAnsi="宋体" w:eastAsia="方正仿宋_GBK"/>
          <w:color w:val="auto"/>
          <w:sz w:val="24"/>
          <w:highlight w:val="none"/>
          <w:lang w:val="en-US" w:eastAsia="zh-CN"/>
        </w:rPr>
        <w:t>资金存入</w:t>
      </w:r>
      <w:r>
        <w:rPr>
          <w:rFonts w:hint="eastAsia" w:ascii="方正仿宋_GBK" w:hAnsi="方正仿宋_GBK" w:eastAsia="方正仿宋_GBK" w:cs="方正仿宋_GBK"/>
          <w:color w:val="auto"/>
          <w:sz w:val="24"/>
          <w:szCs w:val="28"/>
          <w:highlight w:val="none"/>
          <w:lang w:val="en-US" w:eastAsia="zh-CN"/>
        </w:rPr>
        <w:t>日，乙方</w:t>
      </w:r>
      <w:r>
        <w:rPr>
          <w:rFonts w:hint="eastAsia" w:ascii="方正仿宋_GBK" w:hAnsi="方正仿宋_GBK" w:eastAsia="方正仿宋_GBK" w:cs="方正仿宋_GBK"/>
          <w:color w:val="auto"/>
          <w:sz w:val="24"/>
          <w:szCs w:val="28"/>
          <w:highlight w:val="none"/>
        </w:rPr>
        <w:t>挂牌的协定存款利率</w:t>
      </w:r>
      <w:r>
        <w:rPr>
          <w:rFonts w:hint="eastAsia" w:ascii="方正仿宋_GBK" w:hAnsi="方正仿宋_GBK" w:eastAsia="方正仿宋_GBK" w:cs="方正仿宋_GBK"/>
          <w:color w:val="auto"/>
          <w:sz w:val="24"/>
          <w:szCs w:val="28"/>
          <w:highlight w:val="none"/>
          <w:lang w:val="en-US" w:eastAsia="zh-CN"/>
        </w:rPr>
        <w:t>基础上</w:t>
      </w:r>
      <w:r>
        <w:rPr>
          <w:rFonts w:hint="eastAsia" w:ascii="方正仿宋_GBK" w:hAnsi="方正仿宋_GBK" w:eastAsia="方正仿宋_GBK" w:cs="方正仿宋_GBK"/>
          <w:color w:val="auto"/>
          <w:sz w:val="24"/>
          <w:szCs w:val="28"/>
          <w:highlight w:val="none"/>
        </w:rPr>
        <w:t>上浮</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BP</w:t>
      </w:r>
      <w:r>
        <w:rPr>
          <w:rFonts w:hint="eastAsia" w:ascii="方正仿宋_GBK" w:hAnsi="方正仿宋_GBK" w:eastAsia="方正仿宋_GBK" w:cs="方正仿宋_GBK"/>
          <w:color w:val="auto"/>
          <w:sz w:val="24"/>
          <w:szCs w:val="28"/>
          <w:highlight w:val="none"/>
          <w:lang w:eastAsia="zh-CN"/>
        </w:rPr>
        <w:t>；</w:t>
      </w:r>
      <w:r>
        <w:rPr>
          <w:rFonts w:hint="eastAsia" w:ascii="方正仿宋_GBK" w:hAnsi="方正仿宋_GBK" w:eastAsia="方正仿宋_GBK" w:cs="方正仿宋_GBK"/>
          <w:color w:val="auto"/>
          <w:sz w:val="24"/>
          <w:szCs w:val="28"/>
          <w:highlight w:val="none"/>
          <w:lang w:val="en-US" w:eastAsia="zh-CN"/>
        </w:rPr>
        <w:t>服务期限内，</w:t>
      </w:r>
      <w:r>
        <w:rPr>
          <w:rFonts w:hint="eastAsia" w:ascii="方正仿宋_GBK" w:hAnsi="方正仿宋_GBK" w:eastAsia="方正仿宋_GBK" w:cs="方正仿宋_GBK"/>
          <w:color w:val="auto"/>
          <w:sz w:val="24"/>
          <w:szCs w:val="28"/>
          <w:highlight w:val="none"/>
        </w:rPr>
        <w:t>甲方可在乙方业务范围内，自主选择办理其他利率更高的存款业务</w:t>
      </w:r>
      <w:r>
        <w:rPr>
          <w:rFonts w:hint="eastAsia" w:ascii="方正仿宋_GBK" w:hAnsi="方正仿宋_GBK" w:eastAsia="方正仿宋_GBK" w:cs="方正仿宋_GBK"/>
          <w:color w:val="auto"/>
          <w:sz w:val="24"/>
          <w:szCs w:val="28"/>
          <w:highlight w:val="none"/>
          <w:lang w:eastAsia="zh-CN"/>
        </w:rPr>
        <w:t>。</w:t>
      </w:r>
    </w:p>
    <w:p w14:paraId="17DE48D3">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若遇银行挂牌利率调整，则以调整后的挂牌利率为</w:t>
      </w:r>
      <w:r>
        <w:rPr>
          <w:rFonts w:hint="eastAsia" w:ascii="方正仿宋_GBK" w:hAnsi="宋体" w:eastAsia="方正仿宋_GBK"/>
          <w:color w:val="auto"/>
          <w:sz w:val="24"/>
          <w:highlight w:val="none"/>
          <w:lang w:val="en-US" w:eastAsia="zh-CN"/>
        </w:rPr>
        <w:t>基础利率</w:t>
      </w:r>
      <w:r>
        <w:rPr>
          <w:rFonts w:hint="eastAsia" w:ascii="方正仿宋_GBK" w:hAnsi="宋体" w:eastAsia="方正仿宋_GBK"/>
          <w:color w:val="auto"/>
          <w:sz w:val="24"/>
          <w:highlight w:val="none"/>
        </w:rPr>
        <w:t>，但上浮BP不可变；若遇银行间利率自律机制要求调整的，则以调整后的利率为准。</w:t>
      </w:r>
    </w:p>
    <w:p w14:paraId="0B0D4B59">
      <w:pPr>
        <w:snapToGrid w:val="0"/>
        <w:spacing w:line="400" w:lineRule="exact"/>
        <w:ind w:firstLine="480" w:firstLineChars="200"/>
        <w:rPr>
          <w:rFonts w:ascii="方正仿宋_GBK" w:hAnsi="宋体" w:eastAsia="方正仿宋_GBK"/>
          <w:color w:val="auto"/>
          <w:sz w:val="24"/>
          <w:highlight w:val="none"/>
          <w:u w:val="single"/>
        </w:rPr>
      </w:pPr>
      <w:r>
        <w:rPr>
          <w:rFonts w:hint="eastAsia" w:ascii="方正仿宋_GBK" w:hAnsi="宋体" w:eastAsia="方正仿宋_GBK"/>
          <w:color w:val="auto"/>
          <w:sz w:val="24"/>
          <w:highlight w:val="none"/>
        </w:rPr>
        <w:t>（二）本协议有效期限为</w:t>
      </w:r>
      <w:r>
        <w:rPr>
          <w:rFonts w:hint="eastAsia" w:ascii="方正仿宋_GBK" w:hAnsi="宋体" w:eastAsia="方正仿宋_GBK"/>
          <w:color w:val="auto"/>
          <w:sz w:val="24"/>
          <w:highlight w:val="none"/>
          <w:lang w:val="en-US" w:eastAsia="zh-CN"/>
        </w:rPr>
        <w:t>2</w:t>
      </w:r>
      <w:r>
        <w:rPr>
          <w:rFonts w:hint="eastAsia" w:ascii="方正仿宋_GBK" w:hAnsi="宋体" w:eastAsia="方正仿宋_GBK"/>
          <w:color w:val="auto"/>
          <w:sz w:val="24"/>
          <w:highlight w:val="none"/>
        </w:rPr>
        <w:t>年，</w:t>
      </w:r>
      <w:r>
        <w:rPr>
          <w:rFonts w:hint="eastAsia" w:ascii="方正仿宋_GBK" w:hAnsi="宋体" w:eastAsia="方正仿宋_GBK"/>
          <w:color w:val="auto"/>
          <w:sz w:val="24"/>
          <w:highlight w:val="none"/>
          <w:u w:val="single"/>
        </w:rPr>
        <w:t>自</w:t>
      </w:r>
      <w:r>
        <w:rPr>
          <w:rFonts w:ascii="方正仿宋_GBK" w:hAnsi="宋体" w:eastAsia="方正仿宋_GBK"/>
          <w:color w:val="auto"/>
          <w:sz w:val="24"/>
          <w:highlight w:val="none"/>
          <w:u w:val="single"/>
        </w:rPr>
        <w:t>20</w:t>
      </w:r>
      <w:r>
        <w:rPr>
          <w:rFonts w:hint="eastAsia" w:ascii="方正仿宋_GBK" w:hAnsi="宋体" w:eastAsia="方正仿宋_GBK"/>
          <w:color w:val="auto"/>
          <w:sz w:val="24"/>
          <w:highlight w:val="none"/>
          <w:u w:val="single"/>
        </w:rPr>
        <w:t>2</w:t>
      </w:r>
      <w:r>
        <w:rPr>
          <w:rFonts w:hint="eastAsia" w:ascii="方正仿宋_GBK" w:hAnsi="宋体" w:eastAsia="方正仿宋_GBK"/>
          <w:color w:val="auto"/>
          <w:sz w:val="24"/>
          <w:highlight w:val="none"/>
          <w:u w:val="single"/>
          <w:lang w:val="en-US" w:eastAsia="zh-CN"/>
        </w:rPr>
        <w:t>6</w:t>
      </w:r>
      <w:r>
        <w:rPr>
          <w:rFonts w:hint="eastAsia" w:ascii="方正仿宋_GBK" w:hAnsi="宋体" w:eastAsia="方正仿宋_GBK"/>
          <w:color w:val="auto"/>
          <w:sz w:val="24"/>
          <w:highlight w:val="none"/>
          <w:u w:val="single"/>
        </w:rPr>
        <w:t>年  月  日起到</w:t>
      </w:r>
      <w:r>
        <w:rPr>
          <w:rFonts w:ascii="方正仿宋_GBK" w:hAnsi="宋体" w:eastAsia="方正仿宋_GBK"/>
          <w:color w:val="auto"/>
          <w:sz w:val="24"/>
          <w:highlight w:val="none"/>
          <w:u w:val="single"/>
        </w:rPr>
        <w:t>20</w:t>
      </w:r>
      <w:r>
        <w:rPr>
          <w:rFonts w:hint="eastAsia" w:ascii="方正仿宋_GBK" w:hAnsi="宋体" w:eastAsia="方正仿宋_GBK"/>
          <w:color w:val="auto"/>
          <w:sz w:val="24"/>
          <w:highlight w:val="none"/>
          <w:u w:val="single"/>
        </w:rPr>
        <w:t>2</w:t>
      </w:r>
      <w:r>
        <w:rPr>
          <w:rFonts w:hint="eastAsia" w:ascii="方正仿宋_GBK" w:hAnsi="宋体" w:eastAsia="方正仿宋_GBK"/>
          <w:color w:val="auto"/>
          <w:sz w:val="24"/>
          <w:highlight w:val="none"/>
          <w:u w:val="single"/>
          <w:lang w:val="en-US" w:eastAsia="zh-CN"/>
        </w:rPr>
        <w:t>8</w:t>
      </w:r>
      <w:r>
        <w:rPr>
          <w:rFonts w:hint="eastAsia" w:ascii="方正仿宋_GBK" w:hAnsi="宋体" w:eastAsia="方正仿宋_GBK"/>
          <w:color w:val="auto"/>
          <w:sz w:val="24"/>
          <w:highlight w:val="none"/>
          <w:u w:val="single"/>
        </w:rPr>
        <w:t>年  月  日为止。</w:t>
      </w:r>
    </w:p>
    <w:p w14:paraId="73F5D8BD">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四、甲方的权利义务</w:t>
      </w:r>
    </w:p>
    <w:p w14:paraId="2672635E">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（一）甲方有权根据乙方的存款利率、资产规模、服务效能、经济社会发展贡献等因素调整物业专项维修资金存款额度。</w:t>
      </w:r>
    </w:p>
    <w:p w14:paraId="4C1C544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（二）甲方有权随时查询、核对本单位账户相关信息。</w:t>
      </w:r>
    </w:p>
    <w:p w14:paraId="444C3904">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（三）甲方若对乙方上门经办人员不满意，有权要求乙方更换。</w:t>
      </w:r>
    </w:p>
    <w:p w14:paraId="1F7ECE80">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（四）甲方有权对乙方的工作提出改进意见。</w:t>
      </w:r>
    </w:p>
    <w:p w14:paraId="6444BD2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（五）甲方有为乙方提供工作便利的义务。</w:t>
      </w:r>
    </w:p>
    <w:p w14:paraId="33C06483">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（六）对于在本协议履行过程中获知的乙方商业秘密，甲方负有保密义务。</w:t>
      </w:r>
    </w:p>
    <w:p w14:paraId="6460DB39">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五、乙方的权利义务</w:t>
      </w:r>
    </w:p>
    <w:p w14:paraId="4DD7F210">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（一）乙方须及时协助甲方办理物业专项维修资金账户设立、交存、使用、结息、划转、结算、对账、查询以及聘请第三方监督等服务事项。</w:t>
      </w:r>
    </w:p>
    <w:p w14:paraId="16A2BC5A">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服务期内，乙方必须按甲方的要求无条件将到期后的定期物业专项维修资金续存或转入其它专户管理银行；服务期满后，乙方必须按甲方的要求无条件将到期后的定期存款专项维修资金转入指定的专户管理银行。</w:t>
      </w:r>
    </w:p>
    <w:p w14:paraId="3458684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（三）乙方必须严格遵守对甲方管理的</w:t>
      </w:r>
      <w:r>
        <w:rPr>
          <w:rFonts w:hint="eastAsia" w:ascii="方正仿宋_GBK" w:hAnsi="宋体" w:eastAsia="方正仿宋_GBK"/>
          <w:color w:val="auto"/>
          <w:sz w:val="24"/>
          <w:highlight w:val="none"/>
          <w:lang w:val="en-US" w:eastAsia="zh-CN"/>
        </w:rPr>
        <w:t>大渡口</w:t>
      </w:r>
      <w:r>
        <w:rPr>
          <w:rFonts w:hint="eastAsia" w:ascii="方正仿宋_GBK" w:hAnsi="宋体" w:eastAsia="方正仿宋_GBK"/>
          <w:color w:val="auto"/>
          <w:sz w:val="24"/>
          <w:highlight w:val="none"/>
        </w:rPr>
        <w:t>区物业专项维修资金收益优化措施：允许定期存储、协定存款。</w:t>
      </w:r>
    </w:p>
    <w:p w14:paraId="73171953">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（四）乙方对甲方承诺的服务措施应严格遵守，包括每月按约定时间开展上门传递、核对票据、专人协调、按时提供存款、取款、转账汇款、对账等业务情况。</w:t>
      </w:r>
    </w:p>
    <w:p w14:paraId="7714433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（五）乙方应与甲方建立物业专项维修资金数据系统，满足业主及管理部门专项维修资金查询和管理。</w:t>
      </w:r>
    </w:p>
    <w:p w14:paraId="25255478">
      <w:pPr>
        <w:snapToGrid w:val="0"/>
        <w:spacing w:line="400" w:lineRule="exact"/>
        <w:ind w:firstLine="480" w:firstLineChars="200"/>
        <w:rPr>
          <w:rFonts w:ascii="方正仿宋_GBK" w:hAnsi="宋体" w:eastAsia="方正仿宋_GBK"/>
          <w:color w:val="auto"/>
          <w:spacing w:val="-11"/>
          <w:sz w:val="24"/>
          <w:highlight w:val="none"/>
        </w:rPr>
      </w:pPr>
      <w:r>
        <w:rPr>
          <w:rFonts w:hint="eastAsia" w:ascii="方正仿宋_GBK" w:hAnsi="宋体" w:eastAsia="方正仿宋_GBK"/>
          <w:color w:val="auto"/>
          <w:sz w:val="24"/>
          <w:highlight w:val="none"/>
        </w:rPr>
        <w:t>（六）</w:t>
      </w:r>
      <w:r>
        <w:rPr>
          <w:rFonts w:hint="eastAsia" w:ascii="方正仿宋_GBK" w:hAnsi="宋体" w:eastAsia="方正仿宋_GBK"/>
          <w:color w:val="auto"/>
          <w:spacing w:val="-11"/>
          <w:sz w:val="24"/>
          <w:highlight w:val="none"/>
        </w:rPr>
        <w:t>非甲方书面授权同意，乙方不得擅自向第三方提供有关物业专项维修资金相关信息。</w:t>
      </w:r>
    </w:p>
    <w:p w14:paraId="1312D6CE">
      <w:pPr>
        <w:snapToGrid w:val="0"/>
        <w:spacing w:line="400" w:lineRule="exact"/>
        <w:ind w:firstLine="48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（七）乙方要求解除协议，应提前三个月以书面形式通知甲方，并征得甲方的同意。</w:t>
      </w:r>
    </w:p>
    <w:p w14:paraId="6149A88C">
      <w:pPr>
        <w:snapToGrid w:val="0"/>
        <w:spacing w:line="400" w:lineRule="exact"/>
        <w:ind w:firstLine="480"/>
        <w:rPr>
          <w:rFonts w:hint="eastAsia" w:ascii="方正仿宋_GBK" w:hAnsi="宋体" w:eastAsia="方正仿宋_GBK"/>
          <w:b/>
          <w:bCs/>
          <w:color w:val="auto"/>
          <w:sz w:val="24"/>
          <w:highlight w:val="none"/>
        </w:rPr>
      </w:pPr>
      <w:r>
        <w:rPr>
          <w:rFonts w:hint="eastAsia" w:ascii="方正仿宋_GBK" w:hAnsi="宋体" w:eastAsia="方正仿宋_GBK"/>
          <w:color w:val="auto"/>
          <w:sz w:val="24"/>
          <w:highlight w:val="none"/>
        </w:rPr>
        <w:t>（八）在服务期满后重新启动招标确定专户管理银行前或在存款到期前，乙方需无条件维持服务期限内的管理服务工作，且承担服务期内相应费用。</w:t>
      </w:r>
    </w:p>
    <w:p w14:paraId="406D207D">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六、违约责任</w:t>
      </w:r>
    </w:p>
    <w:p w14:paraId="0F29615B">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（一）服务期内或服务期满下一轮招标落地之前，若乙方未按甲方的书面要求及时转存、转入或转出，从甲方书面通知乙方转存、转入或转出之日起至实际转存、转入或转出之日止，超过</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个工作日内的，乙方应按日向甲方支付逾期转存、转入或转出款项万分之一的违约金。</w:t>
      </w:r>
    </w:p>
    <w:p w14:paraId="5DC762A2">
      <w:pPr>
        <w:adjustRightInd w:val="0"/>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若乙方未按规定及时（不得超过6个月）足额支付管理资金相适宜的运行成本相关费用，甲方有权调整乙方现有物业专项维修资金的存款管理额度或更换专户管理银行，由此造成的损失（包括但不限于直接损失、间接损失）由乙方全权承担，且甲方有权解除协议。</w:t>
      </w:r>
    </w:p>
    <w:p w14:paraId="5D7C44CB">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（三）乙方违反本合同约定，除应按约向甲方承担违约责任外，还应承担甲方由此支出的律师费、诉讼费、保全担保费、保全费、鉴定费、差旅费等一切费用。</w:t>
      </w:r>
    </w:p>
    <w:p w14:paraId="0E276A0B">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（四）服务期内，若遇国家政策变化，导致协议无法继续履行，甲方可以单方解除协议并不承担任何责任。</w:t>
      </w:r>
    </w:p>
    <w:p w14:paraId="5A121D9C">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（五）因自然灾害、地震等不可抗拒的原因导致协议无法继续履行，甲乙双方均不承担责任。</w:t>
      </w:r>
    </w:p>
    <w:p w14:paraId="00AA27A6">
      <w:pPr>
        <w:snapToGrid w:val="0"/>
        <w:spacing w:line="400" w:lineRule="exact"/>
        <w:ind w:firstLine="480" w:firstLineChars="200"/>
        <w:rPr>
          <w:rFonts w:ascii="方正黑体_GBK" w:hAnsi="方正黑体_GBK" w:eastAsia="方正黑体_GBK" w:cs="方正黑体_GBK"/>
          <w:color w:val="auto"/>
          <w:sz w:val="24"/>
          <w:highlight w:val="none"/>
        </w:rPr>
      </w:pPr>
      <w:r>
        <w:rPr>
          <w:rFonts w:hint="eastAsia" w:ascii="方正黑体_GBK" w:hAnsi="方正黑体_GBK" w:eastAsia="方正黑体_GBK" w:cs="方正黑体_GBK"/>
          <w:color w:val="auto"/>
          <w:sz w:val="24"/>
          <w:highlight w:val="none"/>
        </w:rPr>
        <w:t>七、协议生效、变更和终止</w:t>
      </w:r>
    </w:p>
    <w:p w14:paraId="6D097FFF">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（一）本协议在合同有效期内，甲乙双方必须严格遵守履行。任何一方不按照协议内容履行的，甲乙双方有权解除并终止协议。</w:t>
      </w:r>
    </w:p>
    <w:p w14:paraId="3C5675C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（二）甲乙双方如遇纠纷，应本着相互信任与合作的原则，共同协商解决。协商不能解决的，双方均有权向甲方所在地人民法院提起诉讼解决。</w:t>
      </w:r>
    </w:p>
    <w:p w14:paraId="7A91A37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（三）本协议未尽事宜，由甲乙双方协商处理或签订补充协议，或按国家法律、法规的规定执行。</w:t>
      </w:r>
    </w:p>
    <w:p w14:paraId="58C88B2A">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（四）本协议一式陆份，甲乙双方各执三份，经甲乙双方法定代表人或授权代表人签字并加盖公章后生效，具有同等法律效力，有效期为三年。</w:t>
      </w:r>
    </w:p>
    <w:p w14:paraId="35CD1B55">
      <w:pPr>
        <w:snapToGrid w:val="0"/>
        <w:spacing w:line="400" w:lineRule="exact"/>
        <w:ind w:firstLine="480" w:firstLineChars="200"/>
        <w:rPr>
          <w:rFonts w:hint="eastAsia" w:ascii="方正仿宋_GBK" w:hAnsi="宋体" w:eastAsia="方正仿宋_GBK"/>
          <w:color w:val="auto"/>
          <w:sz w:val="24"/>
          <w:highlight w:val="none"/>
        </w:rPr>
      </w:pPr>
    </w:p>
    <w:p w14:paraId="536D6FB3">
      <w:pPr>
        <w:snapToGrid w:val="0"/>
        <w:spacing w:line="400" w:lineRule="exact"/>
        <w:ind w:firstLine="480" w:firstLineChars="200"/>
        <w:rPr>
          <w:rFonts w:hint="eastAsia" w:ascii="方正仿宋_GBK" w:hAnsi="宋体" w:eastAsia="方正仿宋_GBK"/>
          <w:color w:val="auto"/>
          <w:sz w:val="24"/>
          <w:highlight w:val="none"/>
        </w:rPr>
      </w:pPr>
    </w:p>
    <w:p w14:paraId="1B37C47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甲方：</w:t>
      </w:r>
      <w:r>
        <w:rPr>
          <w:rFonts w:hint="eastAsia" w:ascii="方正仿宋_GBK" w:hAnsi="宋体" w:eastAsia="方正仿宋_GBK"/>
          <w:color w:val="auto"/>
          <w:sz w:val="24"/>
          <w:highlight w:val="none"/>
          <w:lang w:val="en-US" w:eastAsia="zh-CN"/>
        </w:rPr>
        <w:t xml:space="preserve">                           </w:t>
      </w:r>
      <w:r>
        <w:rPr>
          <w:rFonts w:hint="eastAsia" w:ascii="方正仿宋_GBK" w:hAnsi="宋体" w:eastAsia="方正仿宋_GBK"/>
          <w:color w:val="auto"/>
          <w:sz w:val="24"/>
          <w:highlight w:val="none"/>
        </w:rPr>
        <w:t xml:space="preserve">     乙方：</w:t>
      </w:r>
    </w:p>
    <w:p w14:paraId="14891F5B">
      <w:pPr>
        <w:snapToGrid w:val="0"/>
        <w:spacing w:line="400" w:lineRule="exact"/>
        <w:ind w:firstLine="480" w:firstLineChars="200"/>
        <w:rPr>
          <w:rFonts w:ascii="方正仿宋_GBK" w:hAnsi="宋体" w:eastAsia="方正仿宋_GBK"/>
          <w:color w:val="auto"/>
          <w:sz w:val="24"/>
          <w:highlight w:val="none"/>
        </w:rPr>
      </w:pPr>
    </w:p>
    <w:p w14:paraId="30648E12">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法人或                            法人或</w:t>
      </w:r>
    </w:p>
    <w:p w14:paraId="0B9A9041">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授权代理人签字：                  授权代理人签字：</w:t>
      </w:r>
    </w:p>
    <w:p w14:paraId="4CAACCBD">
      <w:pPr>
        <w:snapToGrid w:val="0"/>
        <w:spacing w:line="400" w:lineRule="exact"/>
        <w:ind w:firstLine="480" w:firstLineChars="200"/>
        <w:rPr>
          <w:rFonts w:hint="eastAsia" w:ascii="方正仿宋_GBK" w:hAnsi="宋体" w:eastAsia="方正仿宋_GBK"/>
          <w:color w:val="auto"/>
          <w:sz w:val="24"/>
          <w:highlight w:val="none"/>
        </w:rPr>
      </w:pPr>
    </w:p>
    <w:p w14:paraId="47191666">
      <w:pPr>
        <w:snapToGrid w:val="0"/>
        <w:spacing w:line="400" w:lineRule="exact"/>
        <w:ind w:firstLine="480" w:firstLineChars="200"/>
        <w:rPr>
          <w:rFonts w:hint="default"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经办人签字：                      经办人签字：</w:t>
      </w:r>
    </w:p>
    <w:p w14:paraId="7AF3955A">
      <w:pPr>
        <w:snapToGrid w:val="0"/>
        <w:spacing w:line="400" w:lineRule="exact"/>
        <w:ind w:firstLine="480" w:firstLineChars="200"/>
        <w:rPr>
          <w:rFonts w:ascii="方正仿宋_GBK" w:hAnsi="宋体" w:eastAsia="方正仿宋_GBK"/>
          <w:color w:val="auto"/>
          <w:sz w:val="24"/>
          <w:highlight w:val="none"/>
        </w:rPr>
      </w:pPr>
    </w:p>
    <w:p w14:paraId="05253D2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联系人电话：                      联系人电话：</w:t>
      </w:r>
    </w:p>
    <w:p w14:paraId="6068E733">
      <w:pPr>
        <w:snapToGrid w:val="0"/>
        <w:spacing w:line="400" w:lineRule="exact"/>
        <w:ind w:firstLine="480" w:firstLineChars="200"/>
        <w:rPr>
          <w:color w:val="auto"/>
          <w:highlight w:val="none"/>
        </w:rPr>
      </w:pPr>
      <w:r>
        <w:rPr>
          <w:rFonts w:hint="eastAsia" w:ascii="方正仿宋_GBK" w:hAnsi="宋体" w:eastAsia="方正仿宋_GBK"/>
          <w:color w:val="auto"/>
          <w:sz w:val="24"/>
          <w:highlight w:val="none"/>
        </w:rPr>
        <w:t>年  月  日                        年  月  日</w:t>
      </w:r>
    </w:p>
    <w:p w14:paraId="57FC0893">
      <w:pPr>
        <w:spacing w:line="360" w:lineRule="auto"/>
        <w:jc w:val="center"/>
        <w:rPr>
          <w:rFonts w:hint="eastAsia" w:ascii="仿宋" w:hAnsi="仿宋" w:eastAsia="仿宋" w:cs="仿宋"/>
          <w:b/>
          <w:color w:val="auto"/>
          <w:sz w:val="44"/>
          <w:highlight w:val="none"/>
        </w:rPr>
      </w:pPr>
    </w:p>
    <w:p w14:paraId="134E8296">
      <w:pPr>
        <w:spacing w:line="360" w:lineRule="auto"/>
        <w:rPr>
          <w:rFonts w:hint="eastAsia" w:ascii="仿宋" w:hAnsi="仿宋" w:eastAsia="仿宋" w:cs="仿宋"/>
          <w:color w:val="auto"/>
          <w:highlight w:val="none"/>
        </w:rPr>
        <w:sectPr>
          <w:headerReference r:id="rId7" w:type="default"/>
          <w:footerReference r:id="rId8" w:type="default"/>
          <w:pgSz w:w="11907" w:h="16840"/>
          <w:pgMar w:top="1134" w:right="1191" w:bottom="1134" w:left="1304" w:header="964" w:footer="992" w:gutter="0"/>
          <w:pgNumType w:fmt="decimal"/>
          <w:cols w:space="720" w:num="1"/>
          <w:docGrid w:linePitch="312" w:charSpace="0"/>
        </w:sectPr>
      </w:pPr>
      <w:bookmarkStart w:id="165" w:name="_Toc76387264"/>
      <w:bookmarkStart w:id="166" w:name="_Toc21676"/>
    </w:p>
    <w:p w14:paraId="472ABA89">
      <w:pPr>
        <w:pStyle w:val="2"/>
        <w:keepNext/>
        <w:keepLines w:val="0"/>
        <w:pageBreakBefore w:val="0"/>
        <w:widowControl w:val="0"/>
        <w:kinsoku/>
        <w:wordWrap/>
        <w:overflowPunct/>
        <w:topLinePunct w:val="0"/>
        <w:autoSpaceDE/>
        <w:autoSpaceDN/>
        <w:bidi w:val="0"/>
        <w:adjustRightInd/>
        <w:snapToGrid/>
        <w:spacing w:before="191" w:beforeLines="50" w:afterLines="0" w:line="360" w:lineRule="auto"/>
        <w:textAlignment w:val="auto"/>
        <w:rPr>
          <w:rFonts w:hint="eastAsia" w:ascii="仿宋" w:hAnsi="仿宋" w:eastAsia="仿宋" w:cs="仿宋"/>
          <w:b/>
          <w:color w:val="auto"/>
          <w:sz w:val="36"/>
          <w:szCs w:val="36"/>
          <w:highlight w:val="none"/>
        </w:rPr>
      </w:pPr>
      <w:bookmarkStart w:id="167" w:name="_Toc10395"/>
      <w:r>
        <w:rPr>
          <w:rFonts w:hint="eastAsia" w:ascii="仿宋" w:hAnsi="仿宋" w:eastAsia="仿宋" w:cs="仿宋"/>
          <w:b/>
          <w:color w:val="auto"/>
          <w:sz w:val="36"/>
          <w:szCs w:val="36"/>
          <w:highlight w:val="none"/>
        </w:rPr>
        <w:t>第七篇  投标文件格</w:t>
      </w:r>
      <w:bookmarkEnd w:id="165"/>
      <w:bookmarkEnd w:id="166"/>
      <w:r>
        <w:rPr>
          <w:rFonts w:hint="eastAsia" w:ascii="仿宋" w:hAnsi="仿宋" w:eastAsia="仿宋" w:cs="仿宋"/>
          <w:b/>
          <w:color w:val="auto"/>
          <w:sz w:val="36"/>
          <w:szCs w:val="36"/>
          <w:highlight w:val="none"/>
        </w:rPr>
        <w:t>式</w:t>
      </w:r>
      <w:bookmarkEnd w:id="167"/>
    </w:p>
    <w:p w14:paraId="35B0DA01">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一、经济文件</w:t>
      </w:r>
    </w:p>
    <w:p w14:paraId="5563A93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（一）开标一览表</w:t>
      </w:r>
    </w:p>
    <w:p w14:paraId="4564472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二、服务文件</w:t>
      </w:r>
    </w:p>
    <w:p w14:paraId="68A3DE1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（一）服务条款差异表</w:t>
      </w:r>
    </w:p>
    <w:p w14:paraId="163EFE7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（二）服务方案（自拟）</w:t>
      </w:r>
    </w:p>
    <w:p w14:paraId="6A0BC26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（三）其他服务资料（按照服务需求和评标标准自拟）</w:t>
      </w:r>
    </w:p>
    <w:p w14:paraId="0D849AF7">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三、商务文件</w:t>
      </w:r>
    </w:p>
    <w:p w14:paraId="01E1296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（一）投标函（格式）</w:t>
      </w:r>
    </w:p>
    <w:p w14:paraId="70C0043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（二）商务条款差异表</w:t>
      </w:r>
    </w:p>
    <w:p w14:paraId="7F6EC8A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（三）其他商务资料（按照商务需求和评标标准自拟）</w:t>
      </w:r>
    </w:p>
    <w:p w14:paraId="62B1824B">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四、其他</w:t>
      </w:r>
    </w:p>
    <w:p w14:paraId="107D6E0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（一）其他与项目有关的资料（自附）</w:t>
      </w:r>
    </w:p>
    <w:p w14:paraId="3F5A4A07">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五、资格文件</w:t>
      </w:r>
    </w:p>
    <w:p w14:paraId="5797665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（一）营业执照（副本）复印件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如果投标人以分支机构参与投标的</w:t>
      </w:r>
      <w:r>
        <w:rPr>
          <w:rFonts w:hint="eastAsia" w:ascii="仿宋" w:hAnsi="仿宋" w:eastAsia="仿宋" w:cs="仿宋"/>
          <w:color w:val="auto"/>
          <w:sz w:val="24"/>
          <w:szCs w:val="24"/>
          <w:highlight w:val="none"/>
          <w:lang w:val="en-US" w:eastAsia="zh-CN"/>
        </w:rPr>
        <w:t>还</w:t>
      </w:r>
      <w:r>
        <w:rPr>
          <w:rFonts w:hint="eastAsia" w:ascii="仿宋" w:hAnsi="仿宋" w:eastAsia="仿宋" w:cs="仿宋"/>
          <w:color w:val="auto"/>
          <w:sz w:val="24"/>
          <w:szCs w:val="24"/>
          <w:highlight w:val="none"/>
        </w:rPr>
        <w:t>须提供总行或省级分行的授权书</w:t>
      </w:r>
    </w:p>
    <w:p w14:paraId="636ACA5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A3FE80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6894F2A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1112B81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（五）特定资格要求的资料（自拟）</w:t>
      </w:r>
    </w:p>
    <w:p w14:paraId="4F3056C7">
      <w:pPr>
        <w:pStyle w:val="3"/>
        <w:spacing w:line="360" w:lineRule="auto"/>
        <w:ind w:firstLine="560" w:firstLineChars="200"/>
        <w:rPr>
          <w:rFonts w:hint="eastAsia" w:ascii="仿宋" w:hAnsi="仿宋" w:eastAsia="仿宋" w:cs="仿宋"/>
          <w:b/>
          <w:color w:val="auto"/>
          <w:szCs w:val="28"/>
          <w:highlight w:val="none"/>
        </w:rPr>
      </w:pPr>
      <w:bookmarkStart w:id="168" w:name="_Toc429584884"/>
      <w:bookmarkStart w:id="169" w:name="_Toc23658"/>
      <w:bookmarkStart w:id="170" w:name="_Toc76387265"/>
      <w:r>
        <w:rPr>
          <w:rFonts w:hint="eastAsia" w:ascii="仿宋" w:hAnsi="仿宋" w:eastAsia="仿宋" w:cs="仿宋"/>
          <w:color w:val="auto"/>
          <w:highlight w:val="none"/>
        </w:rPr>
        <w:br w:type="page"/>
      </w:r>
      <w:bookmarkStart w:id="171" w:name="_Toc5454"/>
      <w:r>
        <w:rPr>
          <w:rFonts w:hint="eastAsia" w:ascii="仿宋" w:hAnsi="仿宋" w:eastAsia="仿宋" w:cs="仿宋"/>
          <w:b/>
          <w:color w:val="auto"/>
          <w:szCs w:val="28"/>
          <w:highlight w:val="none"/>
        </w:rPr>
        <w:t>一、经济文</w:t>
      </w:r>
      <w:bookmarkEnd w:id="168"/>
      <w:bookmarkEnd w:id="169"/>
      <w:bookmarkEnd w:id="170"/>
      <w:r>
        <w:rPr>
          <w:rFonts w:hint="eastAsia" w:ascii="仿宋" w:hAnsi="仿宋" w:eastAsia="仿宋" w:cs="仿宋"/>
          <w:b/>
          <w:color w:val="auto"/>
          <w:szCs w:val="28"/>
          <w:highlight w:val="none"/>
        </w:rPr>
        <w:t>件</w:t>
      </w:r>
      <w:bookmarkEnd w:id="171"/>
    </w:p>
    <w:p w14:paraId="2E8B529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（一）开标一览表</w:t>
      </w:r>
    </w:p>
    <w:p w14:paraId="10B3DF7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p>
    <w:p w14:paraId="25AA8024">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项目名称：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551"/>
        <w:gridCol w:w="3660"/>
        <w:gridCol w:w="2391"/>
      </w:tblGrid>
      <w:tr w14:paraId="0FDA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026" w:type="dxa"/>
            <w:noWrap w:val="0"/>
            <w:vAlign w:val="center"/>
          </w:tcPr>
          <w:p w14:paraId="643CA72B">
            <w:pPr>
              <w:spacing w:line="500" w:lineRule="exact"/>
              <w:jc w:val="center"/>
              <w:rPr>
                <w:rFonts w:hint="eastAsia" w:ascii="方正仿宋_GBK" w:hAnsi="方正仿宋_GBK" w:eastAsia="方正仿宋_GBK" w:cs="方正仿宋_GBK"/>
                <w:color w:val="auto"/>
                <w:sz w:val="21"/>
                <w:szCs w:val="28"/>
                <w:highlight w:val="none"/>
              </w:rPr>
            </w:pPr>
            <w:r>
              <w:rPr>
                <w:rFonts w:hint="eastAsia" w:ascii="方正仿宋_GBK" w:hAnsi="方正仿宋_GBK" w:eastAsia="方正仿宋_GBK" w:cs="方正仿宋_GBK"/>
                <w:color w:val="auto"/>
                <w:sz w:val="24"/>
                <w:szCs w:val="24"/>
                <w:highlight w:val="none"/>
              </w:rPr>
              <w:t>投标人名称</w:t>
            </w:r>
          </w:p>
        </w:tc>
        <w:tc>
          <w:tcPr>
            <w:tcW w:w="7602" w:type="dxa"/>
            <w:gridSpan w:val="3"/>
            <w:noWrap w:val="0"/>
            <w:vAlign w:val="center"/>
          </w:tcPr>
          <w:p w14:paraId="1A1EF58C">
            <w:pPr>
              <w:spacing w:line="500" w:lineRule="exact"/>
              <w:jc w:val="center"/>
              <w:rPr>
                <w:rFonts w:hint="eastAsia" w:ascii="方正仿宋_GBK" w:hAnsi="方正仿宋_GBK" w:eastAsia="方正仿宋_GBK" w:cs="方正仿宋_GBK"/>
                <w:color w:val="auto"/>
                <w:sz w:val="21"/>
                <w:szCs w:val="28"/>
                <w:highlight w:val="none"/>
              </w:rPr>
            </w:pPr>
          </w:p>
        </w:tc>
      </w:tr>
      <w:tr w14:paraId="2202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2026" w:type="dxa"/>
            <w:noWrap w:val="0"/>
            <w:vAlign w:val="center"/>
          </w:tcPr>
          <w:p w14:paraId="4B7F2E64">
            <w:pPr>
              <w:spacing w:line="500" w:lineRule="exact"/>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名称</w:t>
            </w:r>
          </w:p>
        </w:tc>
        <w:tc>
          <w:tcPr>
            <w:tcW w:w="1551" w:type="dxa"/>
            <w:noWrap w:val="0"/>
            <w:vAlign w:val="center"/>
          </w:tcPr>
          <w:p w14:paraId="1BFF4521">
            <w:pPr>
              <w:spacing w:line="500" w:lineRule="exact"/>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本银行</w:t>
            </w:r>
            <w:r>
              <w:rPr>
                <w:rFonts w:hint="eastAsia" w:ascii="仿宋" w:hAnsi="仿宋" w:eastAsia="仿宋" w:cs="仿宋"/>
                <w:color w:val="auto"/>
                <w:kern w:val="0"/>
                <w:sz w:val="24"/>
                <w:szCs w:val="24"/>
                <w:highlight w:val="none"/>
                <w:lang w:val="en-US" w:eastAsia="zh-CN"/>
              </w:rPr>
              <w:t>投标文件密封</w:t>
            </w:r>
            <w:r>
              <w:rPr>
                <w:rFonts w:hint="eastAsia" w:ascii="方正仿宋_GBK" w:hAnsi="方正仿宋_GBK" w:eastAsia="方正仿宋_GBK" w:cs="方正仿宋_GBK"/>
                <w:color w:val="auto"/>
                <w:sz w:val="24"/>
                <w:szCs w:val="28"/>
                <w:highlight w:val="none"/>
                <w:lang w:val="en-US" w:eastAsia="zh-CN"/>
              </w:rPr>
              <w:t>当日</w:t>
            </w:r>
            <w:r>
              <w:rPr>
                <w:rFonts w:hint="eastAsia" w:ascii="方正仿宋_GBK" w:hAnsi="方正仿宋_GBK" w:eastAsia="方正仿宋_GBK" w:cs="方正仿宋_GBK"/>
                <w:color w:val="auto"/>
                <w:sz w:val="24"/>
                <w:szCs w:val="28"/>
                <w:highlight w:val="none"/>
              </w:rPr>
              <w:t>挂牌利率</w:t>
            </w:r>
          </w:p>
        </w:tc>
        <w:tc>
          <w:tcPr>
            <w:tcW w:w="3660" w:type="dxa"/>
            <w:noWrap w:val="0"/>
            <w:vAlign w:val="center"/>
          </w:tcPr>
          <w:p w14:paraId="27737F3A">
            <w:pPr>
              <w:spacing w:line="500" w:lineRule="exact"/>
              <w:jc w:val="center"/>
              <w:rPr>
                <w:rFonts w:hint="eastAsia" w:ascii="方正仿宋_GBK" w:hAnsi="方正仿宋_GBK" w:eastAsia="方正仿宋_GBK" w:cs="方正仿宋_GBK"/>
                <w:color w:val="auto"/>
                <w:sz w:val="24"/>
                <w:szCs w:val="28"/>
                <w:highlight w:val="none"/>
                <w:lang w:val="en-US" w:eastAsia="zh-CN"/>
              </w:rPr>
            </w:pPr>
            <w:r>
              <w:rPr>
                <w:rFonts w:hint="eastAsia" w:ascii="方正仿宋_GBK" w:hAnsi="方正仿宋_GBK" w:eastAsia="方正仿宋_GBK" w:cs="方正仿宋_GBK"/>
                <w:color w:val="auto"/>
                <w:sz w:val="24"/>
                <w:szCs w:val="28"/>
                <w:highlight w:val="none"/>
              </w:rPr>
              <w:t>BP</w:t>
            </w:r>
            <w:r>
              <w:rPr>
                <w:rFonts w:hint="eastAsia" w:ascii="方正仿宋_GBK" w:hAnsi="方正仿宋_GBK" w:eastAsia="方正仿宋_GBK" w:cs="方正仿宋_GBK"/>
                <w:color w:val="auto"/>
                <w:sz w:val="24"/>
                <w:szCs w:val="28"/>
                <w:highlight w:val="none"/>
                <w:lang w:val="en-US" w:eastAsia="zh-CN"/>
              </w:rPr>
              <w:t>报价</w:t>
            </w:r>
          </w:p>
        </w:tc>
        <w:tc>
          <w:tcPr>
            <w:tcW w:w="2391" w:type="dxa"/>
            <w:noWrap w:val="0"/>
            <w:vAlign w:val="center"/>
          </w:tcPr>
          <w:p w14:paraId="67BB4A67">
            <w:pPr>
              <w:spacing w:line="500" w:lineRule="exact"/>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存款利率报价</w:t>
            </w:r>
          </w:p>
        </w:tc>
      </w:tr>
      <w:tr w14:paraId="75B9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2026" w:type="dxa"/>
            <w:noWrap w:val="0"/>
            <w:vAlign w:val="center"/>
          </w:tcPr>
          <w:p w14:paraId="1969EE21">
            <w:pPr>
              <w:spacing w:line="50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lang w:val="en-US" w:eastAsia="zh-CN"/>
              </w:rPr>
              <w:t>一</w:t>
            </w:r>
            <w:r>
              <w:rPr>
                <w:rFonts w:hint="eastAsia" w:ascii="方正仿宋_GBK" w:hAnsi="方正仿宋_GBK" w:eastAsia="方正仿宋_GBK" w:cs="方正仿宋_GBK"/>
                <w:color w:val="auto"/>
                <w:sz w:val="24"/>
                <w:szCs w:val="28"/>
                <w:highlight w:val="none"/>
              </w:rPr>
              <w:t>年期定期存款</w:t>
            </w:r>
          </w:p>
        </w:tc>
        <w:tc>
          <w:tcPr>
            <w:tcW w:w="1551" w:type="dxa"/>
            <w:noWrap w:val="0"/>
            <w:vAlign w:val="center"/>
          </w:tcPr>
          <w:p w14:paraId="069812F3">
            <w:pPr>
              <w:spacing w:line="500" w:lineRule="exact"/>
              <w:ind w:firstLine="240" w:firstLineChars="100"/>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p>
        </w:tc>
        <w:tc>
          <w:tcPr>
            <w:tcW w:w="3660" w:type="dxa"/>
            <w:noWrap w:val="0"/>
            <w:vAlign w:val="center"/>
          </w:tcPr>
          <w:p w14:paraId="556DD1A8">
            <w:pPr>
              <w:spacing w:line="500" w:lineRule="exact"/>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承诺在</w:t>
            </w:r>
            <w:r>
              <w:rPr>
                <w:rFonts w:hint="eastAsia" w:ascii="方正仿宋_GBK" w:hAnsi="方正仿宋_GBK" w:eastAsia="方正仿宋_GBK" w:cs="方正仿宋_GBK"/>
                <w:color w:val="auto"/>
                <w:sz w:val="24"/>
                <w:szCs w:val="28"/>
                <w:highlight w:val="none"/>
                <w:lang w:val="en-US" w:eastAsia="zh-CN"/>
              </w:rPr>
              <w:t>资金存入日</w:t>
            </w:r>
            <w:r>
              <w:rPr>
                <w:rFonts w:hint="eastAsia" w:ascii="方正仿宋_GBK" w:hAnsi="方正仿宋_GBK" w:eastAsia="方正仿宋_GBK" w:cs="方正仿宋_GBK"/>
                <w:color w:val="auto"/>
                <w:sz w:val="24"/>
                <w:szCs w:val="28"/>
                <w:highlight w:val="none"/>
              </w:rPr>
              <w:t>挂牌的</w:t>
            </w:r>
            <w:r>
              <w:rPr>
                <w:rFonts w:hint="eastAsia" w:ascii="方正仿宋_GBK" w:hAnsi="方正仿宋_GBK" w:eastAsia="方正仿宋_GBK" w:cs="方正仿宋_GBK"/>
                <w:color w:val="auto"/>
                <w:sz w:val="24"/>
                <w:szCs w:val="28"/>
                <w:highlight w:val="none"/>
                <w:lang w:val="en-US" w:eastAsia="zh-CN"/>
              </w:rPr>
              <w:t>一</w:t>
            </w:r>
            <w:r>
              <w:rPr>
                <w:rFonts w:hint="eastAsia" w:ascii="方正仿宋_GBK" w:hAnsi="方正仿宋_GBK" w:eastAsia="方正仿宋_GBK" w:cs="方正仿宋_GBK"/>
                <w:color w:val="auto"/>
                <w:sz w:val="24"/>
                <w:szCs w:val="28"/>
                <w:highlight w:val="none"/>
              </w:rPr>
              <w:t>年期定期存款利率基础上上浮</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BP</w:t>
            </w:r>
          </w:p>
        </w:tc>
        <w:tc>
          <w:tcPr>
            <w:tcW w:w="2391" w:type="dxa"/>
            <w:noWrap w:val="0"/>
            <w:vAlign w:val="center"/>
          </w:tcPr>
          <w:p w14:paraId="66C1BC43">
            <w:pPr>
              <w:spacing w:line="50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p>
        </w:tc>
      </w:tr>
      <w:tr w14:paraId="6C51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2026" w:type="dxa"/>
            <w:noWrap w:val="0"/>
            <w:vAlign w:val="center"/>
          </w:tcPr>
          <w:p w14:paraId="60267559">
            <w:pPr>
              <w:spacing w:line="500" w:lineRule="exact"/>
              <w:jc w:val="center"/>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color w:val="auto"/>
                <w:sz w:val="24"/>
                <w:szCs w:val="28"/>
                <w:highlight w:val="none"/>
              </w:rPr>
              <w:t>协定存款</w:t>
            </w:r>
          </w:p>
        </w:tc>
        <w:tc>
          <w:tcPr>
            <w:tcW w:w="1551" w:type="dxa"/>
            <w:noWrap w:val="0"/>
            <w:vAlign w:val="center"/>
          </w:tcPr>
          <w:p w14:paraId="4A5647DB">
            <w:pPr>
              <w:spacing w:line="500" w:lineRule="exact"/>
              <w:ind w:firstLine="240" w:firstLineChars="100"/>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p>
        </w:tc>
        <w:tc>
          <w:tcPr>
            <w:tcW w:w="3660" w:type="dxa"/>
            <w:noWrap w:val="0"/>
            <w:vAlign w:val="center"/>
          </w:tcPr>
          <w:p w14:paraId="377E6F11">
            <w:pPr>
              <w:spacing w:line="500" w:lineRule="exact"/>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承诺在</w:t>
            </w:r>
            <w:r>
              <w:rPr>
                <w:rFonts w:hint="eastAsia" w:ascii="方正仿宋_GBK" w:hAnsi="方正仿宋_GBK" w:eastAsia="方正仿宋_GBK" w:cs="方正仿宋_GBK"/>
                <w:color w:val="auto"/>
                <w:sz w:val="24"/>
                <w:szCs w:val="28"/>
                <w:highlight w:val="none"/>
                <w:lang w:val="en-US" w:eastAsia="zh-CN"/>
              </w:rPr>
              <w:t>资金存入日</w:t>
            </w:r>
            <w:r>
              <w:rPr>
                <w:rFonts w:hint="eastAsia" w:ascii="方正仿宋_GBK" w:hAnsi="方正仿宋_GBK" w:eastAsia="方正仿宋_GBK" w:cs="方正仿宋_GBK"/>
                <w:color w:val="auto"/>
                <w:sz w:val="24"/>
                <w:szCs w:val="28"/>
                <w:highlight w:val="none"/>
              </w:rPr>
              <w:t>挂牌的协定存款利率基础上上浮</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BP</w:t>
            </w:r>
          </w:p>
        </w:tc>
        <w:tc>
          <w:tcPr>
            <w:tcW w:w="2391" w:type="dxa"/>
            <w:noWrap w:val="0"/>
            <w:vAlign w:val="center"/>
          </w:tcPr>
          <w:p w14:paraId="5739E434">
            <w:pPr>
              <w:spacing w:line="500" w:lineRule="exact"/>
              <w:ind w:firstLine="720" w:firstLineChars="30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p>
        </w:tc>
      </w:tr>
    </w:tbl>
    <w:p w14:paraId="02ED208B">
      <w:pPr>
        <w:spacing w:line="360" w:lineRule="auto"/>
        <w:rPr>
          <w:rFonts w:hint="eastAsia" w:ascii="仿宋" w:hAnsi="仿宋" w:eastAsia="仿宋" w:cs="仿宋"/>
          <w:color w:val="auto"/>
          <w:highlight w:val="none"/>
        </w:rPr>
      </w:pPr>
    </w:p>
    <w:p w14:paraId="2F353DD0">
      <w:pPr>
        <w:spacing w:line="360" w:lineRule="auto"/>
        <w:rPr>
          <w:rFonts w:hint="eastAsia" w:ascii="仿宋" w:hAnsi="仿宋" w:eastAsia="仿宋" w:cs="仿宋"/>
          <w:color w:val="auto"/>
          <w:sz w:val="24"/>
          <w:szCs w:val="28"/>
          <w:highlight w:val="none"/>
        </w:rPr>
      </w:pPr>
    </w:p>
    <w:p w14:paraId="6C0B513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                     法定代表人（或法定代表人授权代表）或自然人：</w:t>
      </w:r>
    </w:p>
    <w:p w14:paraId="5EDBA991">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（投标人公章）                               （签署或盖章）</w:t>
      </w:r>
    </w:p>
    <w:p w14:paraId="652BE45C">
      <w:pPr>
        <w:spacing w:line="360" w:lineRule="auto"/>
        <w:rPr>
          <w:rFonts w:hint="eastAsia" w:ascii="仿宋" w:hAnsi="仿宋" w:eastAsia="仿宋" w:cs="仿宋"/>
          <w:color w:val="auto"/>
          <w:sz w:val="24"/>
          <w:szCs w:val="28"/>
          <w:highlight w:val="none"/>
        </w:rPr>
      </w:pPr>
    </w:p>
    <w:p w14:paraId="5072E4B2">
      <w:pPr>
        <w:spacing w:line="360" w:lineRule="auto"/>
        <w:rPr>
          <w:rFonts w:hint="eastAsia" w:ascii="仿宋" w:hAnsi="仿宋" w:eastAsia="仿宋" w:cs="仿宋"/>
          <w:color w:val="auto"/>
          <w:sz w:val="24"/>
          <w:szCs w:val="28"/>
          <w:highlight w:val="none"/>
        </w:rPr>
      </w:pPr>
    </w:p>
    <w:p w14:paraId="7BCE59F0">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年     月     日</w:t>
      </w:r>
    </w:p>
    <w:p w14:paraId="2ED9FA0A">
      <w:pPr>
        <w:snapToGrid w:val="0"/>
        <w:spacing w:line="360" w:lineRule="auto"/>
        <w:ind w:firstLine="480" w:firstLineChars="200"/>
        <w:rPr>
          <w:rFonts w:hint="eastAsia" w:ascii="仿宋" w:hAnsi="仿宋" w:eastAsia="仿宋" w:cs="仿宋"/>
          <w:color w:val="auto"/>
          <w:sz w:val="24"/>
          <w:szCs w:val="28"/>
          <w:highlight w:val="none"/>
        </w:rPr>
      </w:pPr>
    </w:p>
    <w:p w14:paraId="0EF7DBDA">
      <w:pPr>
        <w:snapToGrid w:val="0"/>
        <w:spacing w:line="360" w:lineRule="auto"/>
        <w:ind w:firstLine="480" w:firstLineChars="200"/>
        <w:rPr>
          <w:rFonts w:hint="eastAsia" w:ascii="仿宋" w:hAnsi="仿宋" w:eastAsia="仿宋" w:cs="仿宋"/>
          <w:color w:val="auto"/>
          <w:sz w:val="24"/>
          <w:szCs w:val="28"/>
          <w:highlight w:val="none"/>
        </w:rPr>
      </w:pPr>
    </w:p>
    <w:p w14:paraId="29224486">
      <w:pPr>
        <w:snapToGrid w:val="0"/>
        <w:spacing w:line="360" w:lineRule="auto"/>
        <w:ind w:firstLine="480" w:firstLineChars="200"/>
        <w:rPr>
          <w:rFonts w:hint="eastAsia" w:ascii="仿宋" w:hAnsi="仿宋" w:eastAsia="仿宋" w:cs="仿宋"/>
          <w:color w:val="auto"/>
          <w:sz w:val="24"/>
          <w:szCs w:val="28"/>
          <w:highlight w:val="none"/>
        </w:rPr>
      </w:pPr>
    </w:p>
    <w:p w14:paraId="674BDFB7">
      <w:pPr>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说明：</w:t>
      </w:r>
    </w:p>
    <w:p w14:paraId="580F566B">
      <w:pPr>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1.开标一览表按格式填列；</w:t>
      </w:r>
    </w:p>
    <w:p w14:paraId="34EB447C">
      <w:pPr>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2.开标一览表在开标大会上当众宣读，务必填写清楚，准确无误；</w:t>
      </w:r>
    </w:p>
    <w:p w14:paraId="48D90BD8">
      <w:pPr>
        <w:snapToGrid w:val="0"/>
        <w:spacing w:line="360" w:lineRule="auto"/>
        <w:ind w:firstLine="480" w:firstLineChars="2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3.一年期定期存款利率、协定存款利率报价填报格式为“0.00%”</w:t>
      </w:r>
      <w:r>
        <w:rPr>
          <w:rFonts w:hint="eastAsia" w:ascii="仿宋" w:hAnsi="仿宋" w:eastAsia="仿宋" w:cs="仿宋"/>
          <w:color w:val="auto"/>
          <w:sz w:val="24"/>
          <w:szCs w:val="28"/>
          <w:highlight w:val="none"/>
        </w:rPr>
        <w:t>，须在“%”前保留两位小数，否则视为无效报价。</w:t>
      </w:r>
    </w:p>
    <w:p w14:paraId="7C976AF8">
      <w:pPr>
        <w:pStyle w:val="3"/>
        <w:spacing w:line="360" w:lineRule="auto"/>
        <w:ind w:firstLine="560" w:firstLineChars="200"/>
        <w:rPr>
          <w:rFonts w:hint="eastAsia" w:ascii="仿宋" w:hAnsi="仿宋" w:eastAsia="仿宋" w:cs="仿宋"/>
          <w:b/>
          <w:color w:val="auto"/>
          <w:szCs w:val="28"/>
          <w:highlight w:val="none"/>
        </w:rPr>
      </w:pPr>
      <w:r>
        <w:rPr>
          <w:rFonts w:hint="eastAsia" w:ascii="仿宋" w:hAnsi="仿宋" w:eastAsia="仿宋" w:cs="仿宋"/>
          <w:color w:val="auto"/>
          <w:szCs w:val="28"/>
          <w:highlight w:val="none"/>
        </w:rPr>
        <w:br w:type="page"/>
      </w:r>
      <w:bookmarkStart w:id="172" w:name="_Toc493178790"/>
      <w:bookmarkStart w:id="173" w:name="_Toc28221"/>
      <w:bookmarkStart w:id="174" w:name="_Toc76387266"/>
      <w:bookmarkStart w:id="175" w:name="_Toc13269"/>
      <w:r>
        <w:rPr>
          <w:rFonts w:hint="eastAsia" w:ascii="仿宋" w:hAnsi="仿宋" w:eastAsia="仿宋" w:cs="仿宋"/>
          <w:b/>
          <w:color w:val="auto"/>
          <w:szCs w:val="28"/>
          <w:highlight w:val="none"/>
        </w:rPr>
        <w:t>二、服务文</w:t>
      </w:r>
      <w:bookmarkEnd w:id="172"/>
      <w:bookmarkEnd w:id="173"/>
      <w:bookmarkEnd w:id="174"/>
      <w:r>
        <w:rPr>
          <w:rFonts w:hint="eastAsia" w:ascii="仿宋" w:hAnsi="仿宋" w:eastAsia="仿宋" w:cs="仿宋"/>
          <w:b/>
          <w:color w:val="auto"/>
          <w:szCs w:val="28"/>
          <w:highlight w:val="none"/>
        </w:rPr>
        <w:t>件</w:t>
      </w:r>
      <w:bookmarkEnd w:id="175"/>
    </w:p>
    <w:p w14:paraId="03CDDAC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（一）服务条款差异表</w:t>
      </w:r>
    </w:p>
    <w:p w14:paraId="070D440A">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项目编号：</w:t>
      </w:r>
    </w:p>
    <w:p w14:paraId="33462F4D">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0CD8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740EAA8F">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969" w:type="dxa"/>
            <w:vAlign w:val="center"/>
          </w:tcPr>
          <w:p w14:paraId="6F2A0C20">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招标要求</w:t>
            </w:r>
          </w:p>
        </w:tc>
        <w:tc>
          <w:tcPr>
            <w:tcW w:w="3081" w:type="dxa"/>
            <w:vAlign w:val="center"/>
          </w:tcPr>
          <w:p w14:paraId="0DE1C998">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投标应答</w:t>
            </w:r>
          </w:p>
        </w:tc>
        <w:tc>
          <w:tcPr>
            <w:tcW w:w="2307" w:type="dxa"/>
            <w:vAlign w:val="center"/>
          </w:tcPr>
          <w:p w14:paraId="7B5BF7D0">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差异说明</w:t>
            </w:r>
          </w:p>
        </w:tc>
      </w:tr>
      <w:tr w14:paraId="53F5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71" w:type="dxa"/>
            <w:vAlign w:val="center"/>
          </w:tcPr>
          <w:p w14:paraId="176A1D4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0A96172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20249DF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19FA5AEC">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43FA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48E77E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5FF706D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2E09A7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0F7563EA">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45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44196F3">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417A482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3BF10805">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65C1A954">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6EBB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C31F64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475909F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2E71FD2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57CD1B87">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27D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360D42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59F1E4F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8CBF1D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41284B82">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3D54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EB939D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57BA18B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532421A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4A1D832D">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1A80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74E638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79936DB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267C3AD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0FEB07B8">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3306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E54F5A5">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53E94AC2">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75E8E62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24FA063C">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47D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910C51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402F5CB0">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191F12E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502BE8AE">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4C25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A48B0F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165F9C2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7DE2DE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4A555C2B">
            <w:pPr>
              <w:tabs>
                <w:tab w:val="left" w:pos="6300"/>
              </w:tabs>
              <w:snapToGrid w:val="0"/>
              <w:spacing w:line="360" w:lineRule="auto"/>
              <w:jc w:val="center"/>
              <w:outlineLvl w:val="0"/>
              <w:rPr>
                <w:rFonts w:hint="eastAsia" w:ascii="仿宋" w:hAnsi="仿宋" w:eastAsia="仿宋" w:cs="仿宋"/>
                <w:color w:val="auto"/>
                <w:szCs w:val="21"/>
                <w:highlight w:val="none"/>
              </w:rPr>
            </w:pPr>
          </w:p>
        </w:tc>
      </w:tr>
    </w:tbl>
    <w:p w14:paraId="1D9D3E72">
      <w:pPr>
        <w:tabs>
          <w:tab w:val="left" w:pos="6300"/>
        </w:tabs>
        <w:snapToGrid w:val="0"/>
        <w:spacing w:line="360" w:lineRule="auto"/>
        <w:ind w:firstLine="570"/>
        <w:rPr>
          <w:rFonts w:hint="eastAsia" w:ascii="仿宋" w:hAnsi="仿宋" w:eastAsia="仿宋" w:cs="仿宋"/>
          <w:color w:val="auto"/>
          <w:sz w:val="24"/>
          <w:szCs w:val="28"/>
          <w:highlight w:val="none"/>
        </w:rPr>
      </w:pPr>
    </w:p>
    <w:p w14:paraId="5C5F0B59">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C2EAC9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项目服务需求”中所列条款进行比较和响应；该表必须按照招标文件要求如实填写，根据投标情况在“差异说明”项填写“无差异”或正负偏离说明</w:t>
      </w:r>
    </w:p>
    <w:p w14:paraId="28462D2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0694845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3.投标应答栏中应当注明具体内容。</w:t>
      </w:r>
    </w:p>
    <w:p w14:paraId="32B4444E">
      <w:pPr>
        <w:tabs>
          <w:tab w:val="left" w:pos="6300"/>
        </w:tabs>
        <w:snapToGrid w:val="0"/>
        <w:spacing w:line="360" w:lineRule="auto"/>
        <w:ind w:firstLine="570"/>
        <w:rPr>
          <w:rFonts w:hint="eastAsia" w:ascii="仿宋" w:hAnsi="仿宋" w:eastAsia="仿宋" w:cs="仿宋"/>
          <w:color w:val="auto"/>
          <w:szCs w:val="24"/>
          <w:highlight w:val="none"/>
        </w:rPr>
      </w:pPr>
    </w:p>
    <w:p w14:paraId="491C9CD5">
      <w:pPr>
        <w:widowControl/>
        <w:spacing w:line="360" w:lineRule="auto"/>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br w:type="page"/>
      </w:r>
    </w:p>
    <w:p w14:paraId="086FC05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（二）服务方案（自拟）</w:t>
      </w:r>
    </w:p>
    <w:p w14:paraId="6BABCD2D">
      <w:pPr>
        <w:spacing w:line="360" w:lineRule="auto"/>
        <w:ind w:firstLine="480" w:firstLineChars="200"/>
        <w:rPr>
          <w:rFonts w:hint="eastAsia" w:ascii="仿宋" w:hAnsi="仿宋" w:eastAsia="仿宋" w:cs="仿宋"/>
          <w:color w:val="auto"/>
          <w:sz w:val="24"/>
          <w:szCs w:val="28"/>
          <w:highlight w:val="none"/>
        </w:rPr>
      </w:pPr>
    </w:p>
    <w:p w14:paraId="730DF113">
      <w:pPr>
        <w:spacing w:line="360" w:lineRule="auto"/>
        <w:ind w:firstLine="480" w:firstLineChars="200"/>
        <w:rPr>
          <w:rFonts w:hint="eastAsia" w:ascii="仿宋" w:hAnsi="仿宋" w:eastAsia="仿宋" w:cs="仿宋"/>
          <w:color w:val="auto"/>
          <w:sz w:val="24"/>
          <w:szCs w:val="28"/>
          <w:highlight w:val="none"/>
        </w:rPr>
      </w:pPr>
    </w:p>
    <w:p w14:paraId="5353C36E">
      <w:pPr>
        <w:spacing w:line="360" w:lineRule="auto"/>
        <w:ind w:firstLine="480" w:firstLineChars="200"/>
        <w:rPr>
          <w:rFonts w:hint="eastAsia" w:ascii="仿宋" w:hAnsi="仿宋" w:eastAsia="仿宋" w:cs="仿宋"/>
          <w:color w:val="auto"/>
          <w:sz w:val="24"/>
          <w:szCs w:val="28"/>
          <w:highlight w:val="none"/>
        </w:rPr>
      </w:pPr>
    </w:p>
    <w:p w14:paraId="3D955196">
      <w:pPr>
        <w:pStyle w:val="10"/>
        <w:rPr>
          <w:rFonts w:hint="eastAsia" w:ascii="仿宋" w:hAnsi="仿宋" w:eastAsia="仿宋" w:cs="仿宋"/>
          <w:color w:val="auto"/>
          <w:sz w:val="24"/>
          <w:szCs w:val="28"/>
          <w:highlight w:val="none"/>
        </w:rPr>
      </w:pPr>
    </w:p>
    <w:p w14:paraId="21ED016B">
      <w:pPr>
        <w:pStyle w:val="10"/>
        <w:rPr>
          <w:rFonts w:hint="eastAsia" w:ascii="仿宋" w:hAnsi="仿宋" w:eastAsia="仿宋" w:cs="仿宋"/>
          <w:color w:val="auto"/>
          <w:sz w:val="24"/>
          <w:szCs w:val="28"/>
          <w:highlight w:val="none"/>
        </w:rPr>
      </w:pPr>
    </w:p>
    <w:p w14:paraId="356107EA">
      <w:pPr>
        <w:pStyle w:val="10"/>
        <w:rPr>
          <w:rFonts w:hint="eastAsia" w:ascii="仿宋" w:hAnsi="仿宋" w:eastAsia="仿宋" w:cs="仿宋"/>
          <w:color w:val="auto"/>
          <w:sz w:val="24"/>
          <w:szCs w:val="28"/>
          <w:highlight w:val="none"/>
        </w:rPr>
      </w:pPr>
    </w:p>
    <w:p w14:paraId="24B9CC8D">
      <w:pPr>
        <w:pStyle w:val="10"/>
        <w:rPr>
          <w:rFonts w:hint="eastAsia" w:ascii="仿宋" w:hAnsi="仿宋" w:eastAsia="仿宋" w:cs="仿宋"/>
          <w:color w:val="auto"/>
          <w:sz w:val="24"/>
          <w:szCs w:val="28"/>
          <w:highlight w:val="none"/>
        </w:rPr>
      </w:pPr>
    </w:p>
    <w:p w14:paraId="5355791E">
      <w:pPr>
        <w:pStyle w:val="10"/>
        <w:rPr>
          <w:rFonts w:hint="eastAsia" w:ascii="仿宋" w:hAnsi="仿宋" w:eastAsia="仿宋" w:cs="仿宋"/>
          <w:color w:val="auto"/>
          <w:sz w:val="24"/>
          <w:szCs w:val="28"/>
          <w:highlight w:val="none"/>
        </w:rPr>
      </w:pPr>
    </w:p>
    <w:p w14:paraId="556BFA65">
      <w:pPr>
        <w:pStyle w:val="10"/>
        <w:rPr>
          <w:rFonts w:hint="eastAsia" w:ascii="仿宋" w:hAnsi="仿宋" w:eastAsia="仿宋" w:cs="仿宋"/>
          <w:color w:val="auto"/>
          <w:sz w:val="24"/>
          <w:szCs w:val="28"/>
          <w:highlight w:val="none"/>
        </w:rPr>
      </w:pPr>
    </w:p>
    <w:p w14:paraId="144B087B">
      <w:pPr>
        <w:pStyle w:val="10"/>
        <w:rPr>
          <w:rFonts w:hint="eastAsia" w:ascii="仿宋" w:hAnsi="仿宋" w:eastAsia="仿宋" w:cs="仿宋"/>
          <w:color w:val="auto"/>
          <w:sz w:val="24"/>
          <w:szCs w:val="28"/>
          <w:highlight w:val="none"/>
        </w:rPr>
      </w:pPr>
    </w:p>
    <w:p w14:paraId="519FBAB5">
      <w:pPr>
        <w:pStyle w:val="10"/>
        <w:rPr>
          <w:rFonts w:hint="eastAsia" w:ascii="仿宋" w:hAnsi="仿宋" w:eastAsia="仿宋" w:cs="仿宋"/>
          <w:color w:val="auto"/>
          <w:sz w:val="24"/>
          <w:szCs w:val="28"/>
          <w:highlight w:val="none"/>
        </w:rPr>
      </w:pPr>
    </w:p>
    <w:p w14:paraId="7347D353">
      <w:pPr>
        <w:pStyle w:val="10"/>
        <w:rPr>
          <w:rFonts w:hint="eastAsia" w:ascii="仿宋" w:hAnsi="仿宋" w:eastAsia="仿宋" w:cs="仿宋"/>
          <w:color w:val="auto"/>
          <w:sz w:val="24"/>
          <w:szCs w:val="28"/>
          <w:highlight w:val="none"/>
        </w:rPr>
      </w:pPr>
    </w:p>
    <w:p w14:paraId="5B3B6CA1">
      <w:pPr>
        <w:pStyle w:val="10"/>
        <w:rPr>
          <w:rFonts w:hint="eastAsia" w:ascii="仿宋" w:hAnsi="仿宋" w:eastAsia="仿宋" w:cs="仿宋"/>
          <w:color w:val="auto"/>
          <w:sz w:val="24"/>
          <w:szCs w:val="28"/>
          <w:highlight w:val="none"/>
        </w:rPr>
      </w:pPr>
    </w:p>
    <w:p w14:paraId="2F9D9278">
      <w:pPr>
        <w:pStyle w:val="10"/>
        <w:rPr>
          <w:rFonts w:hint="eastAsia" w:ascii="仿宋" w:hAnsi="仿宋" w:eastAsia="仿宋" w:cs="仿宋"/>
          <w:color w:val="auto"/>
          <w:sz w:val="24"/>
          <w:szCs w:val="28"/>
          <w:highlight w:val="none"/>
        </w:rPr>
      </w:pPr>
    </w:p>
    <w:p w14:paraId="5DFFF9FB">
      <w:pPr>
        <w:pStyle w:val="10"/>
        <w:rPr>
          <w:rFonts w:hint="eastAsia" w:ascii="仿宋" w:hAnsi="仿宋" w:eastAsia="仿宋" w:cs="仿宋"/>
          <w:color w:val="auto"/>
          <w:sz w:val="24"/>
          <w:szCs w:val="28"/>
          <w:highlight w:val="none"/>
        </w:rPr>
      </w:pPr>
    </w:p>
    <w:p w14:paraId="1D9165DB">
      <w:pPr>
        <w:pStyle w:val="10"/>
        <w:rPr>
          <w:rFonts w:hint="eastAsia" w:ascii="仿宋" w:hAnsi="仿宋" w:eastAsia="仿宋" w:cs="仿宋"/>
          <w:color w:val="auto"/>
          <w:sz w:val="24"/>
          <w:szCs w:val="28"/>
          <w:highlight w:val="none"/>
        </w:rPr>
      </w:pPr>
    </w:p>
    <w:p w14:paraId="02DD536D">
      <w:pPr>
        <w:pStyle w:val="10"/>
        <w:rPr>
          <w:rFonts w:hint="eastAsia" w:ascii="仿宋" w:hAnsi="仿宋" w:eastAsia="仿宋" w:cs="仿宋"/>
          <w:color w:val="auto"/>
          <w:sz w:val="24"/>
          <w:szCs w:val="28"/>
          <w:highlight w:val="none"/>
        </w:rPr>
      </w:pPr>
    </w:p>
    <w:p w14:paraId="5D73F551">
      <w:pPr>
        <w:pStyle w:val="10"/>
        <w:rPr>
          <w:rFonts w:hint="eastAsia" w:ascii="仿宋" w:hAnsi="仿宋" w:eastAsia="仿宋" w:cs="仿宋"/>
          <w:color w:val="auto"/>
          <w:sz w:val="24"/>
          <w:szCs w:val="28"/>
          <w:highlight w:val="none"/>
        </w:rPr>
      </w:pPr>
    </w:p>
    <w:p w14:paraId="59D9DBD5">
      <w:pPr>
        <w:pStyle w:val="10"/>
        <w:rPr>
          <w:rFonts w:hint="eastAsia" w:ascii="仿宋" w:hAnsi="仿宋" w:eastAsia="仿宋" w:cs="仿宋"/>
          <w:color w:val="auto"/>
          <w:sz w:val="24"/>
          <w:szCs w:val="28"/>
          <w:highlight w:val="none"/>
        </w:rPr>
      </w:pPr>
    </w:p>
    <w:p w14:paraId="68155B77">
      <w:pPr>
        <w:pStyle w:val="10"/>
        <w:rPr>
          <w:rFonts w:hint="eastAsia" w:ascii="仿宋" w:hAnsi="仿宋" w:eastAsia="仿宋" w:cs="仿宋"/>
          <w:color w:val="auto"/>
          <w:sz w:val="24"/>
          <w:szCs w:val="28"/>
          <w:highlight w:val="none"/>
        </w:rPr>
      </w:pPr>
    </w:p>
    <w:p w14:paraId="627BB1BF">
      <w:pPr>
        <w:pStyle w:val="10"/>
        <w:rPr>
          <w:rFonts w:hint="eastAsia" w:ascii="仿宋" w:hAnsi="仿宋" w:eastAsia="仿宋" w:cs="仿宋"/>
          <w:color w:val="auto"/>
          <w:sz w:val="24"/>
          <w:szCs w:val="28"/>
          <w:highlight w:val="none"/>
        </w:rPr>
      </w:pPr>
    </w:p>
    <w:p w14:paraId="326DD215">
      <w:pPr>
        <w:pStyle w:val="10"/>
        <w:rPr>
          <w:rFonts w:hint="eastAsia" w:ascii="仿宋" w:hAnsi="仿宋" w:eastAsia="仿宋" w:cs="仿宋"/>
          <w:color w:val="auto"/>
          <w:sz w:val="24"/>
          <w:szCs w:val="28"/>
          <w:highlight w:val="none"/>
        </w:rPr>
      </w:pPr>
    </w:p>
    <w:p w14:paraId="358CF980">
      <w:pPr>
        <w:pStyle w:val="10"/>
        <w:rPr>
          <w:rFonts w:hint="eastAsia" w:ascii="仿宋" w:hAnsi="仿宋" w:eastAsia="仿宋" w:cs="仿宋"/>
          <w:color w:val="auto"/>
          <w:sz w:val="24"/>
          <w:szCs w:val="28"/>
          <w:highlight w:val="none"/>
        </w:rPr>
      </w:pPr>
    </w:p>
    <w:p w14:paraId="4BC91699">
      <w:pPr>
        <w:pStyle w:val="10"/>
        <w:rPr>
          <w:rFonts w:hint="eastAsia" w:ascii="仿宋" w:hAnsi="仿宋" w:eastAsia="仿宋" w:cs="仿宋"/>
          <w:color w:val="auto"/>
          <w:sz w:val="24"/>
          <w:szCs w:val="28"/>
          <w:highlight w:val="none"/>
        </w:rPr>
      </w:pPr>
    </w:p>
    <w:p w14:paraId="7CEAFE58">
      <w:pPr>
        <w:pStyle w:val="10"/>
        <w:rPr>
          <w:rFonts w:hint="eastAsia" w:ascii="仿宋" w:hAnsi="仿宋" w:eastAsia="仿宋" w:cs="仿宋"/>
          <w:color w:val="auto"/>
          <w:sz w:val="24"/>
          <w:szCs w:val="28"/>
          <w:highlight w:val="none"/>
        </w:rPr>
      </w:pPr>
    </w:p>
    <w:p w14:paraId="7B8F92DA">
      <w:pPr>
        <w:pStyle w:val="10"/>
        <w:rPr>
          <w:rFonts w:hint="eastAsia" w:ascii="仿宋" w:hAnsi="仿宋" w:eastAsia="仿宋" w:cs="仿宋"/>
          <w:color w:val="auto"/>
          <w:sz w:val="24"/>
          <w:szCs w:val="28"/>
          <w:highlight w:val="none"/>
        </w:rPr>
      </w:pPr>
    </w:p>
    <w:p w14:paraId="74CC458F">
      <w:pPr>
        <w:pStyle w:val="10"/>
        <w:rPr>
          <w:rFonts w:hint="eastAsia" w:ascii="仿宋" w:hAnsi="仿宋" w:eastAsia="仿宋" w:cs="仿宋"/>
          <w:color w:val="auto"/>
          <w:sz w:val="24"/>
          <w:szCs w:val="28"/>
          <w:highlight w:val="none"/>
        </w:rPr>
      </w:pPr>
    </w:p>
    <w:p w14:paraId="3CD031A9">
      <w:pPr>
        <w:pStyle w:val="10"/>
        <w:rPr>
          <w:rFonts w:hint="eastAsia" w:ascii="仿宋" w:hAnsi="仿宋" w:eastAsia="仿宋" w:cs="仿宋"/>
          <w:color w:val="auto"/>
          <w:sz w:val="24"/>
          <w:szCs w:val="28"/>
          <w:highlight w:val="none"/>
        </w:rPr>
      </w:pPr>
    </w:p>
    <w:p w14:paraId="50486AD1">
      <w:pPr>
        <w:pStyle w:val="10"/>
        <w:rPr>
          <w:rFonts w:hint="eastAsia" w:ascii="仿宋" w:hAnsi="仿宋" w:eastAsia="仿宋" w:cs="仿宋"/>
          <w:color w:val="auto"/>
          <w:sz w:val="24"/>
          <w:szCs w:val="28"/>
          <w:highlight w:val="none"/>
        </w:rPr>
      </w:pPr>
    </w:p>
    <w:p w14:paraId="7D326257">
      <w:pPr>
        <w:pStyle w:val="10"/>
        <w:rPr>
          <w:rFonts w:hint="eastAsia" w:ascii="仿宋" w:hAnsi="仿宋" w:eastAsia="仿宋" w:cs="仿宋"/>
          <w:color w:val="auto"/>
          <w:sz w:val="24"/>
          <w:szCs w:val="28"/>
          <w:highlight w:val="none"/>
        </w:rPr>
      </w:pPr>
    </w:p>
    <w:p w14:paraId="3B7C087B">
      <w:pPr>
        <w:pStyle w:val="10"/>
        <w:rPr>
          <w:rFonts w:hint="eastAsia" w:ascii="仿宋" w:hAnsi="仿宋" w:eastAsia="仿宋" w:cs="仿宋"/>
          <w:color w:val="auto"/>
          <w:sz w:val="24"/>
          <w:szCs w:val="28"/>
          <w:highlight w:val="none"/>
        </w:rPr>
      </w:pPr>
    </w:p>
    <w:p w14:paraId="4A781E8F">
      <w:pPr>
        <w:pStyle w:val="10"/>
        <w:rPr>
          <w:rFonts w:hint="eastAsia" w:ascii="仿宋" w:hAnsi="仿宋" w:eastAsia="仿宋" w:cs="仿宋"/>
          <w:color w:val="auto"/>
          <w:sz w:val="24"/>
          <w:szCs w:val="28"/>
          <w:highlight w:val="none"/>
        </w:rPr>
      </w:pPr>
    </w:p>
    <w:p w14:paraId="2787CABC">
      <w:pPr>
        <w:pStyle w:val="10"/>
        <w:rPr>
          <w:rFonts w:hint="eastAsia" w:ascii="仿宋" w:hAnsi="仿宋" w:eastAsia="仿宋" w:cs="仿宋"/>
          <w:color w:val="auto"/>
          <w:sz w:val="24"/>
          <w:szCs w:val="28"/>
          <w:highlight w:val="none"/>
        </w:rPr>
      </w:pPr>
    </w:p>
    <w:p w14:paraId="0FA39CE5">
      <w:pPr>
        <w:pStyle w:val="10"/>
        <w:rPr>
          <w:rFonts w:hint="eastAsia" w:ascii="仿宋" w:hAnsi="仿宋" w:eastAsia="仿宋" w:cs="仿宋"/>
          <w:color w:val="auto"/>
          <w:sz w:val="24"/>
          <w:szCs w:val="28"/>
          <w:highlight w:val="none"/>
        </w:rPr>
      </w:pPr>
    </w:p>
    <w:p w14:paraId="53D4C3F8">
      <w:pPr>
        <w:pStyle w:val="10"/>
        <w:rPr>
          <w:rFonts w:hint="eastAsia" w:ascii="仿宋" w:hAnsi="仿宋" w:eastAsia="仿宋" w:cs="仿宋"/>
          <w:color w:val="auto"/>
          <w:sz w:val="24"/>
          <w:szCs w:val="28"/>
          <w:highlight w:val="none"/>
        </w:rPr>
      </w:pPr>
    </w:p>
    <w:p w14:paraId="331EFFD8">
      <w:pPr>
        <w:pStyle w:val="10"/>
        <w:rPr>
          <w:rFonts w:hint="eastAsia" w:ascii="仿宋" w:hAnsi="仿宋" w:eastAsia="仿宋" w:cs="仿宋"/>
          <w:color w:val="auto"/>
          <w:sz w:val="24"/>
          <w:szCs w:val="28"/>
          <w:highlight w:val="none"/>
        </w:rPr>
      </w:pPr>
    </w:p>
    <w:p w14:paraId="427189B2">
      <w:pPr>
        <w:pStyle w:val="10"/>
        <w:rPr>
          <w:rFonts w:hint="eastAsia" w:ascii="仿宋" w:hAnsi="仿宋" w:eastAsia="仿宋" w:cs="仿宋"/>
          <w:color w:val="auto"/>
          <w:sz w:val="24"/>
          <w:szCs w:val="28"/>
          <w:highlight w:val="none"/>
        </w:rPr>
      </w:pPr>
    </w:p>
    <w:p w14:paraId="301AB707">
      <w:pPr>
        <w:pStyle w:val="10"/>
        <w:rPr>
          <w:rFonts w:hint="eastAsia" w:ascii="仿宋" w:hAnsi="仿宋" w:eastAsia="仿宋" w:cs="仿宋"/>
          <w:color w:val="auto"/>
          <w:sz w:val="24"/>
          <w:szCs w:val="28"/>
          <w:highlight w:val="none"/>
        </w:rPr>
      </w:pPr>
    </w:p>
    <w:p w14:paraId="039C8D8E">
      <w:pPr>
        <w:pStyle w:val="10"/>
        <w:rPr>
          <w:rFonts w:hint="eastAsia" w:ascii="仿宋" w:hAnsi="仿宋" w:eastAsia="仿宋" w:cs="仿宋"/>
          <w:color w:val="auto"/>
          <w:sz w:val="24"/>
          <w:szCs w:val="28"/>
          <w:highlight w:val="none"/>
        </w:rPr>
      </w:pPr>
    </w:p>
    <w:p w14:paraId="798F9542">
      <w:pPr>
        <w:pStyle w:val="10"/>
        <w:rPr>
          <w:rFonts w:hint="eastAsia" w:ascii="仿宋" w:hAnsi="仿宋" w:eastAsia="仿宋" w:cs="仿宋"/>
          <w:color w:val="auto"/>
          <w:sz w:val="24"/>
          <w:szCs w:val="28"/>
          <w:highlight w:val="none"/>
        </w:rPr>
      </w:pPr>
    </w:p>
    <w:p w14:paraId="2619995E">
      <w:pPr>
        <w:pStyle w:val="10"/>
        <w:rPr>
          <w:rFonts w:hint="eastAsia" w:ascii="仿宋" w:hAnsi="仿宋" w:eastAsia="仿宋" w:cs="仿宋"/>
          <w:color w:val="auto"/>
          <w:sz w:val="24"/>
          <w:szCs w:val="28"/>
          <w:highlight w:val="none"/>
        </w:rPr>
      </w:pPr>
    </w:p>
    <w:p w14:paraId="4B567555">
      <w:pPr>
        <w:spacing w:line="360" w:lineRule="auto"/>
        <w:ind w:firstLine="480" w:firstLineChars="200"/>
        <w:rPr>
          <w:rFonts w:hint="eastAsia" w:ascii="仿宋" w:hAnsi="仿宋" w:eastAsia="仿宋" w:cs="仿宋"/>
          <w:color w:val="auto"/>
          <w:sz w:val="24"/>
          <w:szCs w:val="28"/>
          <w:highlight w:val="none"/>
        </w:rPr>
      </w:pPr>
    </w:p>
    <w:p w14:paraId="4038D9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w:t>
      </w:r>
      <w:r>
        <w:rPr>
          <w:rFonts w:hint="eastAsia" w:ascii="仿宋" w:hAnsi="仿宋" w:eastAsia="仿宋" w:cs="仿宋"/>
          <w:color w:val="auto"/>
          <w:sz w:val="24"/>
          <w:szCs w:val="24"/>
          <w:highlight w:val="none"/>
        </w:rPr>
        <w:t>其他服务资料</w:t>
      </w:r>
      <w:bookmarkStart w:id="176" w:name="_Toc492721039"/>
      <w:bookmarkStart w:id="177" w:name="_Toc76387267"/>
      <w:bookmarkStart w:id="178" w:name="_Toc493178791"/>
      <w:bookmarkStart w:id="179" w:name="_Toc22732"/>
    </w:p>
    <w:p w14:paraId="55FB896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（按照服务需求和评标标准自拟）</w:t>
      </w:r>
    </w:p>
    <w:p w14:paraId="5F4C281E">
      <w:pPr>
        <w:spacing w:line="360" w:lineRule="auto"/>
        <w:ind w:firstLine="480" w:firstLineChars="200"/>
        <w:rPr>
          <w:rFonts w:hint="eastAsia" w:ascii="仿宋" w:hAnsi="仿宋" w:eastAsia="仿宋" w:cs="仿宋"/>
          <w:color w:val="auto"/>
          <w:sz w:val="24"/>
          <w:szCs w:val="28"/>
          <w:highlight w:val="none"/>
        </w:rPr>
      </w:pPr>
    </w:p>
    <w:p w14:paraId="15C88EA6">
      <w:pPr>
        <w:spacing w:line="360" w:lineRule="auto"/>
        <w:ind w:firstLine="480" w:firstLineChars="200"/>
        <w:rPr>
          <w:rFonts w:hint="eastAsia" w:ascii="仿宋" w:hAnsi="仿宋" w:eastAsia="仿宋" w:cs="仿宋"/>
          <w:color w:val="auto"/>
          <w:sz w:val="24"/>
          <w:szCs w:val="28"/>
          <w:highlight w:val="none"/>
        </w:rPr>
      </w:pPr>
    </w:p>
    <w:p w14:paraId="22C24C2B">
      <w:pPr>
        <w:spacing w:line="360" w:lineRule="auto"/>
        <w:ind w:firstLine="480" w:firstLineChars="200"/>
        <w:rPr>
          <w:rFonts w:hint="eastAsia" w:ascii="仿宋" w:hAnsi="仿宋" w:eastAsia="仿宋" w:cs="仿宋"/>
          <w:color w:val="auto"/>
          <w:sz w:val="24"/>
          <w:szCs w:val="28"/>
          <w:highlight w:val="none"/>
        </w:rPr>
      </w:pPr>
    </w:p>
    <w:p w14:paraId="070C6794">
      <w:pPr>
        <w:spacing w:line="360" w:lineRule="auto"/>
        <w:ind w:firstLine="480" w:firstLineChars="200"/>
        <w:rPr>
          <w:rFonts w:hint="eastAsia" w:ascii="仿宋" w:hAnsi="仿宋" w:eastAsia="仿宋" w:cs="仿宋"/>
          <w:color w:val="auto"/>
          <w:sz w:val="24"/>
          <w:szCs w:val="28"/>
          <w:highlight w:val="none"/>
        </w:rPr>
      </w:pPr>
    </w:p>
    <w:p w14:paraId="7E9D3B1A">
      <w:pPr>
        <w:spacing w:line="360" w:lineRule="auto"/>
        <w:ind w:firstLine="480" w:firstLineChars="200"/>
        <w:rPr>
          <w:rFonts w:hint="eastAsia" w:ascii="仿宋" w:hAnsi="仿宋" w:eastAsia="仿宋" w:cs="仿宋"/>
          <w:color w:val="auto"/>
          <w:sz w:val="24"/>
          <w:szCs w:val="28"/>
          <w:highlight w:val="none"/>
        </w:rPr>
      </w:pPr>
    </w:p>
    <w:p w14:paraId="48A42C15">
      <w:pPr>
        <w:widowControl/>
        <w:spacing w:line="360" w:lineRule="auto"/>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szCs w:val="28"/>
          <w:highlight w:val="none"/>
        </w:rPr>
        <w:br w:type="page"/>
      </w:r>
    </w:p>
    <w:p w14:paraId="3F8227B4">
      <w:pPr>
        <w:pStyle w:val="3"/>
        <w:spacing w:line="360" w:lineRule="auto"/>
        <w:ind w:firstLine="562" w:firstLineChars="200"/>
        <w:rPr>
          <w:rFonts w:hint="eastAsia" w:ascii="仿宋" w:hAnsi="仿宋" w:eastAsia="仿宋" w:cs="仿宋"/>
          <w:b/>
          <w:color w:val="auto"/>
          <w:szCs w:val="28"/>
          <w:highlight w:val="none"/>
        </w:rPr>
      </w:pPr>
      <w:bookmarkStart w:id="180" w:name="_Toc19536"/>
      <w:r>
        <w:rPr>
          <w:rFonts w:hint="eastAsia" w:ascii="仿宋" w:hAnsi="仿宋" w:eastAsia="仿宋" w:cs="仿宋"/>
          <w:b/>
          <w:color w:val="auto"/>
          <w:szCs w:val="28"/>
          <w:highlight w:val="none"/>
        </w:rPr>
        <w:t>三、商务文</w:t>
      </w:r>
      <w:bookmarkEnd w:id="176"/>
      <w:bookmarkEnd w:id="177"/>
      <w:bookmarkEnd w:id="178"/>
      <w:bookmarkEnd w:id="179"/>
      <w:r>
        <w:rPr>
          <w:rFonts w:hint="eastAsia" w:ascii="仿宋" w:hAnsi="仿宋" w:eastAsia="仿宋" w:cs="仿宋"/>
          <w:b/>
          <w:color w:val="auto"/>
          <w:szCs w:val="28"/>
          <w:highlight w:val="none"/>
        </w:rPr>
        <w:t>件</w:t>
      </w:r>
      <w:bookmarkEnd w:id="180"/>
    </w:p>
    <w:p w14:paraId="7DB22313">
      <w:pPr>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（一）投标函（格式）</w:t>
      </w:r>
    </w:p>
    <w:p w14:paraId="452FD703">
      <w:pPr>
        <w:spacing w:line="360" w:lineRule="auto"/>
        <w:rPr>
          <w:rFonts w:hint="eastAsia" w:ascii="仿宋" w:hAnsi="仿宋" w:eastAsia="仿宋" w:cs="仿宋"/>
          <w:color w:val="auto"/>
          <w:sz w:val="24"/>
          <w:szCs w:val="28"/>
          <w:highlight w:val="none"/>
        </w:rPr>
      </w:pPr>
    </w:p>
    <w:p w14:paraId="31748916">
      <w:pPr>
        <w:spacing w:line="360" w:lineRule="auto"/>
        <w:ind w:firstLine="480" w:firstLineChars="200"/>
        <w:rPr>
          <w:rFonts w:hint="eastAsia" w:ascii="仿宋" w:hAnsi="仿宋" w:eastAsia="仿宋" w:cs="仿宋"/>
          <w:color w:val="auto"/>
          <w:sz w:val="24"/>
          <w:szCs w:val="28"/>
          <w:highlight w:val="none"/>
          <w:u w:val="single"/>
        </w:rPr>
      </w:pPr>
      <w:r>
        <w:rPr>
          <w:rFonts w:hint="eastAsia" w:ascii="仿宋" w:hAnsi="仿宋" w:eastAsia="仿宋" w:cs="仿宋"/>
          <w:color w:val="auto"/>
          <w:sz w:val="24"/>
          <w:szCs w:val="28"/>
          <w:highlight w:val="none"/>
        </w:rPr>
        <w:t>招标项目名称：</w:t>
      </w:r>
      <w:r>
        <w:rPr>
          <w:rFonts w:hint="eastAsia" w:ascii="仿宋" w:hAnsi="仿宋" w:eastAsia="仿宋" w:cs="仿宋"/>
          <w:color w:val="auto"/>
          <w:sz w:val="24"/>
          <w:szCs w:val="28"/>
          <w:highlight w:val="none"/>
          <w:u w:val="single"/>
        </w:rPr>
        <w:t xml:space="preserve">                                             </w:t>
      </w:r>
    </w:p>
    <w:p w14:paraId="201F2C74">
      <w:pPr>
        <w:spacing w:line="360" w:lineRule="auto"/>
        <w:rPr>
          <w:rFonts w:hint="eastAsia" w:ascii="仿宋" w:hAnsi="仿宋" w:eastAsia="仿宋" w:cs="仿宋"/>
          <w:color w:val="auto"/>
          <w:sz w:val="24"/>
          <w:szCs w:val="28"/>
          <w:highlight w:val="none"/>
        </w:rPr>
      </w:pPr>
    </w:p>
    <w:p w14:paraId="47B1E8AA">
      <w:pPr>
        <w:tabs>
          <w:tab w:val="left" w:pos="6300"/>
        </w:tabs>
        <w:snapToGrid w:val="0"/>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致：</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eastAsia="zh-CN"/>
        </w:rPr>
        <w:t>招标代理机构</w:t>
      </w:r>
      <w:r>
        <w:rPr>
          <w:rFonts w:hint="eastAsia" w:ascii="仿宋" w:hAnsi="仿宋" w:eastAsia="仿宋" w:cs="仿宋"/>
          <w:color w:val="auto"/>
          <w:sz w:val="24"/>
          <w:szCs w:val="28"/>
          <w:highlight w:val="none"/>
        </w:rPr>
        <w:t>名称）：</w:t>
      </w:r>
    </w:p>
    <w:p w14:paraId="7FF9476E">
      <w:pPr>
        <w:snapToGrid w:val="0"/>
        <w:spacing w:before="120" w:beforeLines="50"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（投标人名称）系中华人民共和国合法企业，注册地址：</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。我方就参加本次投标有关事项郑重声明如下：</w:t>
      </w:r>
    </w:p>
    <w:p w14:paraId="35436CEA">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一、我方完全理解并接受该项目招标文件所有要求。</w:t>
      </w:r>
    </w:p>
    <w:p w14:paraId="28DEA9D3">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二、我方提交的所有投标文件、资料都是准确和真实的，如有虚假或隐瞒，我方愿意承担一切法律责任。</w:t>
      </w:r>
    </w:p>
    <w:p w14:paraId="56BEDF58">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三、我方承诺按照招标文件要求，提供招标项目的服务。</w:t>
      </w:r>
    </w:p>
    <w:p w14:paraId="38326B1A">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四、我方按招标文件要求提交的投标文件为：投标文件正本1份，副本</w:t>
      </w:r>
      <w:r>
        <w:rPr>
          <w:rFonts w:hint="eastAsia" w:ascii="仿宋" w:hAnsi="仿宋" w:eastAsia="仿宋" w:cs="仿宋"/>
          <w:color w:val="auto"/>
          <w:sz w:val="24"/>
          <w:szCs w:val="28"/>
          <w:highlight w:val="none"/>
          <w:lang w:val="en-US" w:eastAsia="zh-CN"/>
        </w:rPr>
        <w:t>2</w:t>
      </w:r>
      <w:r>
        <w:rPr>
          <w:rFonts w:hint="eastAsia" w:ascii="仿宋" w:hAnsi="仿宋" w:eastAsia="仿宋" w:cs="仿宋"/>
          <w:color w:val="auto"/>
          <w:sz w:val="24"/>
          <w:szCs w:val="28"/>
          <w:highlight w:val="none"/>
        </w:rPr>
        <w:t>份，电子文档</w:t>
      </w:r>
      <w:r>
        <w:rPr>
          <w:rFonts w:hint="eastAsia" w:ascii="仿宋" w:hAnsi="仿宋" w:eastAsia="仿宋" w:cs="仿宋"/>
          <w:color w:val="auto"/>
          <w:sz w:val="24"/>
          <w:szCs w:val="28"/>
          <w:highlight w:val="none"/>
          <w:lang w:val="en-US" w:eastAsia="zh-CN"/>
        </w:rPr>
        <w:t>1</w:t>
      </w:r>
      <w:r>
        <w:rPr>
          <w:rFonts w:hint="eastAsia" w:ascii="仿宋" w:hAnsi="仿宋" w:eastAsia="仿宋" w:cs="仿宋"/>
          <w:color w:val="auto"/>
          <w:sz w:val="24"/>
          <w:szCs w:val="28"/>
          <w:highlight w:val="none"/>
        </w:rPr>
        <w:t>份。</w:t>
      </w:r>
    </w:p>
    <w:p w14:paraId="25DDAF49">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五、我方承诺：本次投标的投标有效期为</w:t>
      </w:r>
      <w:r>
        <w:rPr>
          <w:rFonts w:hint="eastAsia" w:ascii="仿宋" w:hAnsi="仿宋" w:eastAsia="仿宋" w:cs="仿宋"/>
          <w:color w:val="auto"/>
          <w:sz w:val="24"/>
          <w:highlight w:val="none"/>
        </w:rPr>
        <w:t>投标截止时间</w:t>
      </w:r>
      <w:r>
        <w:rPr>
          <w:rFonts w:hint="eastAsia" w:ascii="仿宋" w:hAnsi="仿宋" w:eastAsia="仿宋" w:cs="仿宋"/>
          <w:color w:val="auto"/>
          <w:sz w:val="24"/>
          <w:szCs w:val="28"/>
          <w:highlight w:val="none"/>
        </w:rPr>
        <w:t>起90天。</w:t>
      </w:r>
    </w:p>
    <w:p w14:paraId="52FA893D">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六、我方投标报价为闭口价。即在投标有效期和合同有效期内，该报价固定不变。</w:t>
      </w:r>
    </w:p>
    <w:p w14:paraId="4183C5A2">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七、如果我方中标，我方将履行招标文件中规定的各项要求以及我方投标文件的各项承诺，按《中华人民共和国</w:t>
      </w:r>
      <w:r>
        <w:rPr>
          <w:rFonts w:hint="eastAsia" w:ascii="仿宋" w:hAnsi="仿宋" w:eastAsia="仿宋" w:cs="仿宋"/>
          <w:color w:val="auto"/>
          <w:sz w:val="24"/>
          <w:szCs w:val="28"/>
          <w:highlight w:val="none"/>
          <w:lang w:val="en-US" w:eastAsia="zh-CN"/>
        </w:rPr>
        <w:t>招标投标</w:t>
      </w:r>
      <w:r>
        <w:rPr>
          <w:rFonts w:hint="eastAsia" w:ascii="仿宋" w:hAnsi="仿宋" w:eastAsia="仿宋" w:cs="仿宋"/>
          <w:color w:val="auto"/>
          <w:sz w:val="24"/>
          <w:szCs w:val="28"/>
          <w:highlight w:val="none"/>
        </w:rPr>
        <w:t>法》、《中华人民共和国民法典》及合同约定条款承担我方责任。</w:t>
      </w:r>
    </w:p>
    <w:p w14:paraId="4F41FB1E">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八、我方未</w:t>
      </w:r>
      <w:r>
        <w:rPr>
          <w:rFonts w:hint="eastAsia" w:ascii="仿宋" w:hAnsi="仿宋" w:eastAsia="仿宋" w:cs="仿宋"/>
          <w:color w:val="auto"/>
          <w:sz w:val="24"/>
          <w:szCs w:val="24"/>
          <w:highlight w:val="none"/>
        </w:rPr>
        <w:t>为采购项目提供整体设计、规范编制或者项目管理、监理、检测等服务。</w:t>
      </w:r>
    </w:p>
    <w:p w14:paraId="6A8A0CE9">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九、我方理解，最低报价不是中标的唯一条件。</w:t>
      </w:r>
    </w:p>
    <w:p w14:paraId="230798B8">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十、我方同意按有关规定及招标文件要求，交纳足额投标保证金。</w:t>
      </w:r>
    </w:p>
    <w:p w14:paraId="28436610">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十一、若我方中标，愿意按有关规定及招标文件要求缴纳招标代理服务费。</w:t>
      </w:r>
    </w:p>
    <w:p w14:paraId="35268555">
      <w:pPr>
        <w:tabs>
          <w:tab w:val="left" w:pos="6300"/>
        </w:tabs>
        <w:snapToGrid w:val="0"/>
        <w:spacing w:line="360" w:lineRule="auto"/>
        <w:ind w:firstLine="570"/>
        <w:rPr>
          <w:rFonts w:hint="eastAsia" w:ascii="仿宋" w:hAnsi="仿宋" w:eastAsia="仿宋" w:cs="仿宋"/>
          <w:color w:val="auto"/>
          <w:sz w:val="24"/>
          <w:szCs w:val="28"/>
          <w:highlight w:val="none"/>
        </w:rPr>
      </w:pPr>
    </w:p>
    <w:p w14:paraId="5C363F13">
      <w:pPr>
        <w:tabs>
          <w:tab w:val="left" w:pos="6300"/>
        </w:tabs>
        <w:snapToGrid w:val="0"/>
        <w:spacing w:line="360" w:lineRule="auto"/>
        <w:ind w:firstLine="5460" w:firstLineChars="2275"/>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（投标人公章或自然人签署）</w:t>
      </w:r>
    </w:p>
    <w:p w14:paraId="5DF850F5">
      <w:pPr>
        <w:tabs>
          <w:tab w:val="left" w:pos="6300"/>
        </w:tabs>
        <w:snapToGrid w:val="0"/>
        <w:spacing w:line="360" w:lineRule="auto"/>
        <w:ind w:firstLine="570"/>
        <w:rPr>
          <w:rFonts w:hint="eastAsia" w:ascii="仿宋" w:hAnsi="仿宋" w:eastAsia="仿宋" w:cs="仿宋"/>
          <w:color w:val="auto"/>
          <w:sz w:val="24"/>
          <w:szCs w:val="28"/>
          <w:highlight w:val="none"/>
        </w:rPr>
      </w:pPr>
    </w:p>
    <w:p w14:paraId="3F9E22A3">
      <w:pPr>
        <w:tabs>
          <w:tab w:val="left" w:pos="6300"/>
        </w:tabs>
        <w:snapToGrid w:val="0"/>
        <w:spacing w:line="360" w:lineRule="auto"/>
        <w:ind w:firstLine="5760" w:firstLineChars="2400"/>
        <w:rPr>
          <w:rFonts w:hint="eastAsia" w:ascii="仿宋" w:hAnsi="仿宋" w:eastAsia="仿宋" w:cs="仿宋"/>
          <w:color w:val="auto"/>
          <w:szCs w:val="28"/>
          <w:highlight w:val="none"/>
        </w:rPr>
      </w:pPr>
      <w:r>
        <w:rPr>
          <w:rFonts w:hint="eastAsia" w:ascii="仿宋" w:hAnsi="仿宋" w:eastAsia="仿宋" w:cs="仿宋"/>
          <w:color w:val="auto"/>
          <w:sz w:val="24"/>
          <w:szCs w:val="28"/>
          <w:highlight w:val="none"/>
        </w:rPr>
        <w:t>年    月   日</w:t>
      </w:r>
    </w:p>
    <w:p w14:paraId="2C9CEB19">
      <w:pPr>
        <w:spacing w:line="360" w:lineRule="auto"/>
        <w:ind w:firstLine="420" w:firstLineChars="200"/>
        <w:rPr>
          <w:rFonts w:hint="eastAsia" w:ascii="仿宋" w:hAnsi="仿宋" w:eastAsia="仿宋" w:cs="仿宋"/>
          <w:color w:val="auto"/>
          <w:sz w:val="24"/>
          <w:szCs w:val="28"/>
          <w:highlight w:val="none"/>
        </w:rPr>
      </w:pPr>
      <w:r>
        <w:rPr>
          <w:rFonts w:hint="eastAsia" w:ascii="仿宋" w:hAnsi="仿宋" w:eastAsia="仿宋" w:cs="仿宋"/>
          <w:color w:val="auto"/>
          <w:szCs w:val="44"/>
          <w:highlight w:val="none"/>
        </w:rPr>
        <w:br w:type="page"/>
      </w:r>
      <w:r>
        <w:rPr>
          <w:rFonts w:hint="eastAsia" w:ascii="仿宋" w:hAnsi="仿宋" w:eastAsia="仿宋" w:cs="仿宋"/>
          <w:color w:val="auto"/>
          <w:sz w:val="24"/>
          <w:szCs w:val="28"/>
          <w:highlight w:val="none"/>
        </w:rPr>
        <w:t>（二）商务条款差异表</w:t>
      </w:r>
    </w:p>
    <w:p w14:paraId="69C867BB">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项目编号：</w:t>
      </w:r>
    </w:p>
    <w:p w14:paraId="21642939">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1305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4EF08DAF">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969" w:type="dxa"/>
            <w:vAlign w:val="center"/>
          </w:tcPr>
          <w:p w14:paraId="03CB0755">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招标商务要求</w:t>
            </w:r>
          </w:p>
        </w:tc>
        <w:tc>
          <w:tcPr>
            <w:tcW w:w="3081" w:type="dxa"/>
            <w:vAlign w:val="center"/>
          </w:tcPr>
          <w:p w14:paraId="2F0B2FBB">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投标商务应答</w:t>
            </w:r>
          </w:p>
        </w:tc>
        <w:tc>
          <w:tcPr>
            <w:tcW w:w="2307" w:type="dxa"/>
            <w:vAlign w:val="center"/>
          </w:tcPr>
          <w:p w14:paraId="6587F399">
            <w:pPr>
              <w:tabs>
                <w:tab w:val="left" w:pos="6300"/>
              </w:tabs>
              <w:snapToGrid w:val="0"/>
              <w:spacing w:line="360" w:lineRule="auto"/>
              <w:jc w:val="center"/>
              <w:outlineLvl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差异说明</w:t>
            </w:r>
          </w:p>
        </w:tc>
      </w:tr>
      <w:tr w14:paraId="1B22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A94AAE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75558AC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4EC31B5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1539607D">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B49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E6F1138">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72D0BAD3">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F609D1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4BEED386">
            <w:pPr>
              <w:tabs>
                <w:tab w:val="left" w:pos="6300"/>
              </w:tabs>
              <w:snapToGrid w:val="0"/>
              <w:spacing w:line="360" w:lineRule="auto"/>
              <w:jc w:val="center"/>
              <w:outlineLvl w:val="0"/>
              <w:rPr>
                <w:rFonts w:hint="eastAsia" w:ascii="仿宋" w:hAnsi="仿宋" w:eastAsia="仿宋" w:cs="仿宋"/>
                <w:color w:val="auto"/>
                <w:szCs w:val="21"/>
                <w:highlight w:val="none"/>
                <w:lang w:val="en-US" w:eastAsia="zh-CN"/>
              </w:rPr>
            </w:pPr>
          </w:p>
        </w:tc>
      </w:tr>
      <w:tr w14:paraId="3E90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2DA6625">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6FEDF3F7">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74C64CA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7604BFEC">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162F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A64BC55">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1420B2C9">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0D4478B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7BA3796B">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7AFD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BC57327">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494756E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93936B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1B0C0DE7">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CA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4B7D9D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284766C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407AD18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585CC7D1">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4F7C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50EE1C9">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34D1CAA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509EDCA1">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6F4E2C1F">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076E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6FF1F87">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24CCD0E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6D2FCB14">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2BD06E1D">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68BC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2DFAE5E">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347A693F">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403A804C">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2FAB0EFF">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231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CD9F014">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028923C9">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73834D7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3FE199DD">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7840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996CF7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2EC34223">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04A869FA">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68342D76">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5472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CC3A630">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75092826">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0D4AA0D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5C429217">
            <w:pPr>
              <w:tabs>
                <w:tab w:val="left" w:pos="6300"/>
              </w:tabs>
              <w:snapToGrid w:val="0"/>
              <w:spacing w:line="360" w:lineRule="auto"/>
              <w:jc w:val="center"/>
              <w:outlineLvl w:val="0"/>
              <w:rPr>
                <w:rFonts w:hint="eastAsia" w:ascii="仿宋" w:hAnsi="仿宋" w:eastAsia="仿宋" w:cs="仿宋"/>
                <w:color w:val="auto"/>
                <w:szCs w:val="21"/>
                <w:highlight w:val="none"/>
              </w:rPr>
            </w:pPr>
          </w:p>
        </w:tc>
      </w:tr>
      <w:tr w14:paraId="1ABD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262ECEB">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969" w:type="dxa"/>
            <w:vAlign w:val="center"/>
          </w:tcPr>
          <w:p w14:paraId="190D1308">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3081" w:type="dxa"/>
            <w:vAlign w:val="center"/>
          </w:tcPr>
          <w:p w14:paraId="7A4043FD">
            <w:pPr>
              <w:tabs>
                <w:tab w:val="left" w:pos="6300"/>
              </w:tabs>
              <w:snapToGrid w:val="0"/>
              <w:spacing w:line="360" w:lineRule="auto"/>
              <w:jc w:val="center"/>
              <w:outlineLvl w:val="0"/>
              <w:rPr>
                <w:rFonts w:hint="eastAsia" w:ascii="仿宋" w:hAnsi="仿宋" w:eastAsia="仿宋" w:cs="仿宋"/>
                <w:color w:val="auto"/>
                <w:szCs w:val="21"/>
                <w:highlight w:val="none"/>
              </w:rPr>
            </w:pPr>
          </w:p>
        </w:tc>
        <w:tc>
          <w:tcPr>
            <w:tcW w:w="2307" w:type="dxa"/>
            <w:vAlign w:val="center"/>
          </w:tcPr>
          <w:p w14:paraId="352A89D5">
            <w:pPr>
              <w:tabs>
                <w:tab w:val="left" w:pos="6300"/>
              </w:tabs>
              <w:snapToGrid w:val="0"/>
              <w:spacing w:line="360" w:lineRule="auto"/>
              <w:jc w:val="center"/>
              <w:outlineLvl w:val="0"/>
              <w:rPr>
                <w:rFonts w:hint="eastAsia" w:ascii="仿宋" w:hAnsi="仿宋" w:eastAsia="仿宋" w:cs="仿宋"/>
                <w:color w:val="auto"/>
                <w:szCs w:val="21"/>
                <w:highlight w:val="none"/>
              </w:rPr>
            </w:pPr>
          </w:p>
        </w:tc>
      </w:tr>
    </w:tbl>
    <w:p w14:paraId="17DAE1C8">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1DB4EF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项目商务需求”中所列条款进行比较和响应；该表必须按照招标文件要求如实填写，根据投标情况在“差异说明”项填写“无差异”或正负偏离说明</w:t>
      </w:r>
    </w:p>
    <w:p w14:paraId="6225EB9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3FE8C80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3.投标应答栏中应当注明具体内容。</w:t>
      </w:r>
    </w:p>
    <w:p w14:paraId="4DBFC910">
      <w:pPr>
        <w:snapToGrid w:val="0"/>
        <w:spacing w:before="120" w:beforeLines="50" w:line="360" w:lineRule="auto"/>
        <w:ind w:firstLine="560"/>
        <w:jc w:val="left"/>
        <w:rPr>
          <w:rFonts w:hint="eastAsia" w:ascii="仿宋" w:hAnsi="仿宋" w:eastAsia="仿宋" w:cs="仿宋"/>
          <w:color w:val="auto"/>
          <w:sz w:val="24"/>
          <w:szCs w:val="28"/>
          <w:highlight w:val="none"/>
        </w:rPr>
        <w:sectPr>
          <w:footerReference r:id="rId9" w:type="default"/>
          <w:type w:val="nextColumn"/>
          <w:pgSz w:w="11907" w:h="16840"/>
          <w:pgMar w:top="1134" w:right="1191" w:bottom="1134" w:left="1304" w:header="964" w:footer="992" w:gutter="0"/>
          <w:pgNumType w:fmt="decimal"/>
          <w:cols w:space="720" w:num="1"/>
          <w:docGrid w:linePitch="380" w:charSpace="-5735"/>
        </w:sectPr>
      </w:pPr>
    </w:p>
    <w:p w14:paraId="1178D8CA">
      <w:pPr>
        <w:numPr>
          <w:ilvl w:val="0"/>
          <w:numId w:val="3"/>
        </w:numPr>
        <w:snapToGrid w:val="0"/>
        <w:spacing w:before="120" w:beforeLines="50" w:line="360" w:lineRule="auto"/>
        <w:ind w:left="0" w:leftChars="0" w:firstLine="480" w:firstLineChars="200"/>
        <w:jc w:val="left"/>
        <w:rPr>
          <w:rFonts w:hint="eastAsia" w:ascii="仿宋" w:hAnsi="仿宋" w:eastAsia="仿宋" w:cs="仿宋"/>
          <w:color w:val="auto"/>
          <w:szCs w:val="28"/>
          <w:highlight w:val="none"/>
        </w:rPr>
      </w:pPr>
      <w:r>
        <w:rPr>
          <w:rFonts w:hint="eastAsia" w:ascii="仿宋" w:hAnsi="仿宋" w:eastAsia="仿宋" w:cs="仿宋"/>
          <w:color w:val="auto"/>
          <w:sz w:val="24"/>
          <w:szCs w:val="24"/>
          <w:highlight w:val="none"/>
        </w:rPr>
        <w:t>其他商务资料</w:t>
      </w:r>
      <w:r>
        <w:rPr>
          <w:rFonts w:hint="eastAsia" w:ascii="仿宋" w:hAnsi="仿宋" w:eastAsia="仿宋" w:cs="仿宋"/>
          <w:color w:val="auto"/>
          <w:szCs w:val="28"/>
          <w:highlight w:val="none"/>
        </w:rPr>
        <w:t xml:space="preserve"> </w:t>
      </w:r>
      <w:bookmarkStart w:id="181" w:name="_Toc493178792"/>
      <w:bookmarkStart w:id="182" w:name="_Toc492721041"/>
    </w:p>
    <w:p w14:paraId="094E9C7E">
      <w:pPr>
        <w:numPr>
          <w:ilvl w:val="0"/>
          <w:numId w:val="0"/>
        </w:numPr>
        <w:snapToGrid w:val="0"/>
        <w:spacing w:before="120" w:beforeLines="50" w:line="360" w:lineRule="auto"/>
        <w:ind w:leftChars="200"/>
        <w:jc w:val="left"/>
        <w:rPr>
          <w:rFonts w:hint="eastAsia" w:ascii="仿宋" w:hAnsi="仿宋" w:eastAsia="仿宋" w:cs="仿宋"/>
          <w:color w:val="auto"/>
          <w:szCs w:val="28"/>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需求和评标标准自拟）</w:t>
      </w:r>
    </w:p>
    <w:p w14:paraId="63E4B313">
      <w:pPr>
        <w:pStyle w:val="3"/>
        <w:spacing w:line="360" w:lineRule="auto"/>
        <w:ind w:firstLine="562" w:firstLineChars="200"/>
        <w:rPr>
          <w:rFonts w:hint="eastAsia" w:ascii="仿宋" w:hAnsi="仿宋" w:eastAsia="仿宋" w:cs="仿宋"/>
          <w:b/>
          <w:color w:val="auto"/>
          <w:szCs w:val="28"/>
          <w:highlight w:val="none"/>
        </w:rPr>
      </w:pPr>
      <w:bookmarkStart w:id="183" w:name="_Toc76387268"/>
      <w:bookmarkStart w:id="184" w:name="_Toc10101"/>
      <w:r>
        <w:rPr>
          <w:rFonts w:hint="eastAsia" w:ascii="仿宋" w:hAnsi="仿宋" w:eastAsia="仿宋" w:cs="仿宋"/>
          <w:b/>
          <w:color w:val="auto"/>
          <w:szCs w:val="28"/>
          <w:highlight w:val="none"/>
        </w:rPr>
        <w:br w:type="page"/>
      </w:r>
      <w:bookmarkStart w:id="185" w:name="_Toc221"/>
      <w:r>
        <w:rPr>
          <w:rFonts w:hint="eastAsia" w:ascii="仿宋" w:hAnsi="仿宋" w:eastAsia="仿宋" w:cs="仿宋"/>
          <w:b/>
          <w:color w:val="auto"/>
          <w:szCs w:val="28"/>
          <w:highlight w:val="none"/>
        </w:rPr>
        <w:t>四、其</w:t>
      </w:r>
      <w:bookmarkEnd w:id="181"/>
      <w:bookmarkEnd w:id="182"/>
      <w:bookmarkEnd w:id="183"/>
      <w:bookmarkEnd w:id="184"/>
      <w:r>
        <w:rPr>
          <w:rFonts w:hint="eastAsia" w:ascii="仿宋" w:hAnsi="仿宋" w:eastAsia="仿宋" w:cs="仿宋"/>
          <w:b/>
          <w:color w:val="auto"/>
          <w:szCs w:val="28"/>
          <w:highlight w:val="none"/>
        </w:rPr>
        <w:t>他</w:t>
      </w:r>
      <w:bookmarkEnd w:id="185"/>
    </w:p>
    <w:p w14:paraId="0E2466C9">
      <w:pPr>
        <w:pStyle w:val="10"/>
        <w:spacing w:line="360" w:lineRule="auto"/>
        <w:ind w:firstLine="420" w:firstLineChars="200"/>
        <w:rPr>
          <w:rFonts w:hint="eastAsia" w:ascii="仿宋" w:hAnsi="仿宋" w:eastAsia="仿宋" w:cs="仿宋"/>
          <w:color w:val="auto"/>
          <w:highlight w:val="none"/>
          <w:lang w:val="en-US" w:eastAsia="zh-CN"/>
        </w:rPr>
      </w:pPr>
      <w:bookmarkStart w:id="186" w:name="_Toc493178793"/>
      <w:bookmarkStart w:id="187" w:name="_Toc492721038"/>
      <w:r>
        <w:rPr>
          <w:rFonts w:hint="eastAsia" w:ascii="仿宋" w:hAnsi="仿宋" w:eastAsia="仿宋" w:cs="仿宋"/>
          <w:color w:val="auto"/>
          <w:highlight w:val="none"/>
          <w:lang w:val="en-US" w:eastAsia="zh-CN"/>
        </w:rPr>
        <w:t>1.廉政承诺书</w:t>
      </w:r>
    </w:p>
    <w:p w14:paraId="249D9625">
      <w:pPr>
        <w:pStyle w:val="10"/>
        <w:spacing w:line="360" w:lineRule="auto"/>
        <w:rPr>
          <w:rFonts w:hint="default" w:ascii="仿宋" w:hAnsi="仿宋" w:eastAsia="仿宋" w:cs="仿宋"/>
          <w:color w:val="auto"/>
          <w:highlight w:val="none"/>
          <w:lang w:val="en-US" w:eastAsia="zh-CN"/>
        </w:rPr>
      </w:pPr>
    </w:p>
    <w:p w14:paraId="18F3A6FA">
      <w:pPr>
        <w:ind w:firstLine="480" w:firstLineChars="200"/>
        <w:jc w:val="center"/>
        <w:rPr>
          <w:rFonts w:hint="eastAsia" w:ascii="仿宋" w:hAnsi="仿宋" w:eastAsia="仿宋" w:cs="仿宋"/>
          <w:b/>
          <w:bCs/>
          <w:color w:val="auto"/>
          <w:sz w:val="32"/>
          <w:szCs w:val="32"/>
          <w:highlight w:val="none"/>
        </w:rPr>
      </w:pPr>
      <w:bookmarkStart w:id="188" w:name="_Toc76387269"/>
      <w:bookmarkStart w:id="189" w:name="_Toc1322"/>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32"/>
          <w:szCs w:val="32"/>
          <w:highlight w:val="none"/>
        </w:rPr>
        <w:t>廉政承诺书</w:t>
      </w:r>
    </w:p>
    <w:p w14:paraId="75EF3214">
      <w:pPr>
        <w:ind w:firstLine="640" w:firstLineChars="200"/>
        <w:rPr>
          <w:rFonts w:hint="eastAsia" w:ascii="仿宋" w:hAnsi="仿宋" w:eastAsia="仿宋" w:cs="仿宋"/>
          <w:color w:val="auto"/>
          <w:sz w:val="32"/>
          <w:szCs w:val="24"/>
          <w:highlight w:val="none"/>
        </w:rPr>
      </w:pPr>
    </w:p>
    <w:p w14:paraId="7C59F6E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重庆市大渡口区住房和城乡建设委员会</w:t>
      </w:r>
      <w:r>
        <w:rPr>
          <w:rFonts w:hint="eastAsia" w:ascii="仿宋" w:hAnsi="仿宋" w:eastAsia="仿宋" w:cs="仿宋"/>
          <w:color w:val="auto"/>
          <w:sz w:val="24"/>
          <w:szCs w:val="24"/>
          <w:highlight w:val="none"/>
        </w:rPr>
        <w:t>：</w:t>
      </w:r>
    </w:p>
    <w:p w14:paraId="06A5DB3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名称）郑重声明承诺，我行在</w:t>
      </w:r>
      <w:r>
        <w:rPr>
          <w:rFonts w:hint="eastAsia" w:ascii="仿宋" w:hAnsi="仿宋" w:eastAsia="仿宋" w:cs="仿宋"/>
          <w:color w:val="auto"/>
          <w:sz w:val="24"/>
          <w:szCs w:val="24"/>
          <w:highlight w:val="none"/>
          <w:u w:val="single"/>
          <w:lang w:val="en-US" w:eastAsia="zh-CN"/>
        </w:rPr>
        <w:t>大渡口区物业专项维修资金专户管理银行服务</w:t>
      </w:r>
      <w:r>
        <w:rPr>
          <w:rFonts w:hint="eastAsia" w:ascii="仿宋" w:hAnsi="仿宋" w:eastAsia="仿宋" w:cs="仿宋"/>
          <w:color w:val="auto"/>
          <w:sz w:val="24"/>
          <w:szCs w:val="24"/>
          <w:highlight w:val="none"/>
        </w:rPr>
        <w:t xml:space="preserve">过程中，没有资金存放主体相关负责人员输送任何利益行为，也无将资金存放与资金存放主体相关负责人员在本行亲属的业绩、收入挂钩现象。 </w:t>
      </w:r>
    </w:p>
    <w:p w14:paraId="3860E1E8">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1988FE3">
      <w:pPr>
        <w:snapToGrid/>
        <w:spacing w:line="360" w:lineRule="auto"/>
        <w:ind w:left="3570" w:leftChars="1700" w:firstLine="56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投标人（名称）：   （盖单位公章）</w:t>
      </w:r>
    </w:p>
    <w:p w14:paraId="05306A4A">
      <w:pPr>
        <w:snapToGrid/>
        <w:spacing w:line="360" w:lineRule="auto"/>
        <w:ind w:firstLine="3120" w:firstLineChars="1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法定代表人或法定代表人授权代表：    （签署或盖章）</w:t>
      </w:r>
    </w:p>
    <w:p w14:paraId="43F0C523">
      <w:pPr>
        <w:snapToGrid/>
        <w:spacing w:line="360" w:lineRule="auto"/>
        <w:ind w:firstLine="4800" w:firstLineChars="2000"/>
        <w:rPr>
          <w:rFonts w:hint="eastAsia" w:ascii="仿宋" w:hAnsi="仿宋" w:eastAsia="仿宋" w:cs="仿宋"/>
          <w:color w:val="auto"/>
          <w:sz w:val="24"/>
          <w:szCs w:val="24"/>
          <w:highlight w:val="none"/>
          <w:lang w:val="en-US" w:eastAsia="zh-CN"/>
        </w:rPr>
        <w:sectPr>
          <w:pgSz w:w="11907" w:h="16840"/>
          <w:pgMar w:top="1134" w:right="1191" w:bottom="1134" w:left="1304" w:header="964" w:footer="992" w:gutter="0"/>
          <w:pgNumType w:fmt="decimal"/>
          <w:cols w:space="720" w:num="1"/>
          <w:docGrid w:linePitch="380" w:charSpace="-5735"/>
        </w:sectPr>
      </w:pPr>
      <w:r>
        <w:rPr>
          <w:rFonts w:hint="eastAsia" w:ascii="仿宋" w:hAnsi="仿宋" w:eastAsia="仿宋" w:cs="仿宋"/>
          <w:color w:val="auto"/>
          <w:sz w:val="24"/>
          <w:szCs w:val="24"/>
          <w:highlight w:val="none"/>
          <w:lang w:val="en-US" w:eastAsia="zh-CN"/>
        </w:rPr>
        <w:t>日期：年 月  日</w:t>
      </w:r>
    </w:p>
    <w:p w14:paraId="65DCF6DB">
      <w:pPr>
        <w:pStyle w:val="27"/>
        <w:rPr>
          <w:rFonts w:hint="eastAsia" w:ascii="仿宋" w:hAnsi="仿宋" w:eastAsia="仿宋" w:cs="仿宋"/>
          <w:b/>
          <w:color w:val="auto"/>
          <w:szCs w:val="28"/>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其他与项目有关的资料（自附）</w:t>
      </w:r>
      <w:r>
        <w:rPr>
          <w:rFonts w:hint="eastAsia" w:ascii="仿宋" w:hAnsi="仿宋" w:eastAsia="仿宋" w:cs="仿宋"/>
          <w:b/>
          <w:color w:val="auto"/>
          <w:szCs w:val="28"/>
          <w:highlight w:val="none"/>
        </w:rPr>
        <w:br w:type="page"/>
      </w:r>
      <w:r>
        <w:rPr>
          <w:rFonts w:hint="eastAsia" w:ascii="仿宋" w:hAnsi="仿宋" w:eastAsia="仿宋" w:cs="仿宋"/>
          <w:b/>
          <w:color w:val="auto"/>
          <w:szCs w:val="28"/>
          <w:highlight w:val="none"/>
        </w:rPr>
        <w:t>五、资格文</w:t>
      </w:r>
      <w:bookmarkEnd w:id="186"/>
      <w:bookmarkEnd w:id="187"/>
      <w:bookmarkEnd w:id="188"/>
      <w:bookmarkEnd w:id="189"/>
      <w:r>
        <w:rPr>
          <w:rFonts w:hint="eastAsia" w:ascii="仿宋" w:hAnsi="仿宋" w:eastAsia="仿宋" w:cs="仿宋"/>
          <w:b/>
          <w:color w:val="auto"/>
          <w:szCs w:val="28"/>
          <w:highlight w:val="none"/>
        </w:rPr>
        <w:t>件</w:t>
      </w:r>
    </w:p>
    <w:p w14:paraId="01650407">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（一）营业执照（副本）复印件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如果投标人以分支机构参与投标的</w:t>
      </w:r>
      <w:r>
        <w:rPr>
          <w:rFonts w:hint="eastAsia" w:ascii="仿宋" w:hAnsi="仿宋" w:eastAsia="仿宋" w:cs="仿宋"/>
          <w:color w:val="auto"/>
          <w:sz w:val="24"/>
          <w:szCs w:val="24"/>
          <w:highlight w:val="none"/>
          <w:lang w:val="en-US" w:eastAsia="zh-CN"/>
        </w:rPr>
        <w:t>还</w:t>
      </w:r>
      <w:r>
        <w:rPr>
          <w:rFonts w:hint="eastAsia" w:ascii="仿宋" w:hAnsi="仿宋" w:eastAsia="仿宋" w:cs="仿宋"/>
          <w:color w:val="auto"/>
          <w:sz w:val="24"/>
          <w:szCs w:val="24"/>
          <w:highlight w:val="none"/>
        </w:rPr>
        <w:t>须提供总行</w:t>
      </w:r>
      <w:r>
        <w:rPr>
          <w:rFonts w:hint="eastAsia" w:ascii="仿宋" w:hAnsi="仿宋" w:eastAsia="仿宋" w:cs="仿宋"/>
          <w:color w:val="auto"/>
          <w:sz w:val="24"/>
          <w:szCs w:val="24"/>
          <w:highlight w:val="none"/>
          <w:lang w:val="en-US" w:eastAsia="zh-CN"/>
        </w:rPr>
        <w:t>或省级分行</w:t>
      </w:r>
      <w:r>
        <w:rPr>
          <w:rFonts w:hint="eastAsia" w:ascii="仿宋" w:hAnsi="仿宋" w:eastAsia="仿宋" w:cs="仿宋"/>
          <w:color w:val="auto"/>
          <w:sz w:val="24"/>
          <w:szCs w:val="24"/>
          <w:highlight w:val="none"/>
        </w:rPr>
        <w:t>的授权书</w:t>
      </w:r>
    </w:p>
    <w:p w14:paraId="467060DA">
      <w:pPr>
        <w:tabs>
          <w:tab w:val="left" w:pos="6300"/>
        </w:tabs>
        <w:snapToGrid w:val="0"/>
        <w:spacing w:line="360" w:lineRule="auto"/>
        <w:ind w:firstLine="570"/>
        <w:rPr>
          <w:rFonts w:hint="eastAsia" w:ascii="仿宋" w:hAnsi="仿宋" w:eastAsia="仿宋" w:cs="仿宋"/>
          <w:color w:val="auto"/>
          <w:sz w:val="24"/>
          <w:szCs w:val="24"/>
          <w:highlight w:val="none"/>
        </w:rPr>
      </w:pPr>
    </w:p>
    <w:p w14:paraId="74E57169">
      <w:pPr>
        <w:tabs>
          <w:tab w:val="left" w:pos="6300"/>
        </w:tabs>
        <w:snapToGrid w:val="0"/>
        <w:spacing w:line="360" w:lineRule="auto"/>
        <w:ind w:firstLine="570"/>
        <w:rPr>
          <w:rFonts w:hint="eastAsia" w:ascii="仿宋" w:hAnsi="仿宋" w:eastAsia="仿宋" w:cs="仿宋"/>
          <w:color w:val="auto"/>
          <w:highlight w:val="none"/>
        </w:rPr>
      </w:pPr>
    </w:p>
    <w:p w14:paraId="6F18073F">
      <w:pPr>
        <w:tabs>
          <w:tab w:val="left" w:pos="6300"/>
        </w:tabs>
        <w:snapToGrid w:val="0"/>
        <w:spacing w:line="360" w:lineRule="auto"/>
        <w:ind w:firstLine="570"/>
        <w:rPr>
          <w:rFonts w:hint="eastAsia" w:ascii="仿宋" w:hAnsi="仿宋" w:eastAsia="仿宋" w:cs="仿宋"/>
          <w:color w:val="auto"/>
          <w:highlight w:val="none"/>
        </w:rPr>
      </w:pPr>
    </w:p>
    <w:p w14:paraId="4A948DDB">
      <w:pPr>
        <w:tabs>
          <w:tab w:val="left" w:pos="6300"/>
        </w:tabs>
        <w:snapToGrid w:val="0"/>
        <w:spacing w:line="360" w:lineRule="auto"/>
        <w:ind w:firstLine="570"/>
        <w:rPr>
          <w:rFonts w:hint="eastAsia" w:ascii="仿宋" w:hAnsi="仿宋" w:eastAsia="仿宋" w:cs="仿宋"/>
          <w:color w:val="auto"/>
          <w:highlight w:val="none"/>
        </w:rPr>
      </w:pPr>
    </w:p>
    <w:p w14:paraId="041A37A9">
      <w:pPr>
        <w:tabs>
          <w:tab w:val="left" w:pos="6300"/>
        </w:tabs>
        <w:snapToGrid w:val="0"/>
        <w:spacing w:line="360" w:lineRule="auto"/>
        <w:ind w:firstLine="570"/>
        <w:rPr>
          <w:rFonts w:hint="eastAsia" w:ascii="仿宋" w:hAnsi="仿宋" w:eastAsia="仿宋" w:cs="仿宋"/>
          <w:color w:val="auto"/>
          <w:highlight w:val="none"/>
        </w:rPr>
      </w:pPr>
    </w:p>
    <w:p w14:paraId="43EA7B24">
      <w:pPr>
        <w:widowControl/>
        <w:spacing w:line="360" w:lineRule="auto"/>
        <w:ind w:firstLine="42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（二）法定代表人身份证明书（格式）</w:t>
      </w:r>
    </w:p>
    <w:p w14:paraId="3F5761D9">
      <w:pPr>
        <w:tabs>
          <w:tab w:val="left" w:pos="6300"/>
        </w:tabs>
        <w:snapToGrid w:val="0"/>
        <w:spacing w:line="360" w:lineRule="auto"/>
        <w:ind w:firstLine="570"/>
        <w:rPr>
          <w:rFonts w:hint="eastAsia" w:ascii="仿宋" w:hAnsi="仿宋" w:eastAsia="仿宋" w:cs="仿宋"/>
          <w:color w:val="auto"/>
          <w:sz w:val="24"/>
          <w:highlight w:val="none"/>
        </w:rPr>
      </w:pPr>
    </w:p>
    <w:p w14:paraId="38FC0FC2">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招标项目名称：</w:t>
      </w:r>
      <w:r>
        <w:rPr>
          <w:rFonts w:hint="eastAsia" w:ascii="仿宋" w:hAnsi="仿宋" w:eastAsia="仿宋" w:cs="仿宋"/>
          <w:color w:val="auto"/>
          <w:sz w:val="24"/>
          <w:highlight w:val="none"/>
          <w:u w:val="single"/>
        </w:rPr>
        <w:t xml:space="preserve">                                                </w:t>
      </w:r>
    </w:p>
    <w:p w14:paraId="79B9D596">
      <w:pPr>
        <w:tabs>
          <w:tab w:val="left" w:pos="6300"/>
        </w:tabs>
        <w:snapToGrid w:val="0"/>
        <w:spacing w:line="360" w:lineRule="auto"/>
        <w:ind w:firstLine="570"/>
        <w:rPr>
          <w:rFonts w:hint="eastAsia" w:ascii="仿宋" w:hAnsi="仿宋" w:eastAsia="仿宋" w:cs="仿宋"/>
          <w:color w:val="auto"/>
          <w:sz w:val="24"/>
          <w:highlight w:val="none"/>
        </w:rPr>
      </w:pPr>
    </w:p>
    <w:p w14:paraId="2E89D5AD">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名称）：</w:t>
      </w:r>
    </w:p>
    <w:p w14:paraId="33F5A3F7">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14:paraId="03A95DB3">
      <w:pPr>
        <w:tabs>
          <w:tab w:val="left" w:pos="6300"/>
        </w:tabs>
        <w:snapToGrid w:val="0"/>
        <w:spacing w:line="360" w:lineRule="auto"/>
        <w:ind w:firstLine="570"/>
        <w:rPr>
          <w:rFonts w:hint="eastAsia" w:ascii="仿宋" w:hAnsi="仿宋" w:eastAsia="仿宋" w:cs="仿宋"/>
          <w:color w:val="auto"/>
          <w:sz w:val="24"/>
          <w:highlight w:val="none"/>
        </w:rPr>
      </w:pPr>
    </w:p>
    <w:p w14:paraId="2248590D">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2E213A7F">
      <w:pPr>
        <w:tabs>
          <w:tab w:val="left" w:pos="6300"/>
        </w:tabs>
        <w:snapToGrid w:val="0"/>
        <w:spacing w:line="360" w:lineRule="auto"/>
        <w:ind w:firstLine="570"/>
        <w:rPr>
          <w:rFonts w:hint="eastAsia" w:ascii="仿宋" w:hAnsi="仿宋" w:eastAsia="仿宋" w:cs="仿宋"/>
          <w:color w:val="auto"/>
          <w:sz w:val="24"/>
          <w:highlight w:val="none"/>
        </w:rPr>
      </w:pPr>
    </w:p>
    <w:p w14:paraId="2334E8EF">
      <w:pPr>
        <w:tabs>
          <w:tab w:val="left" w:pos="6300"/>
        </w:tabs>
        <w:snapToGrid w:val="0"/>
        <w:spacing w:line="360" w:lineRule="auto"/>
        <w:ind w:firstLine="570"/>
        <w:rPr>
          <w:rFonts w:hint="eastAsia" w:ascii="仿宋" w:hAnsi="仿宋" w:eastAsia="仿宋" w:cs="仿宋"/>
          <w:color w:val="auto"/>
          <w:sz w:val="24"/>
          <w:highlight w:val="none"/>
        </w:rPr>
      </w:pPr>
    </w:p>
    <w:p w14:paraId="19CD5ECD">
      <w:pPr>
        <w:tabs>
          <w:tab w:val="left" w:pos="6300"/>
        </w:tabs>
        <w:snapToGrid w:val="0"/>
        <w:spacing w:line="360" w:lineRule="auto"/>
        <w:ind w:firstLine="570"/>
        <w:rPr>
          <w:rFonts w:hint="eastAsia" w:ascii="仿宋" w:hAnsi="仿宋" w:eastAsia="仿宋" w:cs="仿宋"/>
          <w:color w:val="auto"/>
          <w:sz w:val="24"/>
          <w:highlight w:val="none"/>
        </w:rPr>
      </w:pPr>
    </w:p>
    <w:p w14:paraId="61963313">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（投标人公章）</w:t>
      </w:r>
    </w:p>
    <w:p w14:paraId="14D312BC">
      <w:pPr>
        <w:tabs>
          <w:tab w:val="left" w:pos="6300"/>
        </w:tabs>
        <w:snapToGrid w:val="0"/>
        <w:spacing w:line="360" w:lineRule="auto"/>
        <w:ind w:firstLine="570"/>
        <w:rPr>
          <w:rFonts w:hint="eastAsia" w:ascii="仿宋" w:hAnsi="仿宋" w:eastAsia="仿宋" w:cs="仿宋"/>
          <w:color w:val="auto"/>
          <w:sz w:val="24"/>
          <w:highlight w:val="none"/>
        </w:rPr>
      </w:pPr>
    </w:p>
    <w:p w14:paraId="7F2F011C">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E037E73">
      <w:pPr>
        <w:tabs>
          <w:tab w:val="left" w:pos="6300"/>
        </w:tabs>
        <w:snapToGrid w:val="0"/>
        <w:spacing w:line="360" w:lineRule="auto"/>
        <w:ind w:firstLine="570"/>
        <w:rPr>
          <w:rFonts w:hint="eastAsia" w:ascii="仿宋" w:hAnsi="仿宋" w:eastAsia="仿宋" w:cs="仿宋"/>
          <w:color w:val="auto"/>
          <w:sz w:val="24"/>
          <w:highlight w:val="none"/>
        </w:rPr>
      </w:pPr>
    </w:p>
    <w:p w14:paraId="03530256">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电子邮箱：XXXXXX@XXXXX（若授权他人办理并签署投标文件的可不填写）</w:t>
      </w:r>
    </w:p>
    <w:p w14:paraId="555DBEAB">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460A8A5F">
      <w:pPr>
        <w:tabs>
          <w:tab w:val="left" w:pos="6300"/>
        </w:tabs>
        <w:snapToGrid w:val="0"/>
        <w:spacing w:line="360" w:lineRule="auto"/>
        <w:ind w:firstLine="570"/>
        <w:rPr>
          <w:rFonts w:hint="eastAsia" w:ascii="仿宋" w:hAnsi="仿宋" w:eastAsia="仿宋" w:cs="仿宋"/>
          <w:color w:val="auto"/>
          <w:sz w:val="24"/>
          <w:highlight w:val="none"/>
        </w:rPr>
      </w:pPr>
    </w:p>
    <w:p w14:paraId="00CD6FE6">
      <w:pPr>
        <w:tabs>
          <w:tab w:val="left" w:pos="6300"/>
        </w:tabs>
        <w:snapToGrid w:val="0"/>
        <w:spacing w:line="360" w:lineRule="auto"/>
        <w:ind w:firstLine="570"/>
        <w:rPr>
          <w:rFonts w:hint="eastAsia" w:ascii="仿宋" w:hAnsi="仿宋" w:eastAsia="仿宋" w:cs="仿宋"/>
          <w:color w:val="auto"/>
          <w:sz w:val="24"/>
          <w:highlight w:val="none"/>
        </w:rPr>
      </w:pPr>
    </w:p>
    <w:p w14:paraId="7A557583">
      <w:pPr>
        <w:tabs>
          <w:tab w:val="left" w:pos="6300"/>
        </w:tabs>
        <w:snapToGrid w:val="0"/>
        <w:spacing w:line="360" w:lineRule="auto"/>
        <w:ind w:firstLine="570"/>
        <w:rPr>
          <w:rFonts w:hint="eastAsia" w:ascii="仿宋" w:hAnsi="仿宋" w:eastAsia="仿宋" w:cs="仿宋"/>
          <w:color w:val="auto"/>
          <w:sz w:val="24"/>
          <w:highlight w:val="none"/>
        </w:rPr>
      </w:pPr>
    </w:p>
    <w:p w14:paraId="3D73942B">
      <w:pPr>
        <w:tabs>
          <w:tab w:val="left" w:pos="6300"/>
        </w:tabs>
        <w:snapToGrid w:val="0"/>
        <w:spacing w:line="360" w:lineRule="auto"/>
        <w:ind w:firstLine="570"/>
        <w:rPr>
          <w:rFonts w:hint="eastAsia" w:ascii="仿宋" w:hAnsi="仿宋" w:eastAsia="仿宋" w:cs="仿宋"/>
          <w:color w:val="auto"/>
          <w:sz w:val="24"/>
          <w:szCs w:val="28"/>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8"/>
          <w:highlight w:val="none"/>
        </w:rPr>
        <w:t>（三）法定代表人授权委托书（格式）</w:t>
      </w:r>
    </w:p>
    <w:p w14:paraId="73071FD4">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459FFC3">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招标项目名称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479D674">
      <w:pPr>
        <w:tabs>
          <w:tab w:val="left" w:pos="6300"/>
        </w:tabs>
        <w:snapToGrid w:val="0"/>
        <w:spacing w:line="360" w:lineRule="auto"/>
        <w:ind w:firstLine="570"/>
        <w:rPr>
          <w:rFonts w:hint="eastAsia" w:ascii="仿宋" w:hAnsi="仿宋" w:eastAsia="仿宋" w:cs="仿宋"/>
          <w:color w:val="auto"/>
          <w:sz w:val="24"/>
          <w:highlight w:val="none"/>
        </w:rPr>
      </w:pPr>
    </w:p>
    <w:p w14:paraId="5807D14E">
      <w:pPr>
        <w:tabs>
          <w:tab w:val="left" w:pos="6300"/>
        </w:tabs>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名称）：</w:t>
      </w:r>
    </w:p>
    <w:p w14:paraId="4F0E5B8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（被授权人姓名及身份证代码）代表我单位全权办理上述项目的投标、谈判、签约等具体工作，并签署全部有关文件、协议及合同。</w:t>
      </w:r>
    </w:p>
    <w:p w14:paraId="32DF924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我单位对被授权人的签署负全部责任。</w:t>
      </w:r>
    </w:p>
    <w:p w14:paraId="55880DEC">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在撤销授权的书面通知以前，本授权书一直有效。被授权人在授权书有效期内签署的所有文件不因授权的撤销而失效。</w:t>
      </w:r>
    </w:p>
    <w:p w14:paraId="792AFC18">
      <w:pPr>
        <w:tabs>
          <w:tab w:val="left" w:pos="6300"/>
        </w:tabs>
        <w:snapToGrid w:val="0"/>
        <w:spacing w:line="360" w:lineRule="auto"/>
        <w:ind w:firstLine="570"/>
        <w:rPr>
          <w:rFonts w:hint="eastAsia" w:ascii="仿宋" w:hAnsi="仿宋" w:eastAsia="仿宋" w:cs="仿宋"/>
          <w:color w:val="auto"/>
          <w:sz w:val="24"/>
          <w:highlight w:val="none"/>
        </w:rPr>
      </w:pPr>
    </w:p>
    <w:p w14:paraId="33392317">
      <w:pPr>
        <w:tabs>
          <w:tab w:val="left" w:pos="6300"/>
        </w:tabs>
        <w:snapToGrid w:val="0"/>
        <w:spacing w:line="360" w:lineRule="auto"/>
        <w:ind w:firstLine="570"/>
        <w:rPr>
          <w:rFonts w:hint="eastAsia" w:ascii="仿宋" w:hAnsi="仿宋" w:eastAsia="仿宋" w:cs="仿宋"/>
          <w:color w:val="auto"/>
          <w:sz w:val="24"/>
          <w:highlight w:val="none"/>
        </w:rPr>
      </w:pPr>
    </w:p>
    <w:p w14:paraId="200C4B49">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投标人法定代表人：</w:t>
      </w:r>
    </w:p>
    <w:p w14:paraId="62B99260">
      <w:pPr>
        <w:tabs>
          <w:tab w:val="left" w:pos="6300"/>
        </w:tabs>
        <w:snapToGrid w:val="0"/>
        <w:spacing w:line="360" w:lineRule="auto"/>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（签署或盖章）                                （签署或盖章）</w:t>
      </w:r>
    </w:p>
    <w:p w14:paraId="2C16899F">
      <w:pPr>
        <w:tabs>
          <w:tab w:val="left" w:pos="6300"/>
        </w:tabs>
        <w:snapToGrid w:val="0"/>
        <w:spacing w:line="360" w:lineRule="auto"/>
        <w:ind w:firstLine="570"/>
        <w:rPr>
          <w:rFonts w:hint="eastAsia" w:ascii="仿宋" w:hAnsi="仿宋" w:eastAsia="仿宋" w:cs="仿宋"/>
          <w:color w:val="auto"/>
          <w:sz w:val="24"/>
          <w:szCs w:val="28"/>
          <w:highlight w:val="none"/>
        </w:rPr>
      </w:pPr>
    </w:p>
    <w:p w14:paraId="14295C92">
      <w:pPr>
        <w:tabs>
          <w:tab w:val="left" w:pos="6300"/>
        </w:tabs>
        <w:snapToGrid w:val="0"/>
        <w:spacing w:line="360" w:lineRule="auto"/>
        <w:ind w:firstLine="570"/>
        <w:rPr>
          <w:rFonts w:hint="eastAsia" w:ascii="仿宋" w:hAnsi="仿宋" w:eastAsia="仿宋" w:cs="仿宋"/>
          <w:color w:val="auto"/>
          <w:sz w:val="24"/>
          <w:highlight w:val="none"/>
        </w:rPr>
      </w:pPr>
    </w:p>
    <w:p w14:paraId="682E582B">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2E4C13BF">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FD88DEF">
      <w:pPr>
        <w:tabs>
          <w:tab w:val="left" w:pos="6300"/>
        </w:tabs>
        <w:snapToGrid w:val="0"/>
        <w:spacing w:line="360" w:lineRule="auto"/>
        <w:ind w:firstLine="570"/>
        <w:rPr>
          <w:rFonts w:hint="eastAsia" w:ascii="仿宋" w:hAnsi="仿宋" w:eastAsia="仿宋" w:cs="仿宋"/>
          <w:color w:val="auto"/>
          <w:sz w:val="24"/>
          <w:highlight w:val="none"/>
        </w:rPr>
      </w:pPr>
    </w:p>
    <w:p w14:paraId="5D9F522F">
      <w:pPr>
        <w:tabs>
          <w:tab w:val="left" w:pos="6300"/>
        </w:tabs>
        <w:snapToGrid w:val="0"/>
        <w:spacing w:line="360" w:lineRule="auto"/>
        <w:ind w:firstLine="570"/>
        <w:rPr>
          <w:rFonts w:hint="eastAsia" w:ascii="仿宋" w:hAnsi="仿宋" w:eastAsia="仿宋" w:cs="仿宋"/>
          <w:color w:val="auto"/>
          <w:sz w:val="24"/>
          <w:highlight w:val="none"/>
        </w:rPr>
      </w:pPr>
    </w:p>
    <w:p w14:paraId="7BF50E57">
      <w:pPr>
        <w:tabs>
          <w:tab w:val="left" w:pos="6300"/>
        </w:tabs>
        <w:snapToGrid w:val="0"/>
        <w:spacing w:line="360" w:lineRule="auto"/>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（投标人公章）</w:t>
      </w:r>
    </w:p>
    <w:p w14:paraId="2B6799D4">
      <w:pPr>
        <w:tabs>
          <w:tab w:val="left" w:pos="6300"/>
        </w:tabs>
        <w:snapToGrid w:val="0"/>
        <w:spacing w:line="360" w:lineRule="auto"/>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549383BB">
      <w:pPr>
        <w:tabs>
          <w:tab w:val="left" w:pos="6300"/>
        </w:tabs>
        <w:snapToGrid w:val="0"/>
        <w:spacing w:line="360" w:lineRule="auto"/>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电子邮箱：XXXXXX@XXXXX（若法定代表人办理并签署投标文件的可不填写）</w:t>
      </w:r>
    </w:p>
    <w:p w14:paraId="1B3F2F24">
      <w:pPr>
        <w:tabs>
          <w:tab w:val="left" w:pos="6300"/>
        </w:tabs>
        <w:snapToGrid w:val="0"/>
        <w:spacing w:line="360" w:lineRule="auto"/>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注：若为法定代表人办理并签署投标文件的，不提供此文件。</w:t>
      </w:r>
    </w:p>
    <w:p w14:paraId="4E43652F">
      <w:pPr>
        <w:tabs>
          <w:tab w:val="left" w:pos="6300"/>
        </w:tabs>
        <w:snapToGrid w:val="0"/>
        <w:spacing w:line="360" w:lineRule="auto"/>
        <w:ind w:firstLine="570"/>
        <w:rPr>
          <w:rFonts w:hint="eastAsia" w:ascii="仿宋" w:hAnsi="仿宋" w:eastAsia="仿宋" w:cs="仿宋"/>
          <w:color w:val="auto"/>
          <w:sz w:val="24"/>
          <w:szCs w:val="28"/>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8"/>
          <w:highlight w:val="none"/>
        </w:rPr>
        <w:t>（四）基本资格条件承诺函</w:t>
      </w:r>
    </w:p>
    <w:p w14:paraId="6C3AD0E7">
      <w:pPr>
        <w:spacing w:line="360" w:lineRule="auto"/>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基本资格条件承诺函</w:t>
      </w:r>
    </w:p>
    <w:p w14:paraId="3C5CF033">
      <w:pPr>
        <w:tabs>
          <w:tab w:val="left" w:pos="6300"/>
        </w:tabs>
        <w:snapToGrid w:val="0"/>
        <w:spacing w:line="360" w:lineRule="auto"/>
        <w:rPr>
          <w:rFonts w:hint="eastAsia" w:ascii="仿宋" w:hAnsi="仿宋" w:eastAsia="仿宋" w:cs="仿宋"/>
          <w:color w:val="auto"/>
          <w:sz w:val="24"/>
          <w:highlight w:val="none"/>
        </w:rPr>
      </w:pPr>
    </w:p>
    <w:p w14:paraId="3C9C4153">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名称）：</w:t>
      </w:r>
    </w:p>
    <w:p w14:paraId="653EA80C">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（投标人名称）郑重承诺：</w:t>
      </w:r>
    </w:p>
    <w:p w14:paraId="57809B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1928BC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2FC8F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的检查验证，配合提供相关证明材料，证明符合</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规定的投标人基本资格条件。</w:t>
      </w:r>
    </w:p>
    <w:p w14:paraId="515AE6D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7ADD4F76">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5477FD7">
      <w:pPr>
        <w:tabs>
          <w:tab w:val="left" w:pos="6300"/>
        </w:tabs>
        <w:snapToGrid w:val="0"/>
        <w:spacing w:line="360" w:lineRule="auto"/>
        <w:rPr>
          <w:rFonts w:hint="eastAsia" w:ascii="仿宋" w:hAnsi="仿宋" w:eastAsia="仿宋" w:cs="仿宋"/>
          <w:color w:val="auto"/>
          <w:sz w:val="24"/>
          <w:szCs w:val="24"/>
          <w:highlight w:val="none"/>
        </w:rPr>
      </w:pPr>
    </w:p>
    <w:p w14:paraId="014F9A9B">
      <w:pPr>
        <w:tabs>
          <w:tab w:val="left" w:pos="6300"/>
        </w:tabs>
        <w:snapToGrid w:val="0"/>
        <w:spacing w:line="360" w:lineRule="auto"/>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7C3471A0">
      <w:pPr>
        <w:tabs>
          <w:tab w:val="left" w:pos="6300"/>
        </w:tabs>
        <w:snapToGrid w:val="0"/>
        <w:spacing w:line="360" w:lineRule="auto"/>
        <w:ind w:firstLine="7442" w:firstLineChars="3101"/>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年   月   日</w:t>
      </w:r>
    </w:p>
    <w:p w14:paraId="351CB246">
      <w:pPr>
        <w:tabs>
          <w:tab w:val="left" w:pos="6300"/>
        </w:tabs>
        <w:snapToGrid w:val="0"/>
        <w:spacing w:line="360" w:lineRule="auto"/>
        <w:ind w:firstLine="570"/>
        <w:jc w:val="left"/>
        <w:rPr>
          <w:rFonts w:hint="eastAsia" w:ascii="仿宋" w:hAnsi="仿宋" w:eastAsia="仿宋" w:cs="仿宋"/>
          <w:color w:val="auto"/>
          <w:sz w:val="24"/>
          <w:highlight w:val="none"/>
        </w:rPr>
      </w:pPr>
    </w:p>
    <w:p w14:paraId="7565D874">
      <w:pPr>
        <w:tabs>
          <w:tab w:val="left" w:pos="6300"/>
        </w:tabs>
        <w:snapToGrid w:val="0"/>
        <w:spacing w:line="360" w:lineRule="auto"/>
        <w:ind w:firstLine="570"/>
        <w:jc w:val="left"/>
        <w:rPr>
          <w:rFonts w:hint="eastAsia" w:ascii="仿宋" w:hAnsi="仿宋" w:eastAsia="仿宋" w:cs="仿宋"/>
          <w:color w:val="auto"/>
          <w:sz w:val="24"/>
          <w:highlight w:val="none"/>
        </w:rPr>
      </w:pPr>
    </w:p>
    <w:p w14:paraId="0C1AAE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AC4038E">
      <w:pPr>
        <w:tabs>
          <w:tab w:val="left" w:pos="6300"/>
        </w:tabs>
        <w:snapToGrid w:val="0"/>
        <w:spacing w:line="360" w:lineRule="auto"/>
        <w:ind w:firstLine="570"/>
        <w:jc w:val="left"/>
        <w:rPr>
          <w:rFonts w:hint="eastAsia" w:ascii="仿宋" w:hAnsi="仿宋" w:eastAsia="仿宋" w:cs="仿宋"/>
          <w:color w:val="auto"/>
          <w:sz w:val="24"/>
          <w:highlight w:val="none"/>
        </w:rPr>
      </w:pPr>
    </w:p>
    <w:p w14:paraId="2C48FDE9">
      <w:pPr>
        <w:tabs>
          <w:tab w:val="left" w:pos="6300"/>
        </w:tabs>
        <w:snapToGrid w:val="0"/>
        <w:spacing w:line="360" w:lineRule="auto"/>
        <w:ind w:firstLine="57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（五）特定资格要求的资料（自拟）</w:t>
      </w:r>
    </w:p>
    <w:p w14:paraId="7C71FD6C">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4EE55B1">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86A1E59">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65ABD4BC">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0935985F">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64EEFBE6">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C6059F7">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0BF41913">
      <w:pPr>
        <w:tabs>
          <w:tab w:val="left" w:pos="6300"/>
        </w:tabs>
        <w:snapToGrid w:val="0"/>
        <w:spacing w:line="360" w:lineRule="auto"/>
        <w:ind w:firstLine="57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其他资格资料</w:t>
      </w:r>
    </w:p>
    <w:p w14:paraId="7C101DE8">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4CF3B878">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479557BB">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B32E148">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7AEB6898">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1FFBB44C">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5428E634">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0031A126">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32DA183C">
      <w:pPr>
        <w:tabs>
          <w:tab w:val="left" w:pos="6300"/>
        </w:tabs>
        <w:snapToGrid w:val="0"/>
        <w:spacing w:line="360" w:lineRule="auto"/>
        <w:ind w:firstLine="570"/>
        <w:jc w:val="left"/>
        <w:rPr>
          <w:rFonts w:hint="eastAsia" w:ascii="仿宋" w:hAnsi="仿宋" w:eastAsia="仿宋" w:cs="仿宋"/>
          <w:color w:val="auto"/>
          <w:sz w:val="28"/>
          <w:szCs w:val="28"/>
          <w:highlight w:val="none"/>
        </w:rPr>
      </w:pPr>
    </w:p>
    <w:p w14:paraId="2A183150">
      <w:pPr>
        <w:pStyle w:val="5"/>
        <w:numPr>
          <w:ilvl w:val="255"/>
          <w:numId w:val="0"/>
        </w:numPr>
        <w:spacing w:line="360" w:lineRule="auto"/>
        <w:rPr>
          <w:rFonts w:hint="eastAsia" w:ascii="仿宋" w:hAnsi="仿宋" w:eastAsia="仿宋" w:cs="仿宋"/>
          <w:color w:val="auto"/>
          <w:highlight w:val="none"/>
        </w:rPr>
      </w:pPr>
    </w:p>
    <w:p w14:paraId="76C8C9D8">
      <w:pPr>
        <w:rPr>
          <w:rFonts w:hint="eastAsia" w:ascii="仿宋" w:hAnsi="仿宋" w:eastAsia="仿宋" w:cs="仿宋"/>
          <w:color w:val="auto"/>
          <w:highlight w:val="none"/>
        </w:rPr>
      </w:pPr>
    </w:p>
    <w:p w14:paraId="22EBCC6B">
      <w:pPr>
        <w:rPr>
          <w:rFonts w:hint="eastAsia" w:ascii="仿宋" w:hAnsi="仿宋" w:eastAsia="仿宋" w:cs="仿宋"/>
          <w:color w:val="auto"/>
          <w:highlight w:val="none"/>
        </w:rPr>
      </w:pPr>
    </w:p>
    <w:p w14:paraId="38A173FF">
      <w:pPr>
        <w:rPr>
          <w:rFonts w:hint="eastAsia" w:ascii="仿宋" w:hAnsi="仿宋" w:eastAsia="仿宋" w:cs="仿宋"/>
          <w:color w:val="auto"/>
          <w:highlight w:val="none"/>
        </w:rPr>
      </w:pPr>
    </w:p>
    <w:p w14:paraId="3B632692">
      <w:pPr>
        <w:rPr>
          <w:rFonts w:hint="eastAsia" w:ascii="仿宋" w:hAnsi="仿宋" w:eastAsia="仿宋" w:cs="仿宋"/>
          <w:color w:val="auto"/>
          <w:highlight w:val="none"/>
        </w:rPr>
      </w:pPr>
    </w:p>
    <w:p w14:paraId="55BFF020">
      <w:pPr>
        <w:rPr>
          <w:rFonts w:hint="eastAsia" w:ascii="仿宋" w:hAnsi="仿宋" w:eastAsia="仿宋" w:cs="仿宋"/>
          <w:color w:val="auto"/>
          <w:highlight w:val="none"/>
        </w:rPr>
      </w:pPr>
    </w:p>
    <w:p w14:paraId="2BFD928F">
      <w:pPr>
        <w:rPr>
          <w:rFonts w:hint="eastAsia" w:ascii="仿宋" w:hAnsi="仿宋" w:eastAsia="仿宋" w:cs="仿宋"/>
          <w:color w:val="auto"/>
          <w:highlight w:val="none"/>
        </w:rPr>
      </w:pPr>
    </w:p>
    <w:p w14:paraId="7CDFC030">
      <w:pPr>
        <w:rPr>
          <w:rFonts w:hint="eastAsia" w:ascii="仿宋" w:hAnsi="仿宋" w:eastAsia="仿宋" w:cs="仿宋"/>
          <w:color w:val="auto"/>
          <w:highlight w:val="none"/>
        </w:rPr>
      </w:pPr>
    </w:p>
    <w:p w14:paraId="3EBB83C5">
      <w:pPr>
        <w:rPr>
          <w:rFonts w:hint="eastAsia" w:ascii="仿宋" w:hAnsi="仿宋" w:eastAsia="仿宋" w:cs="仿宋"/>
          <w:color w:val="auto"/>
          <w:highlight w:val="none"/>
        </w:rPr>
      </w:pPr>
    </w:p>
    <w:p w14:paraId="5FE6BA8F">
      <w:pPr>
        <w:tabs>
          <w:tab w:val="left" w:pos="6300"/>
        </w:tabs>
        <w:snapToGrid w:val="0"/>
        <w:spacing w:line="360" w:lineRule="auto"/>
        <w:jc w:val="center"/>
        <w:rPr>
          <w:rFonts w:hint="eastAsia" w:ascii="仿宋" w:hAnsi="仿宋" w:eastAsia="仿宋" w:cs="仿宋"/>
          <w:color w:val="auto"/>
          <w:highlight w:val="none"/>
        </w:rPr>
      </w:pPr>
    </w:p>
    <w:bookmarkEnd w:id="190"/>
    <w:sectPr>
      <w:pgSz w:w="11907" w:h="16840"/>
      <w:pgMar w:top="1134" w:right="1191" w:bottom="1134" w:left="1304" w:header="964"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36BEB39C-BC76-4C75-9D6F-9A2185EE5A5C}"/>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F9795B7-A9F6-4298-90E4-0F08D2C3FE2B}"/>
  </w:font>
  <w:font w:name="monospac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黑体_GBK">
    <w:panose1 w:val="02000000000000000000"/>
    <w:charset w:val="86"/>
    <w:family w:val="script"/>
    <w:pitch w:val="default"/>
    <w:sig w:usb0="A00002BF" w:usb1="38CF7CFA" w:usb2="00082016" w:usb3="00000000" w:csb0="00040001" w:csb1="00000000"/>
    <w:embedRegular r:id="rId3" w:fontKey="{E7DE684F-827B-4A02-8D60-C3FD0FDEA0A1}"/>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9704C">
    <w:pPr>
      <w:pStyle w:val="17"/>
      <w:framePr w:wrap="around" w:vAnchor="text" w:hAnchor="margin" w:xAlign="center" w:y="1"/>
      <w:rPr>
        <w:rStyle w:val="31"/>
      </w:rPr>
    </w:pPr>
    <w:r>
      <w:fldChar w:fldCharType="begin"/>
    </w:r>
    <w:r>
      <w:rPr>
        <w:rStyle w:val="31"/>
      </w:rPr>
      <w:instrText xml:space="preserve">PAGE  </w:instrText>
    </w:r>
    <w:r>
      <w:fldChar w:fldCharType="end"/>
    </w:r>
  </w:p>
  <w:p w14:paraId="4723383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BDF5">
    <w:pPr>
      <w:pStyle w:val="17"/>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A6F1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CA6F1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A933">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DC02B">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5DC02B">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DC47">
    <w:pPr>
      <w:pStyle w:val="17"/>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C2649">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CC2649">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6461">
    <w:pPr>
      <w:pStyle w:val="18"/>
      <w:pBdr>
        <w:bottom w:val="single" w:color="auto" w:sz="4" w:space="1"/>
      </w:pBdr>
      <w:jc w:val="both"/>
      <w:rPr>
        <w:rFonts w:ascii="方正仿宋_GBK" w:eastAsia="方正仿宋_GBK"/>
        <w:sz w:val="21"/>
        <w:szCs w:val="24"/>
      </w:rPr>
    </w:pPr>
    <w:r>
      <w:rPr>
        <w:rFonts w:hint="eastAsia" w:ascii="方正仿宋_GBK" w:eastAsia="方正仿宋_GBK" w:cs="Times New Roman"/>
        <w:sz w:val="21"/>
        <w:szCs w:val="24"/>
        <w:lang w:eastAsia="zh-CN"/>
      </w:rPr>
      <w:t>重庆市义渡工程管理有限公司</w:t>
    </w:r>
    <w:r>
      <w:rPr>
        <w:rFonts w:hint="eastAsia" w:ascii="方正仿宋_GBK" w:hAnsi="Times New Roman" w:eastAsia="方正仿宋_GBK" w:cs="Times New Roman"/>
        <w:sz w:val="21"/>
        <w:szCs w:val="24"/>
        <w:lang w:eastAsia="zh-CN"/>
      </w:rPr>
      <w:t xml:space="preserve">   </w:t>
    </w:r>
    <w:r>
      <w:rPr>
        <w:rFonts w:hint="eastAsia" w:ascii="方正仿宋_GBK" w:eastAsia="方正仿宋_GBK"/>
        <w:sz w:val="21"/>
        <w:szCs w:val="24"/>
      </w:rPr>
      <w:t xml:space="preserve">                       </w:t>
    </w:r>
    <w:r>
      <w:rPr>
        <w:rFonts w:hint="eastAsia" w:ascii="方正仿宋_GBK" w:eastAsia="方正仿宋_GBK"/>
        <w:sz w:val="21"/>
        <w:szCs w:val="24"/>
        <w:lang w:val="en-US" w:eastAsia="zh-CN"/>
      </w:rPr>
      <w:t xml:space="preserve">           </w:t>
    </w: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9F269">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B2F6">
    <w:pPr>
      <w:pStyle w:val="18"/>
      <w:jc w:val="left"/>
      <w:rPr>
        <w:rFonts w:hint="eastAsia"/>
      </w:rPr>
    </w:pPr>
    <w:r>
      <w:rPr>
        <w:rFonts w:hint="eastAsia" w:ascii="方正仿宋_GBK" w:eastAsia="方正仿宋_GBK"/>
        <w:sz w:val="21"/>
        <w:szCs w:val="24"/>
        <w:lang w:eastAsia="zh-CN"/>
      </w:rPr>
      <w:t>重庆</w:t>
    </w:r>
    <w:r>
      <w:rPr>
        <w:rFonts w:hint="eastAsia" w:ascii="方正仿宋_GBK" w:hAnsi="Times New Roman" w:eastAsia="方正仿宋_GBK" w:cs="Times New Roman"/>
        <w:sz w:val="21"/>
        <w:szCs w:val="24"/>
        <w:lang w:eastAsia="zh-CN"/>
      </w:rPr>
      <w:t>市义渡工程管理有限</w:t>
    </w:r>
    <w:r>
      <w:rPr>
        <w:rFonts w:hint="eastAsia" w:ascii="方正仿宋_GBK" w:eastAsia="方正仿宋_GBK"/>
        <w:sz w:val="21"/>
        <w:szCs w:val="24"/>
        <w:lang w:eastAsia="zh-CN"/>
      </w:rPr>
      <w:t>公司</w:t>
    </w:r>
    <w:r>
      <w:rPr>
        <w:rFonts w:hint="eastAsia" w:ascii="方正仿宋_GBK" w:eastAsia="方正仿宋_GBK"/>
        <w:sz w:val="21"/>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B28B4"/>
    <w:multiLevelType w:val="singleLevel"/>
    <w:tmpl w:val="EE0B28B4"/>
    <w:lvl w:ilvl="0" w:tentative="0">
      <w:start w:val="1"/>
      <w:numFmt w:val="decimal"/>
      <w:lvlText w:val="%1."/>
      <w:lvlJc w:val="left"/>
      <w:pPr>
        <w:tabs>
          <w:tab w:val="left" w:pos="312"/>
        </w:tabs>
      </w:pPr>
    </w:lvl>
  </w:abstractNum>
  <w:abstractNum w:abstractNumId="1">
    <w:nsid w:val="1C996FEA"/>
    <w:multiLevelType w:val="multilevel"/>
    <w:tmpl w:val="1C996FEA"/>
    <w:lvl w:ilvl="0" w:tentative="0">
      <w:start w:val="1"/>
      <w:numFmt w:val="decimal"/>
      <w:lvlText w:val="第%1章."/>
      <w:lvlJc w:val="left"/>
      <w:pPr>
        <w:ind w:left="432" w:hanging="432"/>
      </w:pPr>
      <w:rPr>
        <w:rFonts w:hint="default" w:ascii="宋体" w:hAnsi="宋体" w:eastAsia="宋体" w:cs="宋体"/>
        <w:b/>
        <w:i w:val="0"/>
        <w:sz w:val="30"/>
        <w:szCs w:val="30"/>
      </w:rPr>
    </w:lvl>
    <w:lvl w:ilvl="1" w:tentative="0">
      <w:start w:val="1"/>
      <w:numFmt w:val="decimal"/>
      <w:lvlText w:val="%1.%2."/>
      <w:lvlJc w:val="left"/>
      <w:pPr>
        <w:ind w:left="576" w:hanging="576"/>
      </w:pPr>
      <w:rPr>
        <w:rFonts w:hint="default" w:ascii="宋体" w:hAnsi="宋体" w:eastAsia="宋体" w:cs="宋体"/>
        <w:b/>
        <w:i w:val="0"/>
        <w:sz w:val="28"/>
      </w:rPr>
    </w:lvl>
    <w:lvl w:ilvl="2" w:tentative="0">
      <w:start w:val="1"/>
      <w:numFmt w:val="decimal"/>
      <w:lvlText w:val="%1.%2.%3."/>
      <w:lvlJc w:val="left"/>
      <w:pPr>
        <w:ind w:left="720" w:hanging="720"/>
      </w:pPr>
      <w:rPr>
        <w:rFonts w:hint="default" w:ascii="宋体" w:hAnsi="宋体" w:eastAsia="宋体" w:cs="宋体"/>
        <w:color w:val="auto"/>
      </w:rPr>
    </w:lvl>
    <w:lvl w:ilvl="3" w:tentative="0">
      <w:start w:val="1"/>
      <w:numFmt w:val="decimal"/>
      <w:pStyle w:val="5"/>
      <w:lvlText w:val="%1.%2.%3.%4."/>
      <w:lvlJc w:val="left"/>
      <w:pPr>
        <w:ind w:left="864" w:hanging="864"/>
      </w:pPr>
      <w:rPr>
        <w:rFonts w:hint="default" w:ascii="宋体" w:hAnsi="宋体" w:eastAsia="宋体" w:cs="宋体"/>
        <w:b/>
        <w:bCs w:val="0"/>
        <w:i w:val="0"/>
        <w:iCs w:val="0"/>
        <w:caps w:val="0"/>
        <w:smallCaps w:val="0"/>
        <w:strike w:val="0"/>
        <w:dstrike w:val="0"/>
        <w:vanish w:val="0"/>
        <w:color w:val="000000"/>
        <w:spacing w:val="0"/>
        <w:position w:val="0"/>
        <w:u w:val="none"/>
        <w:vertAlign w:val="baseline"/>
      </w:rPr>
    </w:lvl>
    <w:lvl w:ilvl="4" w:tentative="0">
      <w:start w:val="1"/>
      <w:numFmt w:val="decimal"/>
      <w:lvlText w:val="%1.%2.%3.%4.%5 ."/>
      <w:lvlJc w:val="left"/>
      <w:pPr>
        <w:ind w:left="1429" w:hanging="862"/>
      </w:pPr>
      <w:rPr>
        <w:rFonts w:hint="default" w:ascii="宋体" w:hAnsi="宋体" w:eastAsia="宋体" w:cs="宋体"/>
        <w:b w:val="0"/>
        <w:i w:val="0"/>
      </w:rPr>
    </w:lvl>
    <w:lvl w:ilvl="5" w:tentative="0">
      <w:start w:val="1"/>
      <w:numFmt w:val="decimal"/>
      <w:lvlText w:val="%1.%2.%3.%4.%5.%6."/>
      <w:lvlJc w:val="left"/>
      <w:pPr>
        <w:ind w:left="1152" w:hanging="1152"/>
      </w:pPr>
      <w:rPr>
        <w:rFonts w:hint="default" w:ascii="宋体" w:hAnsi="宋体" w:eastAsia="宋体" w:cs="宋体"/>
        <w:b w:val="0"/>
        <w:i w:val="0"/>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3EDF4C8F"/>
    <w:multiLevelType w:val="singleLevel"/>
    <w:tmpl w:val="3EDF4C8F"/>
    <w:lvl w:ilvl="0" w:tentative="0">
      <w:start w:val="1"/>
      <w:numFmt w:val="chineseCounting"/>
      <w:suff w:val="nothing"/>
      <w:lvlText w:val="（%1）"/>
      <w:lvlJc w:val="left"/>
      <w:rPr>
        <w:rFonts w:hint="eastAsia"/>
      </w:rPr>
    </w:lvl>
  </w:abstractNum>
  <w:abstractNum w:abstractNumId="3">
    <w:nsid w:val="70B9FBE1"/>
    <w:multiLevelType w:val="singleLevel"/>
    <w:tmpl w:val="70B9FBE1"/>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OWEyN2FjMDVkMGZlOTg3MjA5ZWFjMGE1MWUwMDQifQ=="/>
  </w:docVars>
  <w:rsids>
    <w:rsidRoot w:val="73FB5069"/>
    <w:rsid w:val="00023D55"/>
    <w:rsid w:val="0002666E"/>
    <w:rsid w:val="00035A61"/>
    <w:rsid w:val="000568F4"/>
    <w:rsid w:val="00064AC9"/>
    <w:rsid w:val="00074B76"/>
    <w:rsid w:val="00077AE8"/>
    <w:rsid w:val="00077B3E"/>
    <w:rsid w:val="00085AEB"/>
    <w:rsid w:val="0009073D"/>
    <w:rsid w:val="00091024"/>
    <w:rsid w:val="00093A41"/>
    <w:rsid w:val="000A002F"/>
    <w:rsid w:val="000A7203"/>
    <w:rsid w:val="000B25AC"/>
    <w:rsid w:val="000C0BF2"/>
    <w:rsid w:val="000C7B02"/>
    <w:rsid w:val="000E08C4"/>
    <w:rsid w:val="000E485E"/>
    <w:rsid w:val="000E5D71"/>
    <w:rsid w:val="000F3DF5"/>
    <w:rsid w:val="000F6956"/>
    <w:rsid w:val="001007B5"/>
    <w:rsid w:val="0012017A"/>
    <w:rsid w:val="00122E37"/>
    <w:rsid w:val="00145180"/>
    <w:rsid w:val="0016161C"/>
    <w:rsid w:val="00163EA9"/>
    <w:rsid w:val="00164C26"/>
    <w:rsid w:val="00170248"/>
    <w:rsid w:val="001769B6"/>
    <w:rsid w:val="00182D13"/>
    <w:rsid w:val="00185D33"/>
    <w:rsid w:val="001910A4"/>
    <w:rsid w:val="00193F91"/>
    <w:rsid w:val="001B18CC"/>
    <w:rsid w:val="001B7095"/>
    <w:rsid w:val="001F7363"/>
    <w:rsid w:val="00210D6B"/>
    <w:rsid w:val="0021543E"/>
    <w:rsid w:val="00216B3C"/>
    <w:rsid w:val="00217111"/>
    <w:rsid w:val="0021785C"/>
    <w:rsid w:val="00234D0A"/>
    <w:rsid w:val="00244573"/>
    <w:rsid w:val="002468CC"/>
    <w:rsid w:val="00247343"/>
    <w:rsid w:val="0025405B"/>
    <w:rsid w:val="0026078C"/>
    <w:rsid w:val="00264BDD"/>
    <w:rsid w:val="0027018B"/>
    <w:rsid w:val="00270578"/>
    <w:rsid w:val="002723EC"/>
    <w:rsid w:val="00280C0E"/>
    <w:rsid w:val="00292BAB"/>
    <w:rsid w:val="002A05D9"/>
    <w:rsid w:val="002B400C"/>
    <w:rsid w:val="002B5AD3"/>
    <w:rsid w:val="002D0A7F"/>
    <w:rsid w:val="002D2550"/>
    <w:rsid w:val="002D3FFB"/>
    <w:rsid w:val="002D4F2E"/>
    <w:rsid w:val="002D54D6"/>
    <w:rsid w:val="002E13F4"/>
    <w:rsid w:val="002E1F6F"/>
    <w:rsid w:val="002E5CDF"/>
    <w:rsid w:val="002E6413"/>
    <w:rsid w:val="002F4645"/>
    <w:rsid w:val="0030784D"/>
    <w:rsid w:val="00307A95"/>
    <w:rsid w:val="00313884"/>
    <w:rsid w:val="0033162D"/>
    <w:rsid w:val="003532FE"/>
    <w:rsid w:val="00353ED6"/>
    <w:rsid w:val="0036303A"/>
    <w:rsid w:val="00377076"/>
    <w:rsid w:val="0038306F"/>
    <w:rsid w:val="00396990"/>
    <w:rsid w:val="00397855"/>
    <w:rsid w:val="003A3237"/>
    <w:rsid w:val="003B7C44"/>
    <w:rsid w:val="003D21B2"/>
    <w:rsid w:val="003E07B4"/>
    <w:rsid w:val="00402390"/>
    <w:rsid w:val="00404647"/>
    <w:rsid w:val="00414063"/>
    <w:rsid w:val="00427162"/>
    <w:rsid w:val="00430004"/>
    <w:rsid w:val="004554AB"/>
    <w:rsid w:val="00480662"/>
    <w:rsid w:val="00481D89"/>
    <w:rsid w:val="0049272A"/>
    <w:rsid w:val="004A40FE"/>
    <w:rsid w:val="004D2EA9"/>
    <w:rsid w:val="004D4290"/>
    <w:rsid w:val="004E0863"/>
    <w:rsid w:val="004E21E5"/>
    <w:rsid w:val="00515395"/>
    <w:rsid w:val="005458B2"/>
    <w:rsid w:val="00546F46"/>
    <w:rsid w:val="00552352"/>
    <w:rsid w:val="00553601"/>
    <w:rsid w:val="005548C9"/>
    <w:rsid w:val="00577718"/>
    <w:rsid w:val="00580B43"/>
    <w:rsid w:val="00582A2D"/>
    <w:rsid w:val="00582F00"/>
    <w:rsid w:val="0059296B"/>
    <w:rsid w:val="005A2D64"/>
    <w:rsid w:val="005A610A"/>
    <w:rsid w:val="005A6FE6"/>
    <w:rsid w:val="005B1250"/>
    <w:rsid w:val="005B67EC"/>
    <w:rsid w:val="005E0679"/>
    <w:rsid w:val="005E2E10"/>
    <w:rsid w:val="005E2FAD"/>
    <w:rsid w:val="005E64DC"/>
    <w:rsid w:val="006140F3"/>
    <w:rsid w:val="00621A15"/>
    <w:rsid w:val="00622B0D"/>
    <w:rsid w:val="00623CAC"/>
    <w:rsid w:val="006251A7"/>
    <w:rsid w:val="00627E6B"/>
    <w:rsid w:val="00631A72"/>
    <w:rsid w:val="006323D9"/>
    <w:rsid w:val="006337C1"/>
    <w:rsid w:val="006360BD"/>
    <w:rsid w:val="00637EB4"/>
    <w:rsid w:val="00654973"/>
    <w:rsid w:val="00654E52"/>
    <w:rsid w:val="00654F0B"/>
    <w:rsid w:val="00657136"/>
    <w:rsid w:val="00670669"/>
    <w:rsid w:val="006727FC"/>
    <w:rsid w:val="00676BDD"/>
    <w:rsid w:val="006777D8"/>
    <w:rsid w:val="00681FF0"/>
    <w:rsid w:val="006836D3"/>
    <w:rsid w:val="006B423F"/>
    <w:rsid w:val="006B5E32"/>
    <w:rsid w:val="006C243C"/>
    <w:rsid w:val="006D324F"/>
    <w:rsid w:val="006D792C"/>
    <w:rsid w:val="006E05BE"/>
    <w:rsid w:val="006E6810"/>
    <w:rsid w:val="006F1664"/>
    <w:rsid w:val="0070189F"/>
    <w:rsid w:val="00710424"/>
    <w:rsid w:val="00722DBA"/>
    <w:rsid w:val="00733E26"/>
    <w:rsid w:val="007346D1"/>
    <w:rsid w:val="00742FEA"/>
    <w:rsid w:val="0075182F"/>
    <w:rsid w:val="00752C5A"/>
    <w:rsid w:val="007550A3"/>
    <w:rsid w:val="00763C07"/>
    <w:rsid w:val="0076621C"/>
    <w:rsid w:val="00766F94"/>
    <w:rsid w:val="0077082A"/>
    <w:rsid w:val="00773916"/>
    <w:rsid w:val="0078369A"/>
    <w:rsid w:val="007A1658"/>
    <w:rsid w:val="007A1772"/>
    <w:rsid w:val="007A7AC6"/>
    <w:rsid w:val="007B2A67"/>
    <w:rsid w:val="007D20FD"/>
    <w:rsid w:val="007D64C3"/>
    <w:rsid w:val="007E2785"/>
    <w:rsid w:val="007E5162"/>
    <w:rsid w:val="007E7EE8"/>
    <w:rsid w:val="007F457A"/>
    <w:rsid w:val="00800702"/>
    <w:rsid w:val="00800961"/>
    <w:rsid w:val="0080446F"/>
    <w:rsid w:val="00815AEB"/>
    <w:rsid w:val="00816260"/>
    <w:rsid w:val="00820775"/>
    <w:rsid w:val="00825ED8"/>
    <w:rsid w:val="008404CD"/>
    <w:rsid w:val="00844A1D"/>
    <w:rsid w:val="008453F9"/>
    <w:rsid w:val="00851659"/>
    <w:rsid w:val="0085449E"/>
    <w:rsid w:val="0086248B"/>
    <w:rsid w:val="00862B79"/>
    <w:rsid w:val="00867FFD"/>
    <w:rsid w:val="00877BA9"/>
    <w:rsid w:val="00885C77"/>
    <w:rsid w:val="00885EFF"/>
    <w:rsid w:val="0089189B"/>
    <w:rsid w:val="00891907"/>
    <w:rsid w:val="00892F24"/>
    <w:rsid w:val="00895804"/>
    <w:rsid w:val="008A0712"/>
    <w:rsid w:val="008A0CAD"/>
    <w:rsid w:val="008A0CEC"/>
    <w:rsid w:val="008A17D3"/>
    <w:rsid w:val="008A25C9"/>
    <w:rsid w:val="008A491B"/>
    <w:rsid w:val="008B2A98"/>
    <w:rsid w:val="008B68EF"/>
    <w:rsid w:val="008C3BA6"/>
    <w:rsid w:val="008C4EBA"/>
    <w:rsid w:val="008D1344"/>
    <w:rsid w:val="008D4217"/>
    <w:rsid w:val="008E4E6F"/>
    <w:rsid w:val="008F6EB2"/>
    <w:rsid w:val="00902C2A"/>
    <w:rsid w:val="0090715F"/>
    <w:rsid w:val="00907643"/>
    <w:rsid w:val="0091077B"/>
    <w:rsid w:val="009144AC"/>
    <w:rsid w:val="009170D9"/>
    <w:rsid w:val="009377AC"/>
    <w:rsid w:val="0094210E"/>
    <w:rsid w:val="009444C8"/>
    <w:rsid w:val="00944872"/>
    <w:rsid w:val="009470BE"/>
    <w:rsid w:val="00950F82"/>
    <w:rsid w:val="009539AD"/>
    <w:rsid w:val="00961E9A"/>
    <w:rsid w:val="0099313D"/>
    <w:rsid w:val="009A13B3"/>
    <w:rsid w:val="009A2793"/>
    <w:rsid w:val="009B7C81"/>
    <w:rsid w:val="009C15CF"/>
    <w:rsid w:val="009C3793"/>
    <w:rsid w:val="009D0EA3"/>
    <w:rsid w:val="009F5270"/>
    <w:rsid w:val="00A03847"/>
    <w:rsid w:val="00A07D47"/>
    <w:rsid w:val="00A11A96"/>
    <w:rsid w:val="00A13D91"/>
    <w:rsid w:val="00A14719"/>
    <w:rsid w:val="00A32314"/>
    <w:rsid w:val="00A32CEF"/>
    <w:rsid w:val="00A35B6B"/>
    <w:rsid w:val="00A5684A"/>
    <w:rsid w:val="00A57773"/>
    <w:rsid w:val="00A61F3B"/>
    <w:rsid w:val="00A745EE"/>
    <w:rsid w:val="00A822D9"/>
    <w:rsid w:val="00A90B4E"/>
    <w:rsid w:val="00A95CC5"/>
    <w:rsid w:val="00A95F4A"/>
    <w:rsid w:val="00A96E0F"/>
    <w:rsid w:val="00A97848"/>
    <w:rsid w:val="00AA2953"/>
    <w:rsid w:val="00AA3067"/>
    <w:rsid w:val="00AA3A70"/>
    <w:rsid w:val="00AA51FF"/>
    <w:rsid w:val="00AB7C3D"/>
    <w:rsid w:val="00AC7226"/>
    <w:rsid w:val="00AD1415"/>
    <w:rsid w:val="00AE4F54"/>
    <w:rsid w:val="00AF0340"/>
    <w:rsid w:val="00AF39B2"/>
    <w:rsid w:val="00AF39EF"/>
    <w:rsid w:val="00AF6DD3"/>
    <w:rsid w:val="00B019A0"/>
    <w:rsid w:val="00B03337"/>
    <w:rsid w:val="00B03AA7"/>
    <w:rsid w:val="00B10A8C"/>
    <w:rsid w:val="00B146FE"/>
    <w:rsid w:val="00B163E1"/>
    <w:rsid w:val="00B175F3"/>
    <w:rsid w:val="00B24C9E"/>
    <w:rsid w:val="00B37941"/>
    <w:rsid w:val="00B41EDF"/>
    <w:rsid w:val="00B6757C"/>
    <w:rsid w:val="00B82E2E"/>
    <w:rsid w:val="00B83133"/>
    <w:rsid w:val="00B86650"/>
    <w:rsid w:val="00B87E7F"/>
    <w:rsid w:val="00BA2051"/>
    <w:rsid w:val="00BC29B4"/>
    <w:rsid w:val="00BD027A"/>
    <w:rsid w:val="00BF340D"/>
    <w:rsid w:val="00BF75F5"/>
    <w:rsid w:val="00C15F7F"/>
    <w:rsid w:val="00C20398"/>
    <w:rsid w:val="00C24B70"/>
    <w:rsid w:val="00C45572"/>
    <w:rsid w:val="00C45676"/>
    <w:rsid w:val="00C535F4"/>
    <w:rsid w:val="00C817DA"/>
    <w:rsid w:val="00C85459"/>
    <w:rsid w:val="00C8706C"/>
    <w:rsid w:val="00CB0317"/>
    <w:rsid w:val="00CB0F62"/>
    <w:rsid w:val="00CC2E0C"/>
    <w:rsid w:val="00CC3F10"/>
    <w:rsid w:val="00CD2940"/>
    <w:rsid w:val="00CD4793"/>
    <w:rsid w:val="00CD4A98"/>
    <w:rsid w:val="00CD74E5"/>
    <w:rsid w:val="00CE380B"/>
    <w:rsid w:val="00CE731C"/>
    <w:rsid w:val="00CF59F8"/>
    <w:rsid w:val="00D05EFC"/>
    <w:rsid w:val="00D20237"/>
    <w:rsid w:val="00D20B4D"/>
    <w:rsid w:val="00D229ED"/>
    <w:rsid w:val="00D30F9E"/>
    <w:rsid w:val="00D50149"/>
    <w:rsid w:val="00D5785A"/>
    <w:rsid w:val="00D64B6F"/>
    <w:rsid w:val="00D70859"/>
    <w:rsid w:val="00D8088C"/>
    <w:rsid w:val="00D9012D"/>
    <w:rsid w:val="00DA4155"/>
    <w:rsid w:val="00DC19CB"/>
    <w:rsid w:val="00DD647F"/>
    <w:rsid w:val="00DE2025"/>
    <w:rsid w:val="00DE257A"/>
    <w:rsid w:val="00DE3995"/>
    <w:rsid w:val="00DE60CB"/>
    <w:rsid w:val="00DF14BB"/>
    <w:rsid w:val="00DF42C4"/>
    <w:rsid w:val="00DF6AEA"/>
    <w:rsid w:val="00E06CB3"/>
    <w:rsid w:val="00E077B3"/>
    <w:rsid w:val="00E17DE2"/>
    <w:rsid w:val="00E20EA3"/>
    <w:rsid w:val="00E30DD6"/>
    <w:rsid w:val="00E44D37"/>
    <w:rsid w:val="00E54D24"/>
    <w:rsid w:val="00E742FF"/>
    <w:rsid w:val="00E809A7"/>
    <w:rsid w:val="00E81005"/>
    <w:rsid w:val="00E84632"/>
    <w:rsid w:val="00E846E5"/>
    <w:rsid w:val="00EA54D5"/>
    <w:rsid w:val="00EB0653"/>
    <w:rsid w:val="00EB0912"/>
    <w:rsid w:val="00EB1367"/>
    <w:rsid w:val="00EB59EC"/>
    <w:rsid w:val="00EC3924"/>
    <w:rsid w:val="00EE7167"/>
    <w:rsid w:val="00EF281D"/>
    <w:rsid w:val="00EF7950"/>
    <w:rsid w:val="00F168FF"/>
    <w:rsid w:val="00F21902"/>
    <w:rsid w:val="00F34869"/>
    <w:rsid w:val="00F37BAB"/>
    <w:rsid w:val="00F422AD"/>
    <w:rsid w:val="00F430B9"/>
    <w:rsid w:val="00F4361D"/>
    <w:rsid w:val="00F44F67"/>
    <w:rsid w:val="00F45C1F"/>
    <w:rsid w:val="00F56721"/>
    <w:rsid w:val="00F65412"/>
    <w:rsid w:val="00F67845"/>
    <w:rsid w:val="00F72B8E"/>
    <w:rsid w:val="00F73558"/>
    <w:rsid w:val="00F82EF8"/>
    <w:rsid w:val="00F964FD"/>
    <w:rsid w:val="00FB1369"/>
    <w:rsid w:val="00FD4D6A"/>
    <w:rsid w:val="00FF56BA"/>
    <w:rsid w:val="01042CD0"/>
    <w:rsid w:val="010B343C"/>
    <w:rsid w:val="011253ED"/>
    <w:rsid w:val="01170C55"/>
    <w:rsid w:val="01172A03"/>
    <w:rsid w:val="01176EA7"/>
    <w:rsid w:val="01277C69"/>
    <w:rsid w:val="01287101"/>
    <w:rsid w:val="01293007"/>
    <w:rsid w:val="01311D17"/>
    <w:rsid w:val="013435B5"/>
    <w:rsid w:val="013F153F"/>
    <w:rsid w:val="014001AC"/>
    <w:rsid w:val="01437C9C"/>
    <w:rsid w:val="01453A14"/>
    <w:rsid w:val="01457570"/>
    <w:rsid w:val="014F219D"/>
    <w:rsid w:val="01521C8D"/>
    <w:rsid w:val="015754F6"/>
    <w:rsid w:val="015821D1"/>
    <w:rsid w:val="01616D14"/>
    <w:rsid w:val="01657C13"/>
    <w:rsid w:val="01675739"/>
    <w:rsid w:val="0168325F"/>
    <w:rsid w:val="016C0FA1"/>
    <w:rsid w:val="016C2D4F"/>
    <w:rsid w:val="017243CE"/>
    <w:rsid w:val="017442FA"/>
    <w:rsid w:val="017460A8"/>
    <w:rsid w:val="01791910"/>
    <w:rsid w:val="01853E11"/>
    <w:rsid w:val="0189664D"/>
    <w:rsid w:val="018C1895"/>
    <w:rsid w:val="018D1D97"/>
    <w:rsid w:val="018F6A3E"/>
    <w:rsid w:val="01A7022B"/>
    <w:rsid w:val="01A86D70"/>
    <w:rsid w:val="01B85F94"/>
    <w:rsid w:val="01C41139"/>
    <w:rsid w:val="01C630F0"/>
    <w:rsid w:val="01D6466C"/>
    <w:rsid w:val="01D803E5"/>
    <w:rsid w:val="01DA16D0"/>
    <w:rsid w:val="01DE6B47"/>
    <w:rsid w:val="01E21263"/>
    <w:rsid w:val="01E376AC"/>
    <w:rsid w:val="01E52B01"/>
    <w:rsid w:val="01E925F2"/>
    <w:rsid w:val="01EE5E5A"/>
    <w:rsid w:val="01FB451F"/>
    <w:rsid w:val="02021905"/>
    <w:rsid w:val="020531A4"/>
    <w:rsid w:val="02056D00"/>
    <w:rsid w:val="0211291E"/>
    <w:rsid w:val="02166173"/>
    <w:rsid w:val="0216715F"/>
    <w:rsid w:val="021B6523"/>
    <w:rsid w:val="021D673F"/>
    <w:rsid w:val="02247ACE"/>
    <w:rsid w:val="022C24DE"/>
    <w:rsid w:val="022E17B5"/>
    <w:rsid w:val="022E44A8"/>
    <w:rsid w:val="02306473"/>
    <w:rsid w:val="02385327"/>
    <w:rsid w:val="02435241"/>
    <w:rsid w:val="024617F2"/>
    <w:rsid w:val="024737BC"/>
    <w:rsid w:val="024B505A"/>
    <w:rsid w:val="024D3CCE"/>
    <w:rsid w:val="024E4B4B"/>
    <w:rsid w:val="0252745F"/>
    <w:rsid w:val="025C7268"/>
    <w:rsid w:val="026B74AB"/>
    <w:rsid w:val="026C4FD1"/>
    <w:rsid w:val="027125E7"/>
    <w:rsid w:val="02847096"/>
    <w:rsid w:val="02895B83"/>
    <w:rsid w:val="028B483E"/>
    <w:rsid w:val="029525CA"/>
    <w:rsid w:val="02963DFC"/>
    <w:rsid w:val="02A209F3"/>
    <w:rsid w:val="02A4476B"/>
    <w:rsid w:val="02A46519"/>
    <w:rsid w:val="02A81D04"/>
    <w:rsid w:val="02AD34F4"/>
    <w:rsid w:val="02B40E52"/>
    <w:rsid w:val="02B7624C"/>
    <w:rsid w:val="02C848FD"/>
    <w:rsid w:val="02C941D1"/>
    <w:rsid w:val="02CE2CB2"/>
    <w:rsid w:val="02D37EB0"/>
    <w:rsid w:val="02DA018C"/>
    <w:rsid w:val="02E1776D"/>
    <w:rsid w:val="02E86B7B"/>
    <w:rsid w:val="02F0175E"/>
    <w:rsid w:val="02F079B0"/>
    <w:rsid w:val="02F72AEC"/>
    <w:rsid w:val="02FA25DD"/>
    <w:rsid w:val="02FE1505"/>
    <w:rsid w:val="02FF7BF3"/>
    <w:rsid w:val="030A3426"/>
    <w:rsid w:val="030B2026"/>
    <w:rsid w:val="030B6598"/>
    <w:rsid w:val="030D0562"/>
    <w:rsid w:val="030E5CC5"/>
    <w:rsid w:val="03103BAE"/>
    <w:rsid w:val="0314051C"/>
    <w:rsid w:val="0314369E"/>
    <w:rsid w:val="03200295"/>
    <w:rsid w:val="03305FFE"/>
    <w:rsid w:val="03324053"/>
    <w:rsid w:val="03324208"/>
    <w:rsid w:val="03345AEF"/>
    <w:rsid w:val="033A0C2B"/>
    <w:rsid w:val="03404493"/>
    <w:rsid w:val="03411FB9"/>
    <w:rsid w:val="03497C46"/>
    <w:rsid w:val="034C1D5D"/>
    <w:rsid w:val="034F46D6"/>
    <w:rsid w:val="035166A0"/>
    <w:rsid w:val="03563CB7"/>
    <w:rsid w:val="035B12CD"/>
    <w:rsid w:val="035D3297"/>
    <w:rsid w:val="036068E4"/>
    <w:rsid w:val="0363717A"/>
    <w:rsid w:val="03655CA8"/>
    <w:rsid w:val="036839EA"/>
    <w:rsid w:val="036C34DA"/>
    <w:rsid w:val="03705C36"/>
    <w:rsid w:val="03767EB5"/>
    <w:rsid w:val="037800D1"/>
    <w:rsid w:val="037B196F"/>
    <w:rsid w:val="037C7496"/>
    <w:rsid w:val="037E3803"/>
    <w:rsid w:val="0385459C"/>
    <w:rsid w:val="038866DA"/>
    <w:rsid w:val="038A570F"/>
    <w:rsid w:val="038C592B"/>
    <w:rsid w:val="03933600"/>
    <w:rsid w:val="039447DF"/>
    <w:rsid w:val="0395121B"/>
    <w:rsid w:val="03962305"/>
    <w:rsid w:val="03A03184"/>
    <w:rsid w:val="03A30042"/>
    <w:rsid w:val="03A32047"/>
    <w:rsid w:val="03B22EB7"/>
    <w:rsid w:val="03B41B21"/>
    <w:rsid w:val="03B90DC6"/>
    <w:rsid w:val="03BE3331"/>
    <w:rsid w:val="03C230FA"/>
    <w:rsid w:val="03C54999"/>
    <w:rsid w:val="03CD1A9F"/>
    <w:rsid w:val="03CE7CF1"/>
    <w:rsid w:val="03D177E1"/>
    <w:rsid w:val="03D270B5"/>
    <w:rsid w:val="03D35490"/>
    <w:rsid w:val="03D43A57"/>
    <w:rsid w:val="03D64DF8"/>
    <w:rsid w:val="03D66BA6"/>
    <w:rsid w:val="03E02952"/>
    <w:rsid w:val="03F020F2"/>
    <w:rsid w:val="03F84D6E"/>
    <w:rsid w:val="03FE4D07"/>
    <w:rsid w:val="03FF434E"/>
    <w:rsid w:val="040205A2"/>
    <w:rsid w:val="04055BC2"/>
    <w:rsid w:val="040C6A6B"/>
    <w:rsid w:val="041651F4"/>
    <w:rsid w:val="041B0A5C"/>
    <w:rsid w:val="041B280B"/>
    <w:rsid w:val="04267B2D"/>
    <w:rsid w:val="042711AF"/>
    <w:rsid w:val="042B5143"/>
    <w:rsid w:val="042F4508"/>
    <w:rsid w:val="04333FF8"/>
    <w:rsid w:val="04335DA6"/>
    <w:rsid w:val="043445F5"/>
    <w:rsid w:val="04372FFB"/>
    <w:rsid w:val="04376D64"/>
    <w:rsid w:val="043D09D3"/>
    <w:rsid w:val="044102BE"/>
    <w:rsid w:val="0442423B"/>
    <w:rsid w:val="044955CA"/>
    <w:rsid w:val="044C664D"/>
    <w:rsid w:val="04555532"/>
    <w:rsid w:val="045659AF"/>
    <w:rsid w:val="045A6946"/>
    <w:rsid w:val="045B52FD"/>
    <w:rsid w:val="04671EF4"/>
    <w:rsid w:val="046917C8"/>
    <w:rsid w:val="046B3F4C"/>
    <w:rsid w:val="046E3282"/>
    <w:rsid w:val="04732647"/>
    <w:rsid w:val="0473673D"/>
    <w:rsid w:val="04781A0B"/>
    <w:rsid w:val="04784101"/>
    <w:rsid w:val="04787C5D"/>
    <w:rsid w:val="047D1CE0"/>
    <w:rsid w:val="048C3708"/>
    <w:rsid w:val="049031F8"/>
    <w:rsid w:val="04934A97"/>
    <w:rsid w:val="049A4077"/>
    <w:rsid w:val="04A171B4"/>
    <w:rsid w:val="04A70542"/>
    <w:rsid w:val="04A86794"/>
    <w:rsid w:val="04AC7907"/>
    <w:rsid w:val="04B0613C"/>
    <w:rsid w:val="04B073F7"/>
    <w:rsid w:val="04B52C5F"/>
    <w:rsid w:val="04BA0275"/>
    <w:rsid w:val="04BF5DA5"/>
    <w:rsid w:val="04C82992"/>
    <w:rsid w:val="04C954B6"/>
    <w:rsid w:val="04CC1D57"/>
    <w:rsid w:val="04CC5A6D"/>
    <w:rsid w:val="04CD61FB"/>
    <w:rsid w:val="04CE5ACF"/>
    <w:rsid w:val="04D70E27"/>
    <w:rsid w:val="04DC4690"/>
    <w:rsid w:val="04DF5F2E"/>
    <w:rsid w:val="04EC458F"/>
    <w:rsid w:val="04F76DD4"/>
    <w:rsid w:val="050370BF"/>
    <w:rsid w:val="050E236F"/>
    <w:rsid w:val="05151950"/>
    <w:rsid w:val="05171224"/>
    <w:rsid w:val="05177476"/>
    <w:rsid w:val="051C4A8C"/>
    <w:rsid w:val="051E0804"/>
    <w:rsid w:val="051E6A56"/>
    <w:rsid w:val="05241B93"/>
    <w:rsid w:val="05253284"/>
    <w:rsid w:val="052536CF"/>
    <w:rsid w:val="05335E16"/>
    <w:rsid w:val="05341DD6"/>
    <w:rsid w:val="053514FD"/>
    <w:rsid w:val="05393890"/>
    <w:rsid w:val="053B7179"/>
    <w:rsid w:val="053C6EDC"/>
    <w:rsid w:val="054A15F9"/>
    <w:rsid w:val="054D10C0"/>
    <w:rsid w:val="05504736"/>
    <w:rsid w:val="05524952"/>
    <w:rsid w:val="055501FB"/>
    <w:rsid w:val="055661F0"/>
    <w:rsid w:val="05575AC4"/>
    <w:rsid w:val="055943D7"/>
    <w:rsid w:val="055C757F"/>
    <w:rsid w:val="056B77C2"/>
    <w:rsid w:val="056D178C"/>
    <w:rsid w:val="056D7096"/>
    <w:rsid w:val="057316FE"/>
    <w:rsid w:val="057B5C57"/>
    <w:rsid w:val="057C552B"/>
    <w:rsid w:val="05816FE5"/>
    <w:rsid w:val="058645FB"/>
    <w:rsid w:val="058700D1"/>
    <w:rsid w:val="058B5394"/>
    <w:rsid w:val="058D7738"/>
    <w:rsid w:val="05917228"/>
    <w:rsid w:val="05937A34"/>
    <w:rsid w:val="059705B7"/>
    <w:rsid w:val="059A2941"/>
    <w:rsid w:val="05A52CD4"/>
    <w:rsid w:val="05AA0535"/>
    <w:rsid w:val="05B11678"/>
    <w:rsid w:val="05B146DA"/>
    <w:rsid w:val="05B517CE"/>
    <w:rsid w:val="05B60A3D"/>
    <w:rsid w:val="05B9677F"/>
    <w:rsid w:val="05C54273"/>
    <w:rsid w:val="05C55124"/>
    <w:rsid w:val="05CA44E8"/>
    <w:rsid w:val="05CD222A"/>
    <w:rsid w:val="05CF31A3"/>
    <w:rsid w:val="05D473D2"/>
    <w:rsid w:val="05DD1BF7"/>
    <w:rsid w:val="05EA4B8A"/>
    <w:rsid w:val="05ED287B"/>
    <w:rsid w:val="05F23A3F"/>
    <w:rsid w:val="05F27A4D"/>
    <w:rsid w:val="05F9301F"/>
    <w:rsid w:val="05FB28F4"/>
    <w:rsid w:val="06055520"/>
    <w:rsid w:val="06133B5E"/>
    <w:rsid w:val="062260D2"/>
    <w:rsid w:val="06256FA3"/>
    <w:rsid w:val="062A31D9"/>
    <w:rsid w:val="06471FDD"/>
    <w:rsid w:val="065169B7"/>
    <w:rsid w:val="06527A7A"/>
    <w:rsid w:val="06532B03"/>
    <w:rsid w:val="06573826"/>
    <w:rsid w:val="06581AF4"/>
    <w:rsid w:val="065B7836"/>
    <w:rsid w:val="065E2E82"/>
    <w:rsid w:val="0661309E"/>
    <w:rsid w:val="06626E08"/>
    <w:rsid w:val="06671F51"/>
    <w:rsid w:val="066C1A43"/>
    <w:rsid w:val="06764670"/>
    <w:rsid w:val="067803E8"/>
    <w:rsid w:val="067907E0"/>
    <w:rsid w:val="067B1C86"/>
    <w:rsid w:val="067D3C3F"/>
    <w:rsid w:val="068C3E93"/>
    <w:rsid w:val="068C5C42"/>
    <w:rsid w:val="069A210C"/>
    <w:rsid w:val="069C40D7"/>
    <w:rsid w:val="06A42F8B"/>
    <w:rsid w:val="06AD696B"/>
    <w:rsid w:val="06AE3E0A"/>
    <w:rsid w:val="06B34F7C"/>
    <w:rsid w:val="06BC6527"/>
    <w:rsid w:val="06C158EB"/>
    <w:rsid w:val="06C21663"/>
    <w:rsid w:val="06C947A0"/>
    <w:rsid w:val="06D03D80"/>
    <w:rsid w:val="06D84A72"/>
    <w:rsid w:val="06DC0977"/>
    <w:rsid w:val="06E11AE9"/>
    <w:rsid w:val="06E15158"/>
    <w:rsid w:val="06E60D29"/>
    <w:rsid w:val="06E71804"/>
    <w:rsid w:val="06F20C75"/>
    <w:rsid w:val="06FC2DC7"/>
    <w:rsid w:val="0701348E"/>
    <w:rsid w:val="07013F3A"/>
    <w:rsid w:val="07020967"/>
    <w:rsid w:val="07047ECE"/>
    <w:rsid w:val="07092259"/>
    <w:rsid w:val="070954E4"/>
    <w:rsid w:val="070D149F"/>
    <w:rsid w:val="070E2AFA"/>
    <w:rsid w:val="070E6657"/>
    <w:rsid w:val="07126147"/>
    <w:rsid w:val="071874D5"/>
    <w:rsid w:val="071A149F"/>
    <w:rsid w:val="072145DC"/>
    <w:rsid w:val="072916E2"/>
    <w:rsid w:val="072E6CF9"/>
    <w:rsid w:val="07302A71"/>
    <w:rsid w:val="07373DFF"/>
    <w:rsid w:val="074A1304"/>
    <w:rsid w:val="074B3407"/>
    <w:rsid w:val="074F739B"/>
    <w:rsid w:val="075229E7"/>
    <w:rsid w:val="0753050D"/>
    <w:rsid w:val="075410AD"/>
    <w:rsid w:val="075F6EB2"/>
    <w:rsid w:val="07630750"/>
    <w:rsid w:val="076369A2"/>
    <w:rsid w:val="07697D31"/>
    <w:rsid w:val="076B5857"/>
    <w:rsid w:val="077043E8"/>
    <w:rsid w:val="07750484"/>
    <w:rsid w:val="077616B7"/>
    <w:rsid w:val="07762B7A"/>
    <w:rsid w:val="07765EFA"/>
    <w:rsid w:val="0777244E"/>
    <w:rsid w:val="07783EDF"/>
    <w:rsid w:val="077B3021"/>
    <w:rsid w:val="078132CC"/>
    <w:rsid w:val="07830DF3"/>
    <w:rsid w:val="07854B6B"/>
    <w:rsid w:val="078678A3"/>
    <w:rsid w:val="078819D9"/>
    <w:rsid w:val="078B3B52"/>
    <w:rsid w:val="078D1C71"/>
    <w:rsid w:val="078F59E9"/>
    <w:rsid w:val="07926EFD"/>
    <w:rsid w:val="07972AF0"/>
    <w:rsid w:val="079C3C62"/>
    <w:rsid w:val="079E5C2C"/>
    <w:rsid w:val="07A66E8D"/>
    <w:rsid w:val="07A82607"/>
    <w:rsid w:val="07A86AAB"/>
    <w:rsid w:val="07B27A2E"/>
    <w:rsid w:val="07B37081"/>
    <w:rsid w:val="07BA233A"/>
    <w:rsid w:val="07BB058C"/>
    <w:rsid w:val="07C05BA3"/>
    <w:rsid w:val="07C37441"/>
    <w:rsid w:val="07CD206E"/>
    <w:rsid w:val="07CF5DE6"/>
    <w:rsid w:val="07DB2682"/>
    <w:rsid w:val="07DC0503"/>
    <w:rsid w:val="07E41234"/>
    <w:rsid w:val="07E5385B"/>
    <w:rsid w:val="07E850FA"/>
    <w:rsid w:val="07EC2E3C"/>
    <w:rsid w:val="07ED0962"/>
    <w:rsid w:val="07F341CA"/>
    <w:rsid w:val="07F615C4"/>
    <w:rsid w:val="07F8305B"/>
    <w:rsid w:val="07F92E63"/>
    <w:rsid w:val="07FE66CB"/>
    <w:rsid w:val="08030185"/>
    <w:rsid w:val="08063DC3"/>
    <w:rsid w:val="080717AD"/>
    <w:rsid w:val="080812F8"/>
    <w:rsid w:val="080D4B60"/>
    <w:rsid w:val="08130D4D"/>
    <w:rsid w:val="08162951"/>
    <w:rsid w:val="081845DE"/>
    <w:rsid w:val="081D2FF5"/>
    <w:rsid w:val="081D52ED"/>
    <w:rsid w:val="0828199A"/>
    <w:rsid w:val="0828574C"/>
    <w:rsid w:val="082962EA"/>
    <w:rsid w:val="082F4AD6"/>
    <w:rsid w:val="0834033F"/>
    <w:rsid w:val="084A1910"/>
    <w:rsid w:val="084E1401"/>
    <w:rsid w:val="084F532E"/>
    <w:rsid w:val="08517143"/>
    <w:rsid w:val="0854278F"/>
    <w:rsid w:val="08625946"/>
    <w:rsid w:val="086504F8"/>
    <w:rsid w:val="0865499C"/>
    <w:rsid w:val="086E55FF"/>
    <w:rsid w:val="087911A9"/>
    <w:rsid w:val="08803584"/>
    <w:rsid w:val="08836BD0"/>
    <w:rsid w:val="088A61B1"/>
    <w:rsid w:val="08901A19"/>
    <w:rsid w:val="08904C92"/>
    <w:rsid w:val="089143C1"/>
    <w:rsid w:val="08962DA7"/>
    <w:rsid w:val="08964B56"/>
    <w:rsid w:val="0899026A"/>
    <w:rsid w:val="089B03BE"/>
    <w:rsid w:val="089D7C92"/>
    <w:rsid w:val="08A52FEB"/>
    <w:rsid w:val="08AE00F1"/>
    <w:rsid w:val="08B1373D"/>
    <w:rsid w:val="08B51480"/>
    <w:rsid w:val="08B60D54"/>
    <w:rsid w:val="08C711B3"/>
    <w:rsid w:val="08C90A87"/>
    <w:rsid w:val="08CC6344"/>
    <w:rsid w:val="08D13DE0"/>
    <w:rsid w:val="08D21CBE"/>
    <w:rsid w:val="08D22573"/>
    <w:rsid w:val="08D32F4D"/>
    <w:rsid w:val="08E053C9"/>
    <w:rsid w:val="08E458C1"/>
    <w:rsid w:val="08E7715F"/>
    <w:rsid w:val="08F25C7C"/>
    <w:rsid w:val="090146C5"/>
    <w:rsid w:val="0902043D"/>
    <w:rsid w:val="090715AF"/>
    <w:rsid w:val="09077801"/>
    <w:rsid w:val="090D074B"/>
    <w:rsid w:val="09102B5A"/>
    <w:rsid w:val="09150170"/>
    <w:rsid w:val="09187C60"/>
    <w:rsid w:val="092108C3"/>
    <w:rsid w:val="092263E9"/>
    <w:rsid w:val="09241E8E"/>
    <w:rsid w:val="092B1742"/>
    <w:rsid w:val="092E1232"/>
    <w:rsid w:val="09373214"/>
    <w:rsid w:val="09383E5F"/>
    <w:rsid w:val="093C09A4"/>
    <w:rsid w:val="09420839"/>
    <w:rsid w:val="094353E9"/>
    <w:rsid w:val="094840A2"/>
    <w:rsid w:val="09570789"/>
    <w:rsid w:val="095742E5"/>
    <w:rsid w:val="095913C0"/>
    <w:rsid w:val="095943CE"/>
    <w:rsid w:val="095A2027"/>
    <w:rsid w:val="095A5B83"/>
    <w:rsid w:val="095F28AF"/>
    <w:rsid w:val="096168DE"/>
    <w:rsid w:val="09673BFD"/>
    <w:rsid w:val="097035F9"/>
    <w:rsid w:val="09735491"/>
    <w:rsid w:val="09762FA7"/>
    <w:rsid w:val="09774987"/>
    <w:rsid w:val="097924AD"/>
    <w:rsid w:val="097E7AC3"/>
    <w:rsid w:val="098A46BA"/>
    <w:rsid w:val="09945539"/>
    <w:rsid w:val="099512B1"/>
    <w:rsid w:val="09965645"/>
    <w:rsid w:val="099C43EE"/>
    <w:rsid w:val="099C619C"/>
    <w:rsid w:val="09A432A2"/>
    <w:rsid w:val="09A45050"/>
    <w:rsid w:val="09A92667"/>
    <w:rsid w:val="09AB5FE4"/>
    <w:rsid w:val="09AC0CCC"/>
    <w:rsid w:val="09AD65FB"/>
    <w:rsid w:val="09B5725D"/>
    <w:rsid w:val="09B82DDB"/>
    <w:rsid w:val="09BE6112"/>
    <w:rsid w:val="09C000DC"/>
    <w:rsid w:val="09C33F12"/>
    <w:rsid w:val="09C63218"/>
    <w:rsid w:val="09C851E3"/>
    <w:rsid w:val="09CB4CD3"/>
    <w:rsid w:val="09CB6A81"/>
    <w:rsid w:val="09D9119E"/>
    <w:rsid w:val="09D973F0"/>
    <w:rsid w:val="09DE0562"/>
    <w:rsid w:val="09DE67B4"/>
    <w:rsid w:val="09E27CC3"/>
    <w:rsid w:val="09F4422A"/>
    <w:rsid w:val="09F61AD0"/>
    <w:rsid w:val="09F77C68"/>
    <w:rsid w:val="09FB1114"/>
    <w:rsid w:val="09FE0C04"/>
    <w:rsid w:val="0A002BCE"/>
    <w:rsid w:val="0A01727D"/>
    <w:rsid w:val="0A0855DF"/>
    <w:rsid w:val="0A12582B"/>
    <w:rsid w:val="0A1265BB"/>
    <w:rsid w:val="0A165F4E"/>
    <w:rsid w:val="0A1B7A08"/>
    <w:rsid w:val="0A1D5CB7"/>
    <w:rsid w:val="0A20501F"/>
    <w:rsid w:val="0A2269D0"/>
    <w:rsid w:val="0A232419"/>
    <w:rsid w:val="0A285C81"/>
    <w:rsid w:val="0A2A7852"/>
    <w:rsid w:val="0A2D14EA"/>
    <w:rsid w:val="0A312D88"/>
    <w:rsid w:val="0A334D52"/>
    <w:rsid w:val="0A36039E"/>
    <w:rsid w:val="0A391C3C"/>
    <w:rsid w:val="0A3951CC"/>
    <w:rsid w:val="0A3B3C06"/>
    <w:rsid w:val="0A407D85"/>
    <w:rsid w:val="0A430D0D"/>
    <w:rsid w:val="0A4C70C9"/>
    <w:rsid w:val="0A5311C3"/>
    <w:rsid w:val="0A5916F6"/>
    <w:rsid w:val="0A652A31"/>
    <w:rsid w:val="0A7140AF"/>
    <w:rsid w:val="0A717628"/>
    <w:rsid w:val="0A821835"/>
    <w:rsid w:val="0A8235E3"/>
    <w:rsid w:val="0A856C30"/>
    <w:rsid w:val="0A8729A8"/>
    <w:rsid w:val="0A894677"/>
    <w:rsid w:val="0A8F5D00"/>
    <w:rsid w:val="0A8F7AAE"/>
    <w:rsid w:val="0A911A78"/>
    <w:rsid w:val="0A9357F1"/>
    <w:rsid w:val="0A967038"/>
    <w:rsid w:val="0A99092D"/>
    <w:rsid w:val="0AA07F0D"/>
    <w:rsid w:val="0AA15FE0"/>
    <w:rsid w:val="0AA417AC"/>
    <w:rsid w:val="0AA95618"/>
    <w:rsid w:val="0AAD0CA0"/>
    <w:rsid w:val="0AAF1EFF"/>
    <w:rsid w:val="0ABA2D7D"/>
    <w:rsid w:val="0ABB4D47"/>
    <w:rsid w:val="0ABF376D"/>
    <w:rsid w:val="0AC27E84"/>
    <w:rsid w:val="0ADD2E7A"/>
    <w:rsid w:val="0AE53B72"/>
    <w:rsid w:val="0AE93662"/>
    <w:rsid w:val="0AED7401"/>
    <w:rsid w:val="0AEE2A27"/>
    <w:rsid w:val="0AF04AB4"/>
    <w:rsid w:val="0AF142C5"/>
    <w:rsid w:val="0AF22A62"/>
    <w:rsid w:val="0AF52007"/>
    <w:rsid w:val="0AF67B2D"/>
    <w:rsid w:val="0AFD0EBC"/>
    <w:rsid w:val="0AFD3352"/>
    <w:rsid w:val="0AFF69E2"/>
    <w:rsid w:val="0B016BFE"/>
    <w:rsid w:val="0B04224A"/>
    <w:rsid w:val="0B154457"/>
    <w:rsid w:val="0B187AA4"/>
    <w:rsid w:val="0B1A1A6E"/>
    <w:rsid w:val="0B1B1342"/>
    <w:rsid w:val="0B1D155E"/>
    <w:rsid w:val="0B24469B"/>
    <w:rsid w:val="0B293A5F"/>
    <w:rsid w:val="0B3018BC"/>
    <w:rsid w:val="0B3348DE"/>
    <w:rsid w:val="0B350656"/>
    <w:rsid w:val="0B5205EC"/>
    <w:rsid w:val="0B5807E8"/>
    <w:rsid w:val="0B5C5BE2"/>
    <w:rsid w:val="0B5E289E"/>
    <w:rsid w:val="0B664CB3"/>
    <w:rsid w:val="0B666A61"/>
    <w:rsid w:val="0B674587"/>
    <w:rsid w:val="0B683615"/>
    <w:rsid w:val="0B6902FF"/>
    <w:rsid w:val="0B6A2B3F"/>
    <w:rsid w:val="0B6E1DBA"/>
    <w:rsid w:val="0B770C6E"/>
    <w:rsid w:val="0B772A1C"/>
    <w:rsid w:val="0B7E0990"/>
    <w:rsid w:val="0B8769D7"/>
    <w:rsid w:val="0B884C29"/>
    <w:rsid w:val="0B8C3FEE"/>
    <w:rsid w:val="0B9A495D"/>
    <w:rsid w:val="0B9A670B"/>
    <w:rsid w:val="0B9B6FB8"/>
    <w:rsid w:val="0B9F01C5"/>
    <w:rsid w:val="0B9F1F73"/>
    <w:rsid w:val="0BA61553"/>
    <w:rsid w:val="0BA77FB4"/>
    <w:rsid w:val="0BA80E28"/>
    <w:rsid w:val="0BAC3645"/>
    <w:rsid w:val="0BAD28E2"/>
    <w:rsid w:val="0BAD643E"/>
    <w:rsid w:val="0BAF6BF3"/>
    <w:rsid w:val="0BB35A1E"/>
    <w:rsid w:val="0BB43C70"/>
    <w:rsid w:val="0BB70F4B"/>
    <w:rsid w:val="0BBC2B25"/>
    <w:rsid w:val="0BBD490D"/>
    <w:rsid w:val="0BBF2615"/>
    <w:rsid w:val="0BD0037E"/>
    <w:rsid w:val="0BD3290D"/>
    <w:rsid w:val="0BD53BE7"/>
    <w:rsid w:val="0BD74E46"/>
    <w:rsid w:val="0BD809D1"/>
    <w:rsid w:val="0BD95485"/>
    <w:rsid w:val="0BE2331A"/>
    <w:rsid w:val="0BE300B2"/>
    <w:rsid w:val="0BE61950"/>
    <w:rsid w:val="0BE67BA2"/>
    <w:rsid w:val="0BE81B6C"/>
    <w:rsid w:val="0BE856C8"/>
    <w:rsid w:val="0BEB73A5"/>
    <w:rsid w:val="0BF7590B"/>
    <w:rsid w:val="0BFB189F"/>
    <w:rsid w:val="0BFC73C5"/>
    <w:rsid w:val="0BFE313E"/>
    <w:rsid w:val="0C0369A6"/>
    <w:rsid w:val="0C085CA5"/>
    <w:rsid w:val="0C0F0EA7"/>
    <w:rsid w:val="0C112E71"/>
    <w:rsid w:val="0C126BE9"/>
    <w:rsid w:val="0C1464BD"/>
    <w:rsid w:val="0C1666D9"/>
    <w:rsid w:val="0C1741FF"/>
    <w:rsid w:val="0C1A66BE"/>
    <w:rsid w:val="0C2A3F33"/>
    <w:rsid w:val="0C30706F"/>
    <w:rsid w:val="0C375F99"/>
    <w:rsid w:val="0C3923C8"/>
    <w:rsid w:val="0C395F24"/>
    <w:rsid w:val="0C3E6914"/>
    <w:rsid w:val="0C433FAA"/>
    <w:rsid w:val="0C476893"/>
    <w:rsid w:val="0C4A4695"/>
    <w:rsid w:val="0C4D7C21"/>
    <w:rsid w:val="0C591283"/>
    <w:rsid w:val="0C5E598A"/>
    <w:rsid w:val="0C601702"/>
    <w:rsid w:val="0C632D8B"/>
    <w:rsid w:val="0C6531BD"/>
    <w:rsid w:val="0C686809"/>
    <w:rsid w:val="0C696A4D"/>
    <w:rsid w:val="0C6A07D3"/>
    <w:rsid w:val="0C6C30D3"/>
    <w:rsid w:val="0C701305"/>
    <w:rsid w:val="0C7358DA"/>
    <w:rsid w:val="0C760F26"/>
    <w:rsid w:val="0C7B02EA"/>
    <w:rsid w:val="0C8278CB"/>
    <w:rsid w:val="0C8F023A"/>
    <w:rsid w:val="0C8F1FE8"/>
    <w:rsid w:val="0C931AD8"/>
    <w:rsid w:val="0C9475FE"/>
    <w:rsid w:val="0C965124"/>
    <w:rsid w:val="0C99751F"/>
    <w:rsid w:val="0C9F66CF"/>
    <w:rsid w:val="0CA05FA3"/>
    <w:rsid w:val="0CA57A5D"/>
    <w:rsid w:val="0CAE12C9"/>
    <w:rsid w:val="0CAF495E"/>
    <w:rsid w:val="0CB11F5E"/>
    <w:rsid w:val="0CB41A4E"/>
    <w:rsid w:val="0CC223BD"/>
    <w:rsid w:val="0CC76782"/>
    <w:rsid w:val="0CD12600"/>
    <w:rsid w:val="0CD345CA"/>
    <w:rsid w:val="0CDB522D"/>
    <w:rsid w:val="0CE55B25"/>
    <w:rsid w:val="0CEE7587"/>
    <w:rsid w:val="0CEF2A86"/>
    <w:rsid w:val="0CEF5748"/>
    <w:rsid w:val="0CF77EF3"/>
    <w:rsid w:val="0CF87B8D"/>
    <w:rsid w:val="0D075A67"/>
    <w:rsid w:val="0D091D9A"/>
    <w:rsid w:val="0D15073F"/>
    <w:rsid w:val="0D156991"/>
    <w:rsid w:val="0D2564A8"/>
    <w:rsid w:val="0D2A39FA"/>
    <w:rsid w:val="0D2B4D66"/>
    <w:rsid w:val="0D3861DB"/>
    <w:rsid w:val="0D4234FE"/>
    <w:rsid w:val="0D4252AC"/>
    <w:rsid w:val="0D447276"/>
    <w:rsid w:val="0D4508F8"/>
    <w:rsid w:val="0D464D9C"/>
    <w:rsid w:val="0D5663F1"/>
    <w:rsid w:val="0D584ACF"/>
    <w:rsid w:val="0D5A25F6"/>
    <w:rsid w:val="0D5D3E94"/>
    <w:rsid w:val="0D6214AA"/>
    <w:rsid w:val="0D7116ED"/>
    <w:rsid w:val="0D75742F"/>
    <w:rsid w:val="0D77C5BD"/>
    <w:rsid w:val="0D780CCE"/>
    <w:rsid w:val="0D7A67F4"/>
    <w:rsid w:val="0D7C6A10"/>
    <w:rsid w:val="0D841421"/>
    <w:rsid w:val="0D8458C4"/>
    <w:rsid w:val="0D8633EB"/>
    <w:rsid w:val="0D865199"/>
    <w:rsid w:val="0D894C89"/>
    <w:rsid w:val="0D8B7595"/>
    <w:rsid w:val="0D903407"/>
    <w:rsid w:val="0D957AD2"/>
    <w:rsid w:val="0DA41AC3"/>
    <w:rsid w:val="0DA87805"/>
    <w:rsid w:val="0DAD574B"/>
    <w:rsid w:val="0DAE2303"/>
    <w:rsid w:val="0DCF4D92"/>
    <w:rsid w:val="0DD34156"/>
    <w:rsid w:val="0DD423A8"/>
    <w:rsid w:val="0DD73C46"/>
    <w:rsid w:val="0DDB451D"/>
    <w:rsid w:val="0DE35C55"/>
    <w:rsid w:val="0DED16BC"/>
    <w:rsid w:val="0DEF2C07"/>
    <w:rsid w:val="0DF17B0F"/>
    <w:rsid w:val="0DF447F8"/>
    <w:rsid w:val="0DFA16E3"/>
    <w:rsid w:val="0DFC6BD2"/>
    <w:rsid w:val="0E042561"/>
    <w:rsid w:val="0E0F1632"/>
    <w:rsid w:val="0E1327A4"/>
    <w:rsid w:val="0E197DBB"/>
    <w:rsid w:val="0E2774A7"/>
    <w:rsid w:val="0E2D3866"/>
    <w:rsid w:val="0E2F75DE"/>
    <w:rsid w:val="0E356BBF"/>
    <w:rsid w:val="0E386761"/>
    <w:rsid w:val="0E3A41D5"/>
    <w:rsid w:val="0E4B1F3E"/>
    <w:rsid w:val="0E527771"/>
    <w:rsid w:val="0E545297"/>
    <w:rsid w:val="0E593927"/>
    <w:rsid w:val="0E5E6115"/>
    <w:rsid w:val="0E5F3020"/>
    <w:rsid w:val="0E6179B4"/>
    <w:rsid w:val="0E63372C"/>
    <w:rsid w:val="0E666D78"/>
    <w:rsid w:val="0E680D42"/>
    <w:rsid w:val="0E686F94"/>
    <w:rsid w:val="0E6A6868"/>
    <w:rsid w:val="0E6B25E0"/>
    <w:rsid w:val="0E6D45AA"/>
    <w:rsid w:val="0E6D6359"/>
    <w:rsid w:val="0E71409B"/>
    <w:rsid w:val="0E833DCE"/>
    <w:rsid w:val="0E8E5325"/>
    <w:rsid w:val="0E924011"/>
    <w:rsid w:val="0EA578A0"/>
    <w:rsid w:val="0EA855E3"/>
    <w:rsid w:val="0EB2020F"/>
    <w:rsid w:val="0EB225FD"/>
    <w:rsid w:val="0EB75826"/>
    <w:rsid w:val="0EB775D4"/>
    <w:rsid w:val="0EB9334C"/>
    <w:rsid w:val="0EBD108E"/>
    <w:rsid w:val="0ECE5049"/>
    <w:rsid w:val="0ED14B39"/>
    <w:rsid w:val="0ED80200"/>
    <w:rsid w:val="0ED97690"/>
    <w:rsid w:val="0EDB32C2"/>
    <w:rsid w:val="0EDB59B8"/>
    <w:rsid w:val="0EE04D7C"/>
    <w:rsid w:val="0EE06B2A"/>
    <w:rsid w:val="0EE3661B"/>
    <w:rsid w:val="0EE4486D"/>
    <w:rsid w:val="0EE62C1A"/>
    <w:rsid w:val="0EF024FE"/>
    <w:rsid w:val="0EF34AB0"/>
    <w:rsid w:val="0EFA4090"/>
    <w:rsid w:val="0EFB1BB6"/>
    <w:rsid w:val="0F040A6B"/>
    <w:rsid w:val="0F123E10"/>
    <w:rsid w:val="0F152D89"/>
    <w:rsid w:val="0F1669F0"/>
    <w:rsid w:val="0F1B5DB5"/>
    <w:rsid w:val="0F20161D"/>
    <w:rsid w:val="0F2033CB"/>
    <w:rsid w:val="0F237DDC"/>
    <w:rsid w:val="0F2413EE"/>
    <w:rsid w:val="0F2A1DFA"/>
    <w:rsid w:val="0F2E7896"/>
    <w:rsid w:val="0F323656"/>
    <w:rsid w:val="0F3B750B"/>
    <w:rsid w:val="0F403A6D"/>
    <w:rsid w:val="0F423341"/>
    <w:rsid w:val="0F4277E5"/>
    <w:rsid w:val="0F44530B"/>
    <w:rsid w:val="0F4470B9"/>
    <w:rsid w:val="0F450727"/>
    <w:rsid w:val="0F452E31"/>
    <w:rsid w:val="0F473047"/>
    <w:rsid w:val="0F4C2412"/>
    <w:rsid w:val="0F5117D6"/>
    <w:rsid w:val="0F5372FC"/>
    <w:rsid w:val="0F587009"/>
    <w:rsid w:val="0F5B4568"/>
    <w:rsid w:val="0F5D017B"/>
    <w:rsid w:val="0F5F3EF3"/>
    <w:rsid w:val="0F601A19"/>
    <w:rsid w:val="0F692FC4"/>
    <w:rsid w:val="0F6C4862"/>
    <w:rsid w:val="0F76748F"/>
    <w:rsid w:val="0F7D25CB"/>
    <w:rsid w:val="0F7D3049"/>
    <w:rsid w:val="0F7F4595"/>
    <w:rsid w:val="0F827BE2"/>
    <w:rsid w:val="0F841BAC"/>
    <w:rsid w:val="0F8676D2"/>
    <w:rsid w:val="0F8C0A60"/>
    <w:rsid w:val="0F8F26CE"/>
    <w:rsid w:val="0F900551"/>
    <w:rsid w:val="0F9763F7"/>
    <w:rsid w:val="0FA43FFC"/>
    <w:rsid w:val="0FA47B58"/>
    <w:rsid w:val="0FAB0EE6"/>
    <w:rsid w:val="0FB0474F"/>
    <w:rsid w:val="0FB77D8D"/>
    <w:rsid w:val="0FB87AA7"/>
    <w:rsid w:val="0FC11AFA"/>
    <w:rsid w:val="0FC4644C"/>
    <w:rsid w:val="0FC91CB4"/>
    <w:rsid w:val="0FD552AF"/>
    <w:rsid w:val="0FD7617F"/>
    <w:rsid w:val="0FDE3497"/>
    <w:rsid w:val="0FE05083"/>
    <w:rsid w:val="0FE35C25"/>
    <w:rsid w:val="0FF91DDA"/>
    <w:rsid w:val="100917CE"/>
    <w:rsid w:val="10093E5F"/>
    <w:rsid w:val="101271B8"/>
    <w:rsid w:val="101342EA"/>
    <w:rsid w:val="10156CA8"/>
    <w:rsid w:val="101D790A"/>
    <w:rsid w:val="101F1965"/>
    <w:rsid w:val="102869DB"/>
    <w:rsid w:val="1029139F"/>
    <w:rsid w:val="10337AA3"/>
    <w:rsid w:val="10390BE8"/>
    <w:rsid w:val="103C5FE2"/>
    <w:rsid w:val="103F3D25"/>
    <w:rsid w:val="10437371"/>
    <w:rsid w:val="10484987"/>
    <w:rsid w:val="104B091B"/>
    <w:rsid w:val="10507CE0"/>
    <w:rsid w:val="1053332C"/>
    <w:rsid w:val="10613C9B"/>
    <w:rsid w:val="106D2640"/>
    <w:rsid w:val="10757746"/>
    <w:rsid w:val="10771710"/>
    <w:rsid w:val="107734BE"/>
    <w:rsid w:val="107D79FB"/>
    <w:rsid w:val="107E3486"/>
    <w:rsid w:val="107E484D"/>
    <w:rsid w:val="107E65FB"/>
    <w:rsid w:val="108005C5"/>
    <w:rsid w:val="10855BDB"/>
    <w:rsid w:val="10857989"/>
    <w:rsid w:val="1088747A"/>
    <w:rsid w:val="108A1444"/>
    <w:rsid w:val="108D4A90"/>
    <w:rsid w:val="109C2F25"/>
    <w:rsid w:val="109D1177"/>
    <w:rsid w:val="109E6C9D"/>
    <w:rsid w:val="10A87B1C"/>
    <w:rsid w:val="10AA73F0"/>
    <w:rsid w:val="10B262A5"/>
    <w:rsid w:val="10B459A7"/>
    <w:rsid w:val="10BB33AB"/>
    <w:rsid w:val="10C20BDE"/>
    <w:rsid w:val="10C763EA"/>
    <w:rsid w:val="10CB62A5"/>
    <w:rsid w:val="10D601E5"/>
    <w:rsid w:val="10DA025E"/>
    <w:rsid w:val="10E30B54"/>
    <w:rsid w:val="10E36DA6"/>
    <w:rsid w:val="10E43A7A"/>
    <w:rsid w:val="10E93D4E"/>
    <w:rsid w:val="10EE1DD4"/>
    <w:rsid w:val="10EF1139"/>
    <w:rsid w:val="10F36FE9"/>
    <w:rsid w:val="10F44B0F"/>
    <w:rsid w:val="11003973"/>
    <w:rsid w:val="11052878"/>
    <w:rsid w:val="110A1F26"/>
    <w:rsid w:val="110E5BD1"/>
    <w:rsid w:val="11166833"/>
    <w:rsid w:val="111D5E14"/>
    <w:rsid w:val="11276C93"/>
    <w:rsid w:val="112C42A9"/>
    <w:rsid w:val="112E6273"/>
    <w:rsid w:val="1138612F"/>
    <w:rsid w:val="113A2488"/>
    <w:rsid w:val="113E5D8A"/>
    <w:rsid w:val="114333A1"/>
    <w:rsid w:val="1145536B"/>
    <w:rsid w:val="114A472F"/>
    <w:rsid w:val="114B2BEB"/>
    <w:rsid w:val="115455AE"/>
    <w:rsid w:val="1154735C"/>
    <w:rsid w:val="11567578"/>
    <w:rsid w:val="11586E4C"/>
    <w:rsid w:val="115D3896"/>
    <w:rsid w:val="11616E90"/>
    <w:rsid w:val="1164521F"/>
    <w:rsid w:val="11691059"/>
    <w:rsid w:val="11692E07"/>
    <w:rsid w:val="11730499"/>
    <w:rsid w:val="11755C50"/>
    <w:rsid w:val="11782338"/>
    <w:rsid w:val="117C2CAF"/>
    <w:rsid w:val="117C2D28"/>
    <w:rsid w:val="117D68B3"/>
    <w:rsid w:val="11847C41"/>
    <w:rsid w:val="118B5473"/>
    <w:rsid w:val="118C4D48"/>
    <w:rsid w:val="11991213"/>
    <w:rsid w:val="119E788B"/>
    <w:rsid w:val="11A402E3"/>
    <w:rsid w:val="11A87CBC"/>
    <w:rsid w:val="11A923DA"/>
    <w:rsid w:val="11AA0282"/>
    <w:rsid w:val="11B03A6A"/>
    <w:rsid w:val="11B12A00"/>
    <w:rsid w:val="11B322D4"/>
    <w:rsid w:val="11BA3663"/>
    <w:rsid w:val="11BF451F"/>
    <w:rsid w:val="11C40985"/>
    <w:rsid w:val="11CC3396"/>
    <w:rsid w:val="11CC5D32"/>
    <w:rsid w:val="11CC783A"/>
    <w:rsid w:val="11D5049D"/>
    <w:rsid w:val="11D566EF"/>
    <w:rsid w:val="11DD1A47"/>
    <w:rsid w:val="11F755A9"/>
    <w:rsid w:val="11F823DD"/>
    <w:rsid w:val="11FA1551"/>
    <w:rsid w:val="12062D04"/>
    <w:rsid w:val="12072620"/>
    <w:rsid w:val="120945EA"/>
    <w:rsid w:val="120E55B0"/>
    <w:rsid w:val="120E7E53"/>
    <w:rsid w:val="12105979"/>
    <w:rsid w:val="1212349F"/>
    <w:rsid w:val="12150D26"/>
    <w:rsid w:val="121511E1"/>
    <w:rsid w:val="121A7943"/>
    <w:rsid w:val="121D3BF2"/>
    <w:rsid w:val="121E0096"/>
    <w:rsid w:val="12244F80"/>
    <w:rsid w:val="12384497"/>
    <w:rsid w:val="12463148"/>
    <w:rsid w:val="12554F2C"/>
    <w:rsid w:val="125D0492"/>
    <w:rsid w:val="125E4936"/>
    <w:rsid w:val="12674858"/>
    <w:rsid w:val="126B2BAF"/>
    <w:rsid w:val="126D15E8"/>
    <w:rsid w:val="12722550"/>
    <w:rsid w:val="12745F08"/>
    <w:rsid w:val="12850115"/>
    <w:rsid w:val="128B4FFF"/>
    <w:rsid w:val="128D0D77"/>
    <w:rsid w:val="128D6FC9"/>
    <w:rsid w:val="12955E7E"/>
    <w:rsid w:val="1299596E"/>
    <w:rsid w:val="129C0FBA"/>
    <w:rsid w:val="129C545E"/>
    <w:rsid w:val="129E5C9F"/>
    <w:rsid w:val="12A06CFD"/>
    <w:rsid w:val="12AC38F3"/>
    <w:rsid w:val="12BC78AF"/>
    <w:rsid w:val="12BC7E07"/>
    <w:rsid w:val="12C0114D"/>
    <w:rsid w:val="12C0739F"/>
    <w:rsid w:val="12C16C73"/>
    <w:rsid w:val="12C81DAF"/>
    <w:rsid w:val="12CB18A0"/>
    <w:rsid w:val="12DB7D35"/>
    <w:rsid w:val="12E27315"/>
    <w:rsid w:val="12E36D9D"/>
    <w:rsid w:val="12EF778D"/>
    <w:rsid w:val="12F232D0"/>
    <w:rsid w:val="12F9640D"/>
    <w:rsid w:val="13023513"/>
    <w:rsid w:val="13031039"/>
    <w:rsid w:val="13051255"/>
    <w:rsid w:val="130848A2"/>
    <w:rsid w:val="130F3075"/>
    <w:rsid w:val="13117BFA"/>
    <w:rsid w:val="13160D6D"/>
    <w:rsid w:val="131A3751"/>
    <w:rsid w:val="132004B7"/>
    <w:rsid w:val="1320418F"/>
    <w:rsid w:val="132A4818"/>
    <w:rsid w:val="133236CD"/>
    <w:rsid w:val="13347445"/>
    <w:rsid w:val="13367661"/>
    <w:rsid w:val="13370CE3"/>
    <w:rsid w:val="133D09EF"/>
    <w:rsid w:val="133E0E6F"/>
    <w:rsid w:val="13424F3F"/>
    <w:rsid w:val="13491142"/>
    <w:rsid w:val="134A7FFB"/>
    <w:rsid w:val="1351449B"/>
    <w:rsid w:val="13545D39"/>
    <w:rsid w:val="136401A0"/>
    <w:rsid w:val="13674BE3"/>
    <w:rsid w:val="1367781A"/>
    <w:rsid w:val="136A730B"/>
    <w:rsid w:val="1373302C"/>
    <w:rsid w:val="13734411"/>
    <w:rsid w:val="1376180B"/>
    <w:rsid w:val="13767A5D"/>
    <w:rsid w:val="13781A7E"/>
    <w:rsid w:val="1379754E"/>
    <w:rsid w:val="137A57A0"/>
    <w:rsid w:val="137F4B64"/>
    <w:rsid w:val="13855848"/>
    <w:rsid w:val="138A52B7"/>
    <w:rsid w:val="138C7281"/>
    <w:rsid w:val="1393490E"/>
    <w:rsid w:val="13946135"/>
    <w:rsid w:val="1395604C"/>
    <w:rsid w:val="139F6FB4"/>
    <w:rsid w:val="13A10F7E"/>
    <w:rsid w:val="13A97E33"/>
    <w:rsid w:val="13AE71F7"/>
    <w:rsid w:val="13B642FE"/>
    <w:rsid w:val="13BA5D6B"/>
    <w:rsid w:val="13BF31B2"/>
    <w:rsid w:val="13C20EF5"/>
    <w:rsid w:val="13C24A51"/>
    <w:rsid w:val="13C82EBD"/>
    <w:rsid w:val="13D91ADE"/>
    <w:rsid w:val="13DB5B12"/>
    <w:rsid w:val="13DC1FB6"/>
    <w:rsid w:val="13DD5D2E"/>
    <w:rsid w:val="13E62E35"/>
    <w:rsid w:val="13EC5F71"/>
    <w:rsid w:val="13ED41C3"/>
    <w:rsid w:val="13F6294C"/>
    <w:rsid w:val="13FF5CA5"/>
    <w:rsid w:val="14011A1D"/>
    <w:rsid w:val="1403012C"/>
    <w:rsid w:val="1404150D"/>
    <w:rsid w:val="14045069"/>
    <w:rsid w:val="14096B23"/>
    <w:rsid w:val="140D666A"/>
    <w:rsid w:val="14186D67"/>
    <w:rsid w:val="141A2ADF"/>
    <w:rsid w:val="141F1EA3"/>
    <w:rsid w:val="14215C1B"/>
    <w:rsid w:val="142179C9"/>
    <w:rsid w:val="142474B9"/>
    <w:rsid w:val="14253DD2"/>
    <w:rsid w:val="14255513"/>
    <w:rsid w:val="142825B6"/>
    <w:rsid w:val="142B4CEC"/>
    <w:rsid w:val="142F2DDA"/>
    <w:rsid w:val="143516C6"/>
    <w:rsid w:val="14373691"/>
    <w:rsid w:val="1437543F"/>
    <w:rsid w:val="143A0A8B"/>
    <w:rsid w:val="143D67CD"/>
    <w:rsid w:val="14425B91"/>
    <w:rsid w:val="14496F20"/>
    <w:rsid w:val="144E4536"/>
    <w:rsid w:val="14553B17"/>
    <w:rsid w:val="146927B7"/>
    <w:rsid w:val="146D2C0E"/>
    <w:rsid w:val="146E4BD8"/>
    <w:rsid w:val="14726477"/>
    <w:rsid w:val="14733F9D"/>
    <w:rsid w:val="147952FC"/>
    <w:rsid w:val="147C72F5"/>
    <w:rsid w:val="14860174"/>
    <w:rsid w:val="14877A3D"/>
    <w:rsid w:val="1494463F"/>
    <w:rsid w:val="149D3DDF"/>
    <w:rsid w:val="149E54BE"/>
    <w:rsid w:val="14A44CEC"/>
    <w:rsid w:val="14A6073C"/>
    <w:rsid w:val="14B62AB7"/>
    <w:rsid w:val="14C842E9"/>
    <w:rsid w:val="14C95AF3"/>
    <w:rsid w:val="14D233B9"/>
    <w:rsid w:val="14D902A4"/>
    <w:rsid w:val="14DC7D94"/>
    <w:rsid w:val="14E63A14"/>
    <w:rsid w:val="14E804E7"/>
    <w:rsid w:val="14EB45D5"/>
    <w:rsid w:val="14F670A8"/>
    <w:rsid w:val="14F75178"/>
    <w:rsid w:val="14FA3491"/>
    <w:rsid w:val="1505553D"/>
    <w:rsid w:val="150712B5"/>
    <w:rsid w:val="150738BE"/>
    <w:rsid w:val="15080B89"/>
    <w:rsid w:val="15090F10"/>
    <w:rsid w:val="151B4D60"/>
    <w:rsid w:val="151C4AB2"/>
    <w:rsid w:val="151E65FF"/>
    <w:rsid w:val="15273705"/>
    <w:rsid w:val="1528122B"/>
    <w:rsid w:val="1537146E"/>
    <w:rsid w:val="15400323"/>
    <w:rsid w:val="1542409B"/>
    <w:rsid w:val="154D47EE"/>
    <w:rsid w:val="15510782"/>
    <w:rsid w:val="15520056"/>
    <w:rsid w:val="15603573"/>
    <w:rsid w:val="156A1844"/>
    <w:rsid w:val="156C655D"/>
    <w:rsid w:val="157036ED"/>
    <w:rsid w:val="157518C4"/>
    <w:rsid w:val="15793835"/>
    <w:rsid w:val="157D3325"/>
    <w:rsid w:val="157F52EF"/>
    <w:rsid w:val="158C17BA"/>
    <w:rsid w:val="15915022"/>
    <w:rsid w:val="159B19FD"/>
    <w:rsid w:val="159F14ED"/>
    <w:rsid w:val="15A07014"/>
    <w:rsid w:val="15B91E83"/>
    <w:rsid w:val="15BA6327"/>
    <w:rsid w:val="15BB3E4D"/>
    <w:rsid w:val="15BC38F3"/>
    <w:rsid w:val="15BE749A"/>
    <w:rsid w:val="15BF393E"/>
    <w:rsid w:val="15C72899"/>
    <w:rsid w:val="15C745A0"/>
    <w:rsid w:val="15CE3B81"/>
    <w:rsid w:val="15CF16A7"/>
    <w:rsid w:val="15D038D4"/>
    <w:rsid w:val="15D66ED9"/>
    <w:rsid w:val="15DF7B3C"/>
    <w:rsid w:val="15E72E94"/>
    <w:rsid w:val="15EA64E1"/>
    <w:rsid w:val="15F335E7"/>
    <w:rsid w:val="15F553C2"/>
    <w:rsid w:val="15F80BFE"/>
    <w:rsid w:val="15FF1F8C"/>
    <w:rsid w:val="15FF3D3A"/>
    <w:rsid w:val="160503C0"/>
    <w:rsid w:val="1606156C"/>
    <w:rsid w:val="16070E41"/>
    <w:rsid w:val="160733B1"/>
    <w:rsid w:val="1609105D"/>
    <w:rsid w:val="160C46A9"/>
    <w:rsid w:val="16111CBF"/>
    <w:rsid w:val="161C0D90"/>
    <w:rsid w:val="161D2412"/>
    <w:rsid w:val="161F43DC"/>
    <w:rsid w:val="162163A6"/>
    <w:rsid w:val="16227A29"/>
    <w:rsid w:val="162B0FD3"/>
    <w:rsid w:val="162B519E"/>
    <w:rsid w:val="162E461F"/>
    <w:rsid w:val="16302145"/>
    <w:rsid w:val="16321C77"/>
    <w:rsid w:val="16343DB8"/>
    <w:rsid w:val="16354772"/>
    <w:rsid w:val="16393095"/>
    <w:rsid w:val="163D4862"/>
    <w:rsid w:val="164125A5"/>
    <w:rsid w:val="16421E79"/>
    <w:rsid w:val="164267D7"/>
    <w:rsid w:val="164B51D1"/>
    <w:rsid w:val="164D0F49"/>
    <w:rsid w:val="16565924"/>
    <w:rsid w:val="165C118C"/>
    <w:rsid w:val="166221AA"/>
    <w:rsid w:val="1667472B"/>
    <w:rsid w:val="166A2EEE"/>
    <w:rsid w:val="167504A0"/>
    <w:rsid w:val="1683496B"/>
    <w:rsid w:val="168411C4"/>
    <w:rsid w:val="16915190"/>
    <w:rsid w:val="16930926"/>
    <w:rsid w:val="1695469E"/>
    <w:rsid w:val="1699418F"/>
    <w:rsid w:val="169961A3"/>
    <w:rsid w:val="169A7F07"/>
    <w:rsid w:val="169F4829"/>
    <w:rsid w:val="16A448E1"/>
    <w:rsid w:val="16B276E7"/>
    <w:rsid w:val="16B703D3"/>
    <w:rsid w:val="16BA2357"/>
    <w:rsid w:val="16BF796D"/>
    <w:rsid w:val="16C15493"/>
    <w:rsid w:val="16C3120C"/>
    <w:rsid w:val="16D54D03"/>
    <w:rsid w:val="16DB6903"/>
    <w:rsid w:val="16DE0A1B"/>
    <w:rsid w:val="16E42F30"/>
    <w:rsid w:val="16E82A20"/>
    <w:rsid w:val="16EB42BE"/>
    <w:rsid w:val="16F5513D"/>
    <w:rsid w:val="16FE2244"/>
    <w:rsid w:val="16FF0B97"/>
    <w:rsid w:val="17005FBC"/>
    <w:rsid w:val="17090456"/>
    <w:rsid w:val="170A0BE8"/>
    <w:rsid w:val="170D06D9"/>
    <w:rsid w:val="170F26A3"/>
    <w:rsid w:val="17123F41"/>
    <w:rsid w:val="17141A67"/>
    <w:rsid w:val="17141CFC"/>
    <w:rsid w:val="17171557"/>
    <w:rsid w:val="171A4BA4"/>
    <w:rsid w:val="1720665E"/>
    <w:rsid w:val="17231CAA"/>
    <w:rsid w:val="17237EFC"/>
    <w:rsid w:val="172577D0"/>
    <w:rsid w:val="1726179A"/>
    <w:rsid w:val="172B0B5F"/>
    <w:rsid w:val="1733274C"/>
    <w:rsid w:val="1733712E"/>
    <w:rsid w:val="1735378C"/>
    <w:rsid w:val="17375756"/>
    <w:rsid w:val="17393D38"/>
    <w:rsid w:val="17400AAE"/>
    <w:rsid w:val="1752258F"/>
    <w:rsid w:val="17591D4F"/>
    <w:rsid w:val="175B1444"/>
    <w:rsid w:val="175E473E"/>
    <w:rsid w:val="17604CAC"/>
    <w:rsid w:val="17606A5A"/>
    <w:rsid w:val="1763479D"/>
    <w:rsid w:val="176756C6"/>
    <w:rsid w:val="176A51F7"/>
    <w:rsid w:val="177644D0"/>
    <w:rsid w:val="17771FF6"/>
    <w:rsid w:val="177B11D8"/>
    <w:rsid w:val="177B7D38"/>
    <w:rsid w:val="177D585E"/>
    <w:rsid w:val="177E3E97"/>
    <w:rsid w:val="177E5132"/>
    <w:rsid w:val="17807ED6"/>
    <w:rsid w:val="17887D5F"/>
    <w:rsid w:val="178A1D29"/>
    <w:rsid w:val="178D1819"/>
    <w:rsid w:val="17935082"/>
    <w:rsid w:val="17936E30"/>
    <w:rsid w:val="179606CE"/>
    <w:rsid w:val="179B7A92"/>
    <w:rsid w:val="179D7CAF"/>
    <w:rsid w:val="17A0779F"/>
    <w:rsid w:val="17A10E21"/>
    <w:rsid w:val="17A708DF"/>
    <w:rsid w:val="17B339D8"/>
    <w:rsid w:val="17B62B1E"/>
    <w:rsid w:val="17B648CC"/>
    <w:rsid w:val="17B9260F"/>
    <w:rsid w:val="17BE19D3"/>
    <w:rsid w:val="17BF6981"/>
    <w:rsid w:val="17C074F9"/>
    <w:rsid w:val="17C52D61"/>
    <w:rsid w:val="17C74D2B"/>
    <w:rsid w:val="17CA4142"/>
    <w:rsid w:val="17CA481C"/>
    <w:rsid w:val="17CE60BA"/>
    <w:rsid w:val="17D11706"/>
    <w:rsid w:val="17D13FA2"/>
    <w:rsid w:val="17D631C0"/>
    <w:rsid w:val="17D86F39"/>
    <w:rsid w:val="17DD0A7A"/>
    <w:rsid w:val="17E53404"/>
    <w:rsid w:val="17ED041F"/>
    <w:rsid w:val="17EF3A88"/>
    <w:rsid w:val="17F12F10"/>
    <w:rsid w:val="17F43647"/>
    <w:rsid w:val="17FD6CA6"/>
    <w:rsid w:val="18047D2E"/>
    <w:rsid w:val="18095344"/>
    <w:rsid w:val="180C0990"/>
    <w:rsid w:val="181066D2"/>
    <w:rsid w:val="181141F9"/>
    <w:rsid w:val="18117D55"/>
    <w:rsid w:val="18137F71"/>
    <w:rsid w:val="18147845"/>
    <w:rsid w:val="1816671D"/>
    <w:rsid w:val="181A30AD"/>
    <w:rsid w:val="181A539A"/>
    <w:rsid w:val="181D2B9D"/>
    <w:rsid w:val="182C1032"/>
    <w:rsid w:val="182C2DE0"/>
    <w:rsid w:val="182E0907"/>
    <w:rsid w:val="182E6B59"/>
    <w:rsid w:val="183323C1"/>
    <w:rsid w:val="183D0B4A"/>
    <w:rsid w:val="18455C50"/>
    <w:rsid w:val="18475A4E"/>
    <w:rsid w:val="184C5231"/>
    <w:rsid w:val="18510A99"/>
    <w:rsid w:val="185A794E"/>
    <w:rsid w:val="185C1918"/>
    <w:rsid w:val="186C142F"/>
    <w:rsid w:val="18700F1F"/>
    <w:rsid w:val="18716A45"/>
    <w:rsid w:val="18730A0F"/>
    <w:rsid w:val="1876405C"/>
    <w:rsid w:val="18820C52"/>
    <w:rsid w:val="18827918"/>
    <w:rsid w:val="188449CB"/>
    <w:rsid w:val="18891FE1"/>
    <w:rsid w:val="188A753E"/>
    <w:rsid w:val="188B7B07"/>
    <w:rsid w:val="188D11F3"/>
    <w:rsid w:val="188E75F7"/>
    <w:rsid w:val="18932E60"/>
    <w:rsid w:val="18952734"/>
    <w:rsid w:val="18980476"/>
    <w:rsid w:val="18997E67"/>
    <w:rsid w:val="189A5F9C"/>
    <w:rsid w:val="18A84B5D"/>
    <w:rsid w:val="18AC1971"/>
    <w:rsid w:val="18AE1A47"/>
    <w:rsid w:val="18AE7C99"/>
    <w:rsid w:val="18B74DA0"/>
    <w:rsid w:val="18B84674"/>
    <w:rsid w:val="18B95AF2"/>
    <w:rsid w:val="18BA4890"/>
    <w:rsid w:val="18BC4164"/>
    <w:rsid w:val="18BE00A7"/>
    <w:rsid w:val="18BE612E"/>
    <w:rsid w:val="18BF5A03"/>
    <w:rsid w:val="18C7221D"/>
    <w:rsid w:val="18C80D5B"/>
    <w:rsid w:val="18CD45C3"/>
    <w:rsid w:val="18D53478"/>
    <w:rsid w:val="18DD40DB"/>
    <w:rsid w:val="18E11E1D"/>
    <w:rsid w:val="18E436BB"/>
    <w:rsid w:val="18E63059"/>
    <w:rsid w:val="18E84F59"/>
    <w:rsid w:val="18E9489A"/>
    <w:rsid w:val="18F338FE"/>
    <w:rsid w:val="18F356AC"/>
    <w:rsid w:val="18F55681"/>
    <w:rsid w:val="18FF04F5"/>
    <w:rsid w:val="19017DC9"/>
    <w:rsid w:val="19053D5D"/>
    <w:rsid w:val="190F0738"/>
    <w:rsid w:val="192561AE"/>
    <w:rsid w:val="19281ADB"/>
    <w:rsid w:val="19287A4C"/>
    <w:rsid w:val="19375EE1"/>
    <w:rsid w:val="193E0CBA"/>
    <w:rsid w:val="19435421"/>
    <w:rsid w:val="194505FE"/>
    <w:rsid w:val="194B373A"/>
    <w:rsid w:val="19516FA3"/>
    <w:rsid w:val="19575C3B"/>
    <w:rsid w:val="195B4EC8"/>
    <w:rsid w:val="19766A09"/>
    <w:rsid w:val="197F7673"/>
    <w:rsid w:val="19830BC5"/>
    <w:rsid w:val="19836A30"/>
    <w:rsid w:val="19874772"/>
    <w:rsid w:val="1990114D"/>
    <w:rsid w:val="199155F1"/>
    <w:rsid w:val="199B47EC"/>
    <w:rsid w:val="19A40D8D"/>
    <w:rsid w:val="19B27315"/>
    <w:rsid w:val="19BC1F42"/>
    <w:rsid w:val="19C01A32"/>
    <w:rsid w:val="19C37774"/>
    <w:rsid w:val="19C43B6A"/>
    <w:rsid w:val="19C534ED"/>
    <w:rsid w:val="19C71013"/>
    <w:rsid w:val="19C77265"/>
    <w:rsid w:val="19C92FDD"/>
    <w:rsid w:val="19D61256"/>
    <w:rsid w:val="19D810CA"/>
    <w:rsid w:val="19DE010A"/>
    <w:rsid w:val="19DF187E"/>
    <w:rsid w:val="19E06E7F"/>
    <w:rsid w:val="19E35721"/>
    <w:rsid w:val="19E716B5"/>
    <w:rsid w:val="19E80F89"/>
    <w:rsid w:val="19E971DB"/>
    <w:rsid w:val="19EA6AAF"/>
    <w:rsid w:val="19F3005A"/>
    <w:rsid w:val="19F33BB6"/>
    <w:rsid w:val="19F85670"/>
    <w:rsid w:val="1A037B71"/>
    <w:rsid w:val="1A044015"/>
    <w:rsid w:val="1A085187"/>
    <w:rsid w:val="1A1678A4"/>
    <w:rsid w:val="1A18361C"/>
    <w:rsid w:val="1A19705E"/>
    <w:rsid w:val="1A217CEE"/>
    <w:rsid w:val="1A2521DD"/>
    <w:rsid w:val="1A271AB1"/>
    <w:rsid w:val="1A2C356C"/>
    <w:rsid w:val="1A2C70C8"/>
    <w:rsid w:val="1A304E0A"/>
    <w:rsid w:val="1A400DC5"/>
    <w:rsid w:val="1A457406"/>
    <w:rsid w:val="1A55661F"/>
    <w:rsid w:val="1A587EBD"/>
    <w:rsid w:val="1A5F749D"/>
    <w:rsid w:val="1A646862"/>
    <w:rsid w:val="1A673E98"/>
    <w:rsid w:val="1A676352"/>
    <w:rsid w:val="1A7009BF"/>
    <w:rsid w:val="1A7171D0"/>
    <w:rsid w:val="1A7F5449"/>
    <w:rsid w:val="1A845156"/>
    <w:rsid w:val="1A864A2A"/>
    <w:rsid w:val="1A8E38DF"/>
    <w:rsid w:val="1A9133CF"/>
    <w:rsid w:val="1A9D6217"/>
    <w:rsid w:val="1AA17AB6"/>
    <w:rsid w:val="1AA44A44"/>
    <w:rsid w:val="1AA51327"/>
    <w:rsid w:val="1AAD1BCA"/>
    <w:rsid w:val="1AB1724B"/>
    <w:rsid w:val="1AB377E9"/>
    <w:rsid w:val="1AC217DA"/>
    <w:rsid w:val="1AC26025"/>
    <w:rsid w:val="1AC35C7E"/>
    <w:rsid w:val="1AC440B9"/>
    <w:rsid w:val="1AC612CA"/>
    <w:rsid w:val="1ACE63D1"/>
    <w:rsid w:val="1AD31D10"/>
    <w:rsid w:val="1AD75285"/>
    <w:rsid w:val="1AF000F5"/>
    <w:rsid w:val="1AFF47DC"/>
    <w:rsid w:val="1AFF658A"/>
    <w:rsid w:val="1B027E29"/>
    <w:rsid w:val="1B0B3181"/>
    <w:rsid w:val="1B102545"/>
    <w:rsid w:val="1B19589E"/>
    <w:rsid w:val="1B1A33C4"/>
    <w:rsid w:val="1B2304CB"/>
    <w:rsid w:val="1B245FF1"/>
    <w:rsid w:val="1B26620D"/>
    <w:rsid w:val="1B297BB2"/>
    <w:rsid w:val="1B2B55D1"/>
    <w:rsid w:val="1B2B737F"/>
    <w:rsid w:val="1B300E3A"/>
    <w:rsid w:val="1B391A9C"/>
    <w:rsid w:val="1B392942"/>
    <w:rsid w:val="1B3A4F8B"/>
    <w:rsid w:val="1B3C77DE"/>
    <w:rsid w:val="1B3D03B5"/>
    <w:rsid w:val="1B423649"/>
    <w:rsid w:val="1B446693"/>
    <w:rsid w:val="1B481CDF"/>
    <w:rsid w:val="1B487F31"/>
    <w:rsid w:val="1B4D379A"/>
    <w:rsid w:val="1B4F7512"/>
    <w:rsid w:val="1B506DE6"/>
    <w:rsid w:val="1B5543FC"/>
    <w:rsid w:val="1B590390"/>
    <w:rsid w:val="1B5A0F25"/>
    <w:rsid w:val="1B5C578B"/>
    <w:rsid w:val="1B5E59A7"/>
    <w:rsid w:val="1B6603B7"/>
    <w:rsid w:val="1B66485B"/>
    <w:rsid w:val="1B666931"/>
    <w:rsid w:val="1B6A434C"/>
    <w:rsid w:val="1B6F3710"/>
    <w:rsid w:val="1B754A9E"/>
    <w:rsid w:val="1B765E86"/>
    <w:rsid w:val="1B851185"/>
    <w:rsid w:val="1B944F25"/>
    <w:rsid w:val="1B99078D"/>
    <w:rsid w:val="1B9F38C9"/>
    <w:rsid w:val="1BA33762"/>
    <w:rsid w:val="1BA3785E"/>
    <w:rsid w:val="1BA55384"/>
    <w:rsid w:val="1BA86870"/>
    <w:rsid w:val="1BAB1AAC"/>
    <w:rsid w:val="1BAB226E"/>
    <w:rsid w:val="1BAC6712"/>
    <w:rsid w:val="1BAF1D5E"/>
    <w:rsid w:val="1BB05BB9"/>
    <w:rsid w:val="1BB92BDD"/>
    <w:rsid w:val="1BB96B0B"/>
    <w:rsid w:val="1BC3580A"/>
    <w:rsid w:val="1BC46E6F"/>
    <w:rsid w:val="1BC7354C"/>
    <w:rsid w:val="1BC75406"/>
    <w:rsid w:val="1BC872C4"/>
    <w:rsid w:val="1BCF41AF"/>
    <w:rsid w:val="1BD042EB"/>
    <w:rsid w:val="1BD06730"/>
    <w:rsid w:val="1BD428CA"/>
    <w:rsid w:val="1BE834C2"/>
    <w:rsid w:val="1BE93A56"/>
    <w:rsid w:val="1BEA0FE8"/>
    <w:rsid w:val="1BEC4D61"/>
    <w:rsid w:val="1BEC6B0F"/>
    <w:rsid w:val="1BF37BE9"/>
    <w:rsid w:val="1BF41E67"/>
    <w:rsid w:val="1BF604D2"/>
    <w:rsid w:val="1BF73705"/>
    <w:rsid w:val="1BF7A09A"/>
    <w:rsid w:val="1BFB4FA4"/>
    <w:rsid w:val="1BFD51C0"/>
    <w:rsid w:val="1C0025BA"/>
    <w:rsid w:val="1C055E22"/>
    <w:rsid w:val="1C073948"/>
    <w:rsid w:val="1C084051"/>
    <w:rsid w:val="1C0A3439"/>
    <w:rsid w:val="1C177904"/>
    <w:rsid w:val="1C1B3898"/>
    <w:rsid w:val="1C1E6EE4"/>
    <w:rsid w:val="1C215A92"/>
    <w:rsid w:val="1C2362A8"/>
    <w:rsid w:val="1C24274C"/>
    <w:rsid w:val="1C26713F"/>
    <w:rsid w:val="1C2D7127"/>
    <w:rsid w:val="1C2F4C4D"/>
    <w:rsid w:val="1C302E5D"/>
    <w:rsid w:val="1C314E69"/>
    <w:rsid w:val="1C3D380E"/>
    <w:rsid w:val="1C424981"/>
    <w:rsid w:val="1C450915"/>
    <w:rsid w:val="1C4A1A87"/>
    <w:rsid w:val="1C4F6411"/>
    <w:rsid w:val="1C511068"/>
    <w:rsid w:val="1C536B8E"/>
    <w:rsid w:val="1C5823F6"/>
    <w:rsid w:val="1C597F1C"/>
    <w:rsid w:val="1C5F3784"/>
    <w:rsid w:val="1C640D9B"/>
    <w:rsid w:val="1C6F7740"/>
    <w:rsid w:val="1C787B9A"/>
    <w:rsid w:val="1C7B7E93"/>
    <w:rsid w:val="1C7D1E5D"/>
    <w:rsid w:val="1C8054A9"/>
    <w:rsid w:val="1C872CDB"/>
    <w:rsid w:val="1C890801"/>
    <w:rsid w:val="1C896A53"/>
    <w:rsid w:val="1C8B457A"/>
    <w:rsid w:val="1C8C20A0"/>
    <w:rsid w:val="1C940F54"/>
    <w:rsid w:val="1C962F1E"/>
    <w:rsid w:val="1C993BA3"/>
    <w:rsid w:val="1C9A2A0F"/>
    <w:rsid w:val="1C9D24FF"/>
    <w:rsid w:val="1CA3450A"/>
    <w:rsid w:val="1CAB4C1C"/>
    <w:rsid w:val="1CAE2016"/>
    <w:rsid w:val="1CB3587E"/>
    <w:rsid w:val="1CBB4733"/>
    <w:rsid w:val="1CC932F4"/>
    <w:rsid w:val="1CC96E50"/>
    <w:rsid w:val="1CD22F7D"/>
    <w:rsid w:val="1CD37CCF"/>
    <w:rsid w:val="1CDD28FB"/>
    <w:rsid w:val="1CDF4328"/>
    <w:rsid w:val="1CEA6E7C"/>
    <w:rsid w:val="1CEB6DC6"/>
    <w:rsid w:val="1CED6FE2"/>
    <w:rsid w:val="1CF163A7"/>
    <w:rsid w:val="1CF2284B"/>
    <w:rsid w:val="1CF8715A"/>
    <w:rsid w:val="1CFA16FF"/>
    <w:rsid w:val="1D0165EA"/>
    <w:rsid w:val="1D0C64DC"/>
    <w:rsid w:val="1D0E3C82"/>
    <w:rsid w:val="1D13631D"/>
    <w:rsid w:val="1D16215F"/>
    <w:rsid w:val="1D187DD7"/>
    <w:rsid w:val="1D1B624C"/>
    <w:rsid w:val="1D1C3424"/>
    <w:rsid w:val="1D2917D5"/>
    <w:rsid w:val="1D300C7D"/>
    <w:rsid w:val="1D320E99"/>
    <w:rsid w:val="1D383571"/>
    <w:rsid w:val="1D3A5FA0"/>
    <w:rsid w:val="1D3D339A"/>
    <w:rsid w:val="1D4209B0"/>
    <w:rsid w:val="1D5030CD"/>
    <w:rsid w:val="1D507571"/>
    <w:rsid w:val="1D51673F"/>
    <w:rsid w:val="1D540E0F"/>
    <w:rsid w:val="1D5C1A72"/>
    <w:rsid w:val="1D646B79"/>
    <w:rsid w:val="1D715A06"/>
    <w:rsid w:val="1D787CBC"/>
    <w:rsid w:val="1D792624"/>
    <w:rsid w:val="1D7D6135"/>
    <w:rsid w:val="1D840FC9"/>
    <w:rsid w:val="1D8B2357"/>
    <w:rsid w:val="1D8D4321"/>
    <w:rsid w:val="1D905BC0"/>
    <w:rsid w:val="1D951428"/>
    <w:rsid w:val="1D970CFC"/>
    <w:rsid w:val="1DA069AB"/>
    <w:rsid w:val="1DA11B7B"/>
    <w:rsid w:val="1DA33B2C"/>
    <w:rsid w:val="1DA35D9B"/>
    <w:rsid w:val="1DAB29F9"/>
    <w:rsid w:val="1DAD5074"/>
    <w:rsid w:val="1DB96EC4"/>
    <w:rsid w:val="1DBC0763"/>
    <w:rsid w:val="1DC6338F"/>
    <w:rsid w:val="1DC87107"/>
    <w:rsid w:val="1DCF3EC2"/>
    <w:rsid w:val="1DD106B2"/>
    <w:rsid w:val="1DD67A76"/>
    <w:rsid w:val="1DD737EE"/>
    <w:rsid w:val="1DE33F41"/>
    <w:rsid w:val="1DEF28E6"/>
    <w:rsid w:val="1DF42728"/>
    <w:rsid w:val="1E0112F9"/>
    <w:rsid w:val="1E012619"/>
    <w:rsid w:val="1E066426"/>
    <w:rsid w:val="1E087E4C"/>
    <w:rsid w:val="1E0C3498"/>
    <w:rsid w:val="1E11700C"/>
    <w:rsid w:val="1E1255FD"/>
    <w:rsid w:val="1E1A3944"/>
    <w:rsid w:val="1E200CF1"/>
    <w:rsid w:val="1E2C7696"/>
    <w:rsid w:val="1E326C77"/>
    <w:rsid w:val="1E380731"/>
    <w:rsid w:val="1E3824DF"/>
    <w:rsid w:val="1E4075E6"/>
    <w:rsid w:val="1E42510C"/>
    <w:rsid w:val="1E4B251F"/>
    <w:rsid w:val="1E4C1AE7"/>
    <w:rsid w:val="1E5703E7"/>
    <w:rsid w:val="1E5B32E0"/>
    <w:rsid w:val="1E71154D"/>
    <w:rsid w:val="1E796654"/>
    <w:rsid w:val="1E7A19CE"/>
    <w:rsid w:val="1E7F6019"/>
    <w:rsid w:val="1E81301C"/>
    <w:rsid w:val="1E852147"/>
    <w:rsid w:val="1E8C6387"/>
    <w:rsid w:val="1E8F40C9"/>
    <w:rsid w:val="1E93334F"/>
    <w:rsid w:val="1E9516DF"/>
    <w:rsid w:val="1E965458"/>
    <w:rsid w:val="1E9736C0"/>
    <w:rsid w:val="1E984D2C"/>
    <w:rsid w:val="1E9A66B1"/>
    <w:rsid w:val="1E9D67E6"/>
    <w:rsid w:val="1EA25BAA"/>
    <w:rsid w:val="1EAF2075"/>
    <w:rsid w:val="1EB728F0"/>
    <w:rsid w:val="1EC04283"/>
    <w:rsid w:val="1EC51899"/>
    <w:rsid w:val="1EDA3596"/>
    <w:rsid w:val="1EDD6473"/>
    <w:rsid w:val="1EDF78EA"/>
    <w:rsid w:val="1EE2069D"/>
    <w:rsid w:val="1EE241F9"/>
    <w:rsid w:val="1EF00B81"/>
    <w:rsid w:val="1EF34658"/>
    <w:rsid w:val="1EF37062"/>
    <w:rsid w:val="1EF87EC0"/>
    <w:rsid w:val="1EFA59E6"/>
    <w:rsid w:val="1EFA7794"/>
    <w:rsid w:val="1EFB350D"/>
    <w:rsid w:val="1F0028D1"/>
    <w:rsid w:val="1F016D75"/>
    <w:rsid w:val="1F095C2A"/>
    <w:rsid w:val="1F0E3240"/>
    <w:rsid w:val="1F132604"/>
    <w:rsid w:val="1F136AA8"/>
    <w:rsid w:val="1F15637C"/>
    <w:rsid w:val="1F1F544D"/>
    <w:rsid w:val="1F2760B0"/>
    <w:rsid w:val="1F345D75"/>
    <w:rsid w:val="1F3A290E"/>
    <w:rsid w:val="1F3A5DE3"/>
    <w:rsid w:val="1F521A8B"/>
    <w:rsid w:val="1F533349"/>
    <w:rsid w:val="1F5619A3"/>
    <w:rsid w:val="1F610B8A"/>
    <w:rsid w:val="1F691D3E"/>
    <w:rsid w:val="1F6A28DC"/>
    <w:rsid w:val="1F6D241E"/>
    <w:rsid w:val="1F6E3CDF"/>
    <w:rsid w:val="1F6F5903"/>
    <w:rsid w:val="1F72557D"/>
    <w:rsid w:val="1F7312F5"/>
    <w:rsid w:val="1F743F54"/>
    <w:rsid w:val="1F7A08D5"/>
    <w:rsid w:val="1F8359DC"/>
    <w:rsid w:val="1F83778A"/>
    <w:rsid w:val="1F882FF2"/>
    <w:rsid w:val="1F8D0609"/>
    <w:rsid w:val="1F9951FF"/>
    <w:rsid w:val="1F9C6A9E"/>
    <w:rsid w:val="1FA45952"/>
    <w:rsid w:val="1FA871F0"/>
    <w:rsid w:val="1FA92F69"/>
    <w:rsid w:val="1FAB6CE1"/>
    <w:rsid w:val="1FB22868"/>
    <w:rsid w:val="1FB636BA"/>
    <w:rsid w:val="1FB976E5"/>
    <w:rsid w:val="1FBE4C66"/>
    <w:rsid w:val="1FC61CE9"/>
    <w:rsid w:val="1FD2426D"/>
    <w:rsid w:val="1FD9384E"/>
    <w:rsid w:val="1FF57F5C"/>
    <w:rsid w:val="1FF73CD4"/>
    <w:rsid w:val="1FF93EF0"/>
    <w:rsid w:val="1FFC578E"/>
    <w:rsid w:val="1FFD1423"/>
    <w:rsid w:val="1FFF67A6"/>
    <w:rsid w:val="20012DA5"/>
    <w:rsid w:val="200547B4"/>
    <w:rsid w:val="20085EE1"/>
    <w:rsid w:val="200A1C59"/>
    <w:rsid w:val="2014177F"/>
    <w:rsid w:val="201C591C"/>
    <w:rsid w:val="202251F5"/>
    <w:rsid w:val="20230F6D"/>
    <w:rsid w:val="202C5CD5"/>
    <w:rsid w:val="202C7E22"/>
    <w:rsid w:val="202F346E"/>
    <w:rsid w:val="20303E66"/>
    <w:rsid w:val="203211B0"/>
    <w:rsid w:val="203E1903"/>
    <w:rsid w:val="20401B1F"/>
    <w:rsid w:val="20511636"/>
    <w:rsid w:val="20542ED4"/>
    <w:rsid w:val="20571047"/>
    <w:rsid w:val="205B4263"/>
    <w:rsid w:val="20670E5A"/>
    <w:rsid w:val="206C6470"/>
    <w:rsid w:val="206E043A"/>
    <w:rsid w:val="206F5F60"/>
    <w:rsid w:val="207013B3"/>
    <w:rsid w:val="2073362B"/>
    <w:rsid w:val="20733ECA"/>
    <w:rsid w:val="207812B9"/>
    <w:rsid w:val="2080016D"/>
    <w:rsid w:val="2087096D"/>
    <w:rsid w:val="20875058"/>
    <w:rsid w:val="208C266E"/>
    <w:rsid w:val="208D63E6"/>
    <w:rsid w:val="20915784"/>
    <w:rsid w:val="20994D8B"/>
    <w:rsid w:val="209B4FA7"/>
    <w:rsid w:val="209B6D55"/>
    <w:rsid w:val="209E05F3"/>
    <w:rsid w:val="20A168E9"/>
    <w:rsid w:val="20AA6F98"/>
    <w:rsid w:val="20AD0837"/>
    <w:rsid w:val="20B63B8F"/>
    <w:rsid w:val="20BC32B1"/>
    <w:rsid w:val="20D83B05"/>
    <w:rsid w:val="20E40D06"/>
    <w:rsid w:val="20ED20DF"/>
    <w:rsid w:val="20F546B7"/>
    <w:rsid w:val="20F63F8C"/>
    <w:rsid w:val="20FA7F20"/>
    <w:rsid w:val="21026DD4"/>
    <w:rsid w:val="210448FA"/>
    <w:rsid w:val="21076199"/>
    <w:rsid w:val="21117017"/>
    <w:rsid w:val="21197683"/>
    <w:rsid w:val="211A0BFC"/>
    <w:rsid w:val="211A2370"/>
    <w:rsid w:val="211D59BC"/>
    <w:rsid w:val="211E78F4"/>
    <w:rsid w:val="212671F1"/>
    <w:rsid w:val="212E1977"/>
    <w:rsid w:val="21352D06"/>
    <w:rsid w:val="2136082C"/>
    <w:rsid w:val="2144119B"/>
    <w:rsid w:val="21463165"/>
    <w:rsid w:val="21486EDD"/>
    <w:rsid w:val="214B166A"/>
    <w:rsid w:val="2152133A"/>
    <w:rsid w:val="21535882"/>
    <w:rsid w:val="21537630"/>
    <w:rsid w:val="21556F04"/>
    <w:rsid w:val="215C3E48"/>
    <w:rsid w:val="216F69CC"/>
    <w:rsid w:val="21701A33"/>
    <w:rsid w:val="2173382E"/>
    <w:rsid w:val="217557F8"/>
    <w:rsid w:val="21771570"/>
    <w:rsid w:val="217952E8"/>
    <w:rsid w:val="217C26E3"/>
    <w:rsid w:val="217D46AD"/>
    <w:rsid w:val="217D645B"/>
    <w:rsid w:val="217F0425"/>
    <w:rsid w:val="21823A71"/>
    <w:rsid w:val="2188552B"/>
    <w:rsid w:val="218872DA"/>
    <w:rsid w:val="218E5D4F"/>
    <w:rsid w:val="218E68BA"/>
    <w:rsid w:val="219914E7"/>
    <w:rsid w:val="219954B9"/>
    <w:rsid w:val="21B46321"/>
    <w:rsid w:val="21B843D9"/>
    <w:rsid w:val="21BE0F4D"/>
    <w:rsid w:val="21BE719F"/>
    <w:rsid w:val="21C422DC"/>
    <w:rsid w:val="21C42573"/>
    <w:rsid w:val="21CF5FF9"/>
    <w:rsid w:val="21D50045"/>
    <w:rsid w:val="21D67962"/>
    <w:rsid w:val="21DE311D"/>
    <w:rsid w:val="21DE514B"/>
    <w:rsid w:val="21E36C06"/>
    <w:rsid w:val="21E604A4"/>
    <w:rsid w:val="21EB1616"/>
    <w:rsid w:val="21EE75E8"/>
    <w:rsid w:val="21F11323"/>
    <w:rsid w:val="21F229A5"/>
    <w:rsid w:val="21F42BC1"/>
    <w:rsid w:val="21F66939"/>
    <w:rsid w:val="21F735E1"/>
    <w:rsid w:val="21FA5CFD"/>
    <w:rsid w:val="21FC7CC7"/>
    <w:rsid w:val="220B170D"/>
    <w:rsid w:val="220B1CB9"/>
    <w:rsid w:val="220D77DF"/>
    <w:rsid w:val="220F79FB"/>
    <w:rsid w:val="22105521"/>
    <w:rsid w:val="22121299"/>
    <w:rsid w:val="221B014E"/>
    <w:rsid w:val="221B6805"/>
    <w:rsid w:val="221E3C93"/>
    <w:rsid w:val="221F101F"/>
    <w:rsid w:val="22286511"/>
    <w:rsid w:val="222F3BF9"/>
    <w:rsid w:val="2237485C"/>
    <w:rsid w:val="22394A78"/>
    <w:rsid w:val="22407BB4"/>
    <w:rsid w:val="224551CB"/>
    <w:rsid w:val="224D407F"/>
    <w:rsid w:val="22511DC1"/>
    <w:rsid w:val="22521696"/>
    <w:rsid w:val="22573150"/>
    <w:rsid w:val="22580685"/>
    <w:rsid w:val="22590C76"/>
    <w:rsid w:val="22596EC8"/>
    <w:rsid w:val="22654504"/>
    <w:rsid w:val="2265761B"/>
    <w:rsid w:val="22743D02"/>
    <w:rsid w:val="2274785E"/>
    <w:rsid w:val="227710FC"/>
    <w:rsid w:val="227E06DD"/>
    <w:rsid w:val="22806203"/>
    <w:rsid w:val="228312A5"/>
    <w:rsid w:val="22851A6B"/>
    <w:rsid w:val="22883309"/>
    <w:rsid w:val="228D0920"/>
    <w:rsid w:val="228F6446"/>
    <w:rsid w:val="22904FEA"/>
    <w:rsid w:val="22910410"/>
    <w:rsid w:val="229473C8"/>
    <w:rsid w:val="22947F00"/>
    <w:rsid w:val="229677D4"/>
    <w:rsid w:val="22973515"/>
    <w:rsid w:val="22A018D6"/>
    <w:rsid w:val="22A75E85"/>
    <w:rsid w:val="22A93AEA"/>
    <w:rsid w:val="22AF0896"/>
    <w:rsid w:val="22B11081"/>
    <w:rsid w:val="22B91715"/>
    <w:rsid w:val="22BB723B"/>
    <w:rsid w:val="22BD1205"/>
    <w:rsid w:val="22BF31CF"/>
    <w:rsid w:val="22C02AA3"/>
    <w:rsid w:val="22C407E5"/>
    <w:rsid w:val="22C95DFC"/>
    <w:rsid w:val="22CC769A"/>
    <w:rsid w:val="22D8603F"/>
    <w:rsid w:val="22DB78DD"/>
    <w:rsid w:val="22E72F77"/>
    <w:rsid w:val="22EA7B20"/>
    <w:rsid w:val="22EC7098"/>
    <w:rsid w:val="22F37984"/>
    <w:rsid w:val="22F73BE9"/>
    <w:rsid w:val="22F866E1"/>
    <w:rsid w:val="22FB1D2D"/>
    <w:rsid w:val="230010F2"/>
    <w:rsid w:val="2302130E"/>
    <w:rsid w:val="23047A11"/>
    <w:rsid w:val="23052BAC"/>
    <w:rsid w:val="2309269C"/>
    <w:rsid w:val="230C5CE8"/>
    <w:rsid w:val="230F7587"/>
    <w:rsid w:val="23143199"/>
    <w:rsid w:val="23151041"/>
    <w:rsid w:val="2316669C"/>
    <w:rsid w:val="231B417D"/>
    <w:rsid w:val="23241049"/>
    <w:rsid w:val="23270D74"/>
    <w:rsid w:val="23386ADD"/>
    <w:rsid w:val="233D2346"/>
    <w:rsid w:val="233E1464"/>
    <w:rsid w:val="23405992"/>
    <w:rsid w:val="234E00AF"/>
    <w:rsid w:val="234E4553"/>
    <w:rsid w:val="23503E27"/>
    <w:rsid w:val="235651B5"/>
    <w:rsid w:val="23582CDC"/>
    <w:rsid w:val="235960D5"/>
    <w:rsid w:val="235A6A54"/>
    <w:rsid w:val="235F70F5"/>
    <w:rsid w:val="236773C3"/>
    <w:rsid w:val="236B0D24"/>
    <w:rsid w:val="236D4EA9"/>
    <w:rsid w:val="236E69A3"/>
    <w:rsid w:val="23746A36"/>
    <w:rsid w:val="23757D31"/>
    <w:rsid w:val="23797599"/>
    <w:rsid w:val="238C0BD7"/>
    <w:rsid w:val="238E0DF3"/>
    <w:rsid w:val="23953F30"/>
    <w:rsid w:val="239B7A9C"/>
    <w:rsid w:val="23A91789"/>
    <w:rsid w:val="23A92664"/>
    <w:rsid w:val="23AF6875"/>
    <w:rsid w:val="23B51EDC"/>
    <w:rsid w:val="23BF7974"/>
    <w:rsid w:val="23C6233B"/>
    <w:rsid w:val="23C95987"/>
    <w:rsid w:val="23CF5979"/>
    <w:rsid w:val="23D033FF"/>
    <w:rsid w:val="23D26F32"/>
    <w:rsid w:val="23D83E1C"/>
    <w:rsid w:val="23D902C0"/>
    <w:rsid w:val="23D9206E"/>
    <w:rsid w:val="23DF33FD"/>
    <w:rsid w:val="23E629DD"/>
    <w:rsid w:val="23E72D7E"/>
    <w:rsid w:val="23E7405F"/>
    <w:rsid w:val="23E822B1"/>
    <w:rsid w:val="23EB0357"/>
    <w:rsid w:val="23ED3D6C"/>
    <w:rsid w:val="23ED5B1A"/>
    <w:rsid w:val="23F171DD"/>
    <w:rsid w:val="23F30C56"/>
    <w:rsid w:val="23F70746"/>
    <w:rsid w:val="23F944BF"/>
    <w:rsid w:val="23FA1FE5"/>
    <w:rsid w:val="23FB3044"/>
    <w:rsid w:val="240115C5"/>
    <w:rsid w:val="24084702"/>
    <w:rsid w:val="240D1D18"/>
    <w:rsid w:val="240F3CE2"/>
    <w:rsid w:val="24151E4A"/>
    <w:rsid w:val="24217571"/>
    <w:rsid w:val="24305A06"/>
    <w:rsid w:val="2432073F"/>
    <w:rsid w:val="2432177F"/>
    <w:rsid w:val="243313F3"/>
    <w:rsid w:val="24390D5F"/>
    <w:rsid w:val="243A0633"/>
    <w:rsid w:val="243A6885"/>
    <w:rsid w:val="243B09FD"/>
    <w:rsid w:val="243E0123"/>
    <w:rsid w:val="24412907"/>
    <w:rsid w:val="24480FA2"/>
    <w:rsid w:val="244A29BA"/>
    <w:rsid w:val="24575689"/>
    <w:rsid w:val="245B6F27"/>
    <w:rsid w:val="24681644"/>
    <w:rsid w:val="246851A0"/>
    <w:rsid w:val="246C4B07"/>
    <w:rsid w:val="246D0A09"/>
    <w:rsid w:val="246F652F"/>
    <w:rsid w:val="24741D97"/>
    <w:rsid w:val="247730CD"/>
    <w:rsid w:val="247B3126"/>
    <w:rsid w:val="248136F0"/>
    <w:rsid w:val="24857B00"/>
    <w:rsid w:val="248C70E1"/>
    <w:rsid w:val="248D4C07"/>
    <w:rsid w:val="248F097F"/>
    <w:rsid w:val="24942439"/>
    <w:rsid w:val="249B37C8"/>
    <w:rsid w:val="249D12EE"/>
    <w:rsid w:val="24A02B8C"/>
    <w:rsid w:val="24A24B56"/>
    <w:rsid w:val="24A26904"/>
    <w:rsid w:val="24AF4B7D"/>
    <w:rsid w:val="24BD373E"/>
    <w:rsid w:val="24C00B0C"/>
    <w:rsid w:val="24C3687B"/>
    <w:rsid w:val="24C7636B"/>
    <w:rsid w:val="24CA19B7"/>
    <w:rsid w:val="24D10F97"/>
    <w:rsid w:val="24D171E9"/>
    <w:rsid w:val="24D274EE"/>
    <w:rsid w:val="24D40A88"/>
    <w:rsid w:val="24DC16EA"/>
    <w:rsid w:val="24EA1BB2"/>
    <w:rsid w:val="24EC7B7F"/>
    <w:rsid w:val="24F84776"/>
    <w:rsid w:val="24F87EB7"/>
    <w:rsid w:val="24FB7DC2"/>
    <w:rsid w:val="24FD1D8D"/>
    <w:rsid w:val="25140E84"/>
    <w:rsid w:val="251F57E3"/>
    <w:rsid w:val="25237319"/>
    <w:rsid w:val="25253091"/>
    <w:rsid w:val="25270BB7"/>
    <w:rsid w:val="2527505B"/>
    <w:rsid w:val="252A4F48"/>
    <w:rsid w:val="252A68FA"/>
    <w:rsid w:val="252C0BFF"/>
    <w:rsid w:val="252C0DB5"/>
    <w:rsid w:val="25330E2E"/>
    <w:rsid w:val="253432D4"/>
    <w:rsid w:val="25357778"/>
    <w:rsid w:val="253634F0"/>
    <w:rsid w:val="253B4663"/>
    <w:rsid w:val="253D03DB"/>
    <w:rsid w:val="2540611D"/>
    <w:rsid w:val="254C2D14"/>
    <w:rsid w:val="254D4F9A"/>
    <w:rsid w:val="254E25E8"/>
    <w:rsid w:val="255816B9"/>
    <w:rsid w:val="255B6AB3"/>
    <w:rsid w:val="255D6CCF"/>
    <w:rsid w:val="256040C9"/>
    <w:rsid w:val="256D244F"/>
    <w:rsid w:val="2572277A"/>
    <w:rsid w:val="257A518B"/>
    <w:rsid w:val="25873D4C"/>
    <w:rsid w:val="2593449F"/>
    <w:rsid w:val="2593624D"/>
    <w:rsid w:val="25951FC5"/>
    <w:rsid w:val="259F4BF2"/>
    <w:rsid w:val="25A4045A"/>
    <w:rsid w:val="25AB17E9"/>
    <w:rsid w:val="25AB7A3A"/>
    <w:rsid w:val="25BE7872"/>
    <w:rsid w:val="25C7239A"/>
    <w:rsid w:val="25CB59E7"/>
    <w:rsid w:val="25CC3197"/>
    <w:rsid w:val="25CD79B1"/>
    <w:rsid w:val="25CE3729"/>
    <w:rsid w:val="25D30D3F"/>
    <w:rsid w:val="25D72B4E"/>
    <w:rsid w:val="25D845A8"/>
    <w:rsid w:val="25DF76E4"/>
    <w:rsid w:val="25E1345C"/>
    <w:rsid w:val="25E1520A"/>
    <w:rsid w:val="25E90563"/>
    <w:rsid w:val="2605432E"/>
    <w:rsid w:val="260809E9"/>
    <w:rsid w:val="26093577"/>
    <w:rsid w:val="260D5FFF"/>
    <w:rsid w:val="26103D41"/>
    <w:rsid w:val="26121868"/>
    <w:rsid w:val="261455E0"/>
    <w:rsid w:val="26152813"/>
    <w:rsid w:val="261C1238"/>
    <w:rsid w:val="261C6EE8"/>
    <w:rsid w:val="2624159B"/>
    <w:rsid w:val="2628108B"/>
    <w:rsid w:val="262A4B11"/>
    <w:rsid w:val="262B2929"/>
    <w:rsid w:val="262B46D7"/>
    <w:rsid w:val="262D66A1"/>
    <w:rsid w:val="262E5F76"/>
    <w:rsid w:val="26333491"/>
    <w:rsid w:val="263712CE"/>
    <w:rsid w:val="263A2B6C"/>
    <w:rsid w:val="263C0693"/>
    <w:rsid w:val="263D098F"/>
    <w:rsid w:val="263E08AF"/>
    <w:rsid w:val="263F62A3"/>
    <w:rsid w:val="26415CA9"/>
    <w:rsid w:val="26445799"/>
    <w:rsid w:val="2659489A"/>
    <w:rsid w:val="26633E71"/>
    <w:rsid w:val="266D6A9E"/>
    <w:rsid w:val="267442D0"/>
    <w:rsid w:val="26750ED7"/>
    <w:rsid w:val="267A740D"/>
    <w:rsid w:val="267B25B1"/>
    <w:rsid w:val="267C3185"/>
    <w:rsid w:val="268A58A2"/>
    <w:rsid w:val="268D5392"/>
    <w:rsid w:val="26962499"/>
    <w:rsid w:val="26A050C5"/>
    <w:rsid w:val="26A36964"/>
    <w:rsid w:val="26A5092E"/>
    <w:rsid w:val="26A64B87"/>
    <w:rsid w:val="26AB75C6"/>
    <w:rsid w:val="26AC3A6A"/>
    <w:rsid w:val="26B172D2"/>
    <w:rsid w:val="26BA3FAA"/>
    <w:rsid w:val="26BB5599"/>
    <w:rsid w:val="26C16DEA"/>
    <w:rsid w:val="26C2328E"/>
    <w:rsid w:val="26C64400"/>
    <w:rsid w:val="26C708A4"/>
    <w:rsid w:val="26C848AF"/>
    <w:rsid w:val="26D365F5"/>
    <w:rsid w:val="26D46B1D"/>
    <w:rsid w:val="26DA4251"/>
    <w:rsid w:val="26DD1E76"/>
    <w:rsid w:val="26E31456"/>
    <w:rsid w:val="26E86A6C"/>
    <w:rsid w:val="26EF3957"/>
    <w:rsid w:val="26EF6CED"/>
    <w:rsid w:val="26F96584"/>
    <w:rsid w:val="26FE247D"/>
    <w:rsid w:val="270C0B53"/>
    <w:rsid w:val="270D0281"/>
    <w:rsid w:val="270E26BE"/>
    <w:rsid w:val="270F17A0"/>
    <w:rsid w:val="270F29BF"/>
    <w:rsid w:val="270F3FF9"/>
    <w:rsid w:val="27135897"/>
    <w:rsid w:val="271635D9"/>
    <w:rsid w:val="27190A70"/>
    <w:rsid w:val="271C515C"/>
    <w:rsid w:val="271E423C"/>
    <w:rsid w:val="271E5FEA"/>
    <w:rsid w:val="27335F39"/>
    <w:rsid w:val="273568A4"/>
    <w:rsid w:val="27361586"/>
    <w:rsid w:val="273B3040"/>
    <w:rsid w:val="273F7D71"/>
    <w:rsid w:val="27420C2D"/>
    <w:rsid w:val="27441EF5"/>
    <w:rsid w:val="27473793"/>
    <w:rsid w:val="27483067"/>
    <w:rsid w:val="27487CC7"/>
    <w:rsid w:val="274C0DA9"/>
    <w:rsid w:val="274C3C23"/>
    <w:rsid w:val="274C6FFB"/>
    <w:rsid w:val="27514612"/>
    <w:rsid w:val="275324C4"/>
    <w:rsid w:val="2757555A"/>
    <w:rsid w:val="275B0FEC"/>
    <w:rsid w:val="275B28C6"/>
    <w:rsid w:val="275D4D64"/>
    <w:rsid w:val="27602AA7"/>
    <w:rsid w:val="27684CB5"/>
    <w:rsid w:val="2772576F"/>
    <w:rsid w:val="27750300"/>
    <w:rsid w:val="277803D8"/>
    <w:rsid w:val="277B57A8"/>
    <w:rsid w:val="27893DAB"/>
    <w:rsid w:val="278A18D2"/>
    <w:rsid w:val="278A5ECF"/>
    <w:rsid w:val="27906EE8"/>
    <w:rsid w:val="2792259F"/>
    <w:rsid w:val="27957A90"/>
    <w:rsid w:val="279A1B15"/>
    <w:rsid w:val="279B3ADF"/>
    <w:rsid w:val="279B763B"/>
    <w:rsid w:val="279D33B3"/>
    <w:rsid w:val="27A504B9"/>
    <w:rsid w:val="27AB3D22"/>
    <w:rsid w:val="27AE736E"/>
    <w:rsid w:val="27B13737"/>
    <w:rsid w:val="27B150B0"/>
    <w:rsid w:val="27B23302"/>
    <w:rsid w:val="27B70259"/>
    <w:rsid w:val="27B70919"/>
    <w:rsid w:val="27BF77CD"/>
    <w:rsid w:val="27C923FA"/>
    <w:rsid w:val="27C937EA"/>
    <w:rsid w:val="27D60070"/>
    <w:rsid w:val="27D74B17"/>
    <w:rsid w:val="27E17743"/>
    <w:rsid w:val="27E234BC"/>
    <w:rsid w:val="27EC60E8"/>
    <w:rsid w:val="27EC7E96"/>
    <w:rsid w:val="27EE1E60"/>
    <w:rsid w:val="27FC632B"/>
    <w:rsid w:val="27FE795E"/>
    <w:rsid w:val="280255D6"/>
    <w:rsid w:val="280258B0"/>
    <w:rsid w:val="280671AA"/>
    <w:rsid w:val="2810627B"/>
    <w:rsid w:val="281318C7"/>
    <w:rsid w:val="281E2746"/>
    <w:rsid w:val="28235FAE"/>
    <w:rsid w:val="282C4737"/>
    <w:rsid w:val="283163FF"/>
    <w:rsid w:val="283A6E54"/>
    <w:rsid w:val="28537F15"/>
    <w:rsid w:val="285D2B42"/>
    <w:rsid w:val="286E6AFD"/>
    <w:rsid w:val="2874680A"/>
    <w:rsid w:val="28777BF4"/>
    <w:rsid w:val="288307FB"/>
    <w:rsid w:val="28870F4E"/>
    <w:rsid w:val="28896492"/>
    <w:rsid w:val="288C4F65"/>
    <w:rsid w:val="289350CF"/>
    <w:rsid w:val="28962E9F"/>
    <w:rsid w:val="289E5635"/>
    <w:rsid w:val="289E73E3"/>
    <w:rsid w:val="28A075FF"/>
    <w:rsid w:val="28A15125"/>
    <w:rsid w:val="28A349F9"/>
    <w:rsid w:val="28B409B4"/>
    <w:rsid w:val="28B430AA"/>
    <w:rsid w:val="28B44E58"/>
    <w:rsid w:val="28B906C0"/>
    <w:rsid w:val="28B9421C"/>
    <w:rsid w:val="28CE5D75"/>
    <w:rsid w:val="28D728F5"/>
    <w:rsid w:val="28D9666D"/>
    <w:rsid w:val="28E62B38"/>
    <w:rsid w:val="28E76140"/>
    <w:rsid w:val="28ED2118"/>
    <w:rsid w:val="28FB4835"/>
    <w:rsid w:val="29003BF9"/>
    <w:rsid w:val="290C6A42"/>
    <w:rsid w:val="290D6316"/>
    <w:rsid w:val="291122AA"/>
    <w:rsid w:val="29127AB5"/>
    <w:rsid w:val="291470F2"/>
    <w:rsid w:val="291678C1"/>
    <w:rsid w:val="291E22D1"/>
    <w:rsid w:val="292024ED"/>
    <w:rsid w:val="2927562A"/>
    <w:rsid w:val="292976EC"/>
    <w:rsid w:val="292D69B8"/>
    <w:rsid w:val="2934651F"/>
    <w:rsid w:val="293E0BC6"/>
    <w:rsid w:val="29425A44"/>
    <w:rsid w:val="29437F8A"/>
    <w:rsid w:val="294A1318"/>
    <w:rsid w:val="294C6E3F"/>
    <w:rsid w:val="294F2DD3"/>
    <w:rsid w:val="294F2FF6"/>
    <w:rsid w:val="295178A8"/>
    <w:rsid w:val="29524C7D"/>
    <w:rsid w:val="29534671"/>
    <w:rsid w:val="2964062C"/>
    <w:rsid w:val="29652F79"/>
    <w:rsid w:val="29657F00"/>
    <w:rsid w:val="296A3769"/>
    <w:rsid w:val="296C74E1"/>
    <w:rsid w:val="29703508"/>
    <w:rsid w:val="29763EBB"/>
    <w:rsid w:val="2979095A"/>
    <w:rsid w:val="29791BFE"/>
    <w:rsid w:val="2984482A"/>
    <w:rsid w:val="298567F4"/>
    <w:rsid w:val="2987431B"/>
    <w:rsid w:val="298C1931"/>
    <w:rsid w:val="298C36DF"/>
    <w:rsid w:val="298E7457"/>
    <w:rsid w:val="299407E6"/>
    <w:rsid w:val="29982084"/>
    <w:rsid w:val="2999695D"/>
    <w:rsid w:val="299A22A0"/>
    <w:rsid w:val="29A30A29"/>
    <w:rsid w:val="29A44ECD"/>
    <w:rsid w:val="29AE5D4B"/>
    <w:rsid w:val="29B175E9"/>
    <w:rsid w:val="29B449E4"/>
    <w:rsid w:val="29B82726"/>
    <w:rsid w:val="29BD3F19"/>
    <w:rsid w:val="29CC6E69"/>
    <w:rsid w:val="29D87A35"/>
    <w:rsid w:val="29D97ADD"/>
    <w:rsid w:val="29DB4666"/>
    <w:rsid w:val="29E3170A"/>
    <w:rsid w:val="29EC0622"/>
    <w:rsid w:val="29EC23D0"/>
    <w:rsid w:val="29FF65A7"/>
    <w:rsid w:val="2A007C29"/>
    <w:rsid w:val="2A104310"/>
    <w:rsid w:val="2A111E36"/>
    <w:rsid w:val="2A1A6F3D"/>
    <w:rsid w:val="2A1B0723"/>
    <w:rsid w:val="2A222295"/>
    <w:rsid w:val="2A24600D"/>
    <w:rsid w:val="2A2B114A"/>
    <w:rsid w:val="2A2C0A1E"/>
    <w:rsid w:val="2A2E0C3A"/>
    <w:rsid w:val="2A3907EE"/>
    <w:rsid w:val="2A44045E"/>
    <w:rsid w:val="2A495A74"/>
    <w:rsid w:val="2A4B5348"/>
    <w:rsid w:val="2A500BB0"/>
    <w:rsid w:val="2A53244F"/>
    <w:rsid w:val="2A5561C7"/>
    <w:rsid w:val="2A636B36"/>
    <w:rsid w:val="2A64465C"/>
    <w:rsid w:val="2A685EFA"/>
    <w:rsid w:val="2A704DAF"/>
    <w:rsid w:val="2A7228D5"/>
    <w:rsid w:val="2A750BB8"/>
    <w:rsid w:val="2A783C63"/>
    <w:rsid w:val="2A787807"/>
    <w:rsid w:val="2A7917BC"/>
    <w:rsid w:val="2A832D34"/>
    <w:rsid w:val="2A895E70"/>
    <w:rsid w:val="2A8C4388"/>
    <w:rsid w:val="2A930A9D"/>
    <w:rsid w:val="2A9767DF"/>
    <w:rsid w:val="2A9943B2"/>
    <w:rsid w:val="2A9F5694"/>
    <w:rsid w:val="2AA8279A"/>
    <w:rsid w:val="2AA9206F"/>
    <w:rsid w:val="2AAB67C7"/>
    <w:rsid w:val="2AAD0D12"/>
    <w:rsid w:val="2AAF1D7B"/>
    <w:rsid w:val="2AB0164F"/>
    <w:rsid w:val="2AB92A58"/>
    <w:rsid w:val="2ABB0720"/>
    <w:rsid w:val="2ABC1DA2"/>
    <w:rsid w:val="2ABE1FBE"/>
    <w:rsid w:val="2AC1560A"/>
    <w:rsid w:val="2AC62C21"/>
    <w:rsid w:val="2AC9098F"/>
    <w:rsid w:val="2ACD0453"/>
    <w:rsid w:val="2AD71B56"/>
    <w:rsid w:val="2ADC41F2"/>
    <w:rsid w:val="2AE00186"/>
    <w:rsid w:val="2AE01F34"/>
    <w:rsid w:val="2AE5754B"/>
    <w:rsid w:val="2AE751BA"/>
    <w:rsid w:val="2AEC6B2B"/>
    <w:rsid w:val="2AEF4C89"/>
    <w:rsid w:val="2AF3B5EB"/>
    <w:rsid w:val="2AFE23BA"/>
    <w:rsid w:val="2B02634F"/>
    <w:rsid w:val="2B0D4CF3"/>
    <w:rsid w:val="2B165956"/>
    <w:rsid w:val="2B177920"/>
    <w:rsid w:val="2B232A0B"/>
    <w:rsid w:val="2B2362C5"/>
    <w:rsid w:val="2B2D7144"/>
    <w:rsid w:val="2B30453E"/>
    <w:rsid w:val="2B382564"/>
    <w:rsid w:val="2B3B716B"/>
    <w:rsid w:val="2B400C25"/>
    <w:rsid w:val="2B4E4183"/>
    <w:rsid w:val="2B501978"/>
    <w:rsid w:val="2B511820"/>
    <w:rsid w:val="2B522706"/>
    <w:rsid w:val="2B5445C3"/>
    <w:rsid w:val="2B59251B"/>
    <w:rsid w:val="2B5C6960"/>
    <w:rsid w:val="2B611ABA"/>
    <w:rsid w:val="2B620B9B"/>
    <w:rsid w:val="2B62173A"/>
    <w:rsid w:val="2B663B9E"/>
    <w:rsid w:val="2B667F60"/>
    <w:rsid w:val="2B6A1B7F"/>
    <w:rsid w:val="2B6C1A1A"/>
    <w:rsid w:val="2B6C62CF"/>
    <w:rsid w:val="2B6D7540"/>
    <w:rsid w:val="2B714783"/>
    <w:rsid w:val="2B746B21"/>
    <w:rsid w:val="2B7A135F"/>
    <w:rsid w:val="2B822FEC"/>
    <w:rsid w:val="2B8C0380"/>
    <w:rsid w:val="2BA32F62"/>
    <w:rsid w:val="2BA72A52"/>
    <w:rsid w:val="2BB138D1"/>
    <w:rsid w:val="2BB67139"/>
    <w:rsid w:val="2BBD4024"/>
    <w:rsid w:val="2BC37160"/>
    <w:rsid w:val="2BC929C8"/>
    <w:rsid w:val="2BD001FB"/>
    <w:rsid w:val="2BD15D21"/>
    <w:rsid w:val="2BD17ACF"/>
    <w:rsid w:val="2BDB26FC"/>
    <w:rsid w:val="2BDB6BA0"/>
    <w:rsid w:val="2BDD46C6"/>
    <w:rsid w:val="2BDE3F9A"/>
    <w:rsid w:val="2BE03317"/>
    <w:rsid w:val="2BE041B6"/>
    <w:rsid w:val="2BE05E12"/>
    <w:rsid w:val="2BE617CC"/>
    <w:rsid w:val="2BEF7F55"/>
    <w:rsid w:val="2BFD7BFA"/>
    <w:rsid w:val="2BFF288E"/>
    <w:rsid w:val="2C005DCA"/>
    <w:rsid w:val="2C063C1D"/>
    <w:rsid w:val="2C0A4D8F"/>
    <w:rsid w:val="2C0B206C"/>
    <w:rsid w:val="2C136339"/>
    <w:rsid w:val="2C163734"/>
    <w:rsid w:val="2C1A3224"/>
    <w:rsid w:val="2C2422F5"/>
    <w:rsid w:val="2C2C3D4C"/>
    <w:rsid w:val="2C3562B0"/>
    <w:rsid w:val="2C453CAB"/>
    <w:rsid w:val="2C4D146D"/>
    <w:rsid w:val="2C4E0150"/>
    <w:rsid w:val="2C534988"/>
    <w:rsid w:val="2C536736"/>
    <w:rsid w:val="2C5C1A8E"/>
    <w:rsid w:val="2C627897"/>
    <w:rsid w:val="2C680433"/>
    <w:rsid w:val="2C695F59"/>
    <w:rsid w:val="2C772424"/>
    <w:rsid w:val="2C7843EE"/>
    <w:rsid w:val="2C7921DF"/>
    <w:rsid w:val="2C7963E8"/>
    <w:rsid w:val="2C7F587F"/>
    <w:rsid w:val="2C8132A3"/>
    <w:rsid w:val="2C882884"/>
    <w:rsid w:val="2C9A4365"/>
    <w:rsid w:val="2C9E3E55"/>
    <w:rsid w:val="2CA31B6B"/>
    <w:rsid w:val="2CA945A8"/>
    <w:rsid w:val="2CAD76B5"/>
    <w:rsid w:val="2CAE1BBE"/>
    <w:rsid w:val="2CB73169"/>
    <w:rsid w:val="2CBF201D"/>
    <w:rsid w:val="2CBF5B79"/>
    <w:rsid w:val="2CCC69F5"/>
    <w:rsid w:val="2CCF04B2"/>
    <w:rsid w:val="2CD05FD9"/>
    <w:rsid w:val="2CD952E7"/>
    <w:rsid w:val="2CDA6E57"/>
    <w:rsid w:val="2CDF1F2B"/>
    <w:rsid w:val="2CE11F94"/>
    <w:rsid w:val="2CE455E0"/>
    <w:rsid w:val="2CE55F57"/>
    <w:rsid w:val="2CE70673"/>
    <w:rsid w:val="2CE91423"/>
    <w:rsid w:val="2CED26E7"/>
    <w:rsid w:val="2CF27CFD"/>
    <w:rsid w:val="2CF717B7"/>
    <w:rsid w:val="2CFE0E00"/>
    <w:rsid w:val="2D01290C"/>
    <w:rsid w:val="2D0A3299"/>
    <w:rsid w:val="2D0A773C"/>
    <w:rsid w:val="2D0B0DBF"/>
    <w:rsid w:val="2D12039F"/>
    <w:rsid w:val="2D12214D"/>
    <w:rsid w:val="2D142369"/>
    <w:rsid w:val="2D1660E1"/>
    <w:rsid w:val="2D18455E"/>
    <w:rsid w:val="2D22764F"/>
    <w:rsid w:val="2D2F2CFF"/>
    <w:rsid w:val="2D340315"/>
    <w:rsid w:val="2D372553"/>
    <w:rsid w:val="2D3E1DC4"/>
    <w:rsid w:val="2D412A32"/>
    <w:rsid w:val="2D41454E"/>
    <w:rsid w:val="2D46184A"/>
    <w:rsid w:val="2D482013"/>
    <w:rsid w:val="2D542766"/>
    <w:rsid w:val="2D546C0A"/>
    <w:rsid w:val="2D55028C"/>
    <w:rsid w:val="2D594220"/>
    <w:rsid w:val="2D613652"/>
    <w:rsid w:val="2D684463"/>
    <w:rsid w:val="2D686211"/>
    <w:rsid w:val="2D687FBF"/>
    <w:rsid w:val="2D6A1F89"/>
    <w:rsid w:val="2D6F57F1"/>
    <w:rsid w:val="2D773B83"/>
    <w:rsid w:val="2D796670"/>
    <w:rsid w:val="2D7B5F44"/>
    <w:rsid w:val="2D7C5178"/>
    <w:rsid w:val="2D8079FF"/>
    <w:rsid w:val="2D8172D3"/>
    <w:rsid w:val="2D834DF9"/>
    <w:rsid w:val="2DA059AB"/>
    <w:rsid w:val="2DA336ED"/>
    <w:rsid w:val="2DA3549B"/>
    <w:rsid w:val="2DA57465"/>
    <w:rsid w:val="2DAA023D"/>
    <w:rsid w:val="2DAA682A"/>
    <w:rsid w:val="2DAF2092"/>
    <w:rsid w:val="2DB43204"/>
    <w:rsid w:val="2DB94CBF"/>
    <w:rsid w:val="2DC01BA9"/>
    <w:rsid w:val="2DC23B73"/>
    <w:rsid w:val="2DC518B5"/>
    <w:rsid w:val="2DCE72D8"/>
    <w:rsid w:val="2DD5767E"/>
    <w:rsid w:val="2DD815E9"/>
    <w:rsid w:val="2DE0049D"/>
    <w:rsid w:val="2DE25FC3"/>
    <w:rsid w:val="2DE53D06"/>
    <w:rsid w:val="2DE735DA"/>
    <w:rsid w:val="2DEF06E0"/>
    <w:rsid w:val="2DFA1131"/>
    <w:rsid w:val="2DFA177E"/>
    <w:rsid w:val="2DFE0923"/>
    <w:rsid w:val="2E0009FA"/>
    <w:rsid w:val="2E051CB2"/>
    <w:rsid w:val="2E0C75E7"/>
    <w:rsid w:val="2E112405"/>
    <w:rsid w:val="2E1B13D3"/>
    <w:rsid w:val="2E1D6FFC"/>
    <w:rsid w:val="2E204D3E"/>
    <w:rsid w:val="2E235C51"/>
    <w:rsid w:val="2E243B68"/>
    <w:rsid w:val="2E254102"/>
    <w:rsid w:val="2E2C36E3"/>
    <w:rsid w:val="2E2E2FB7"/>
    <w:rsid w:val="2E303E57"/>
    <w:rsid w:val="2E31120B"/>
    <w:rsid w:val="2E344345"/>
    <w:rsid w:val="2E3A5291"/>
    <w:rsid w:val="2E3C1B78"/>
    <w:rsid w:val="2E4E5407"/>
    <w:rsid w:val="2E50117F"/>
    <w:rsid w:val="2E5D564A"/>
    <w:rsid w:val="2E5E5C0B"/>
    <w:rsid w:val="2E5F1FB0"/>
    <w:rsid w:val="2E6220A7"/>
    <w:rsid w:val="2E6560B9"/>
    <w:rsid w:val="2E67296D"/>
    <w:rsid w:val="2E67471B"/>
    <w:rsid w:val="2E682FCF"/>
    <w:rsid w:val="2E693FEF"/>
    <w:rsid w:val="2E7035CF"/>
    <w:rsid w:val="2E7110F5"/>
    <w:rsid w:val="2E772BB0"/>
    <w:rsid w:val="2E786DB1"/>
    <w:rsid w:val="2E7A444E"/>
    <w:rsid w:val="2E7A61FC"/>
    <w:rsid w:val="2E84707B"/>
    <w:rsid w:val="2E8822E7"/>
    <w:rsid w:val="2E9574DA"/>
    <w:rsid w:val="2E987D9C"/>
    <w:rsid w:val="2E9D1EEA"/>
    <w:rsid w:val="2E9E25BD"/>
    <w:rsid w:val="2EA8527E"/>
    <w:rsid w:val="2EB21E3A"/>
    <w:rsid w:val="2EB55486"/>
    <w:rsid w:val="2EB931C8"/>
    <w:rsid w:val="2EBD433B"/>
    <w:rsid w:val="2EC21951"/>
    <w:rsid w:val="2EC41B6D"/>
    <w:rsid w:val="2EC612D6"/>
    <w:rsid w:val="2EC90F31"/>
    <w:rsid w:val="2ED74DED"/>
    <w:rsid w:val="2EDE49DD"/>
    <w:rsid w:val="2EE23DA1"/>
    <w:rsid w:val="2EE55832"/>
    <w:rsid w:val="2EE67D35"/>
    <w:rsid w:val="2EE93CDA"/>
    <w:rsid w:val="2EF20488"/>
    <w:rsid w:val="2EFF4953"/>
    <w:rsid w:val="2F081A5A"/>
    <w:rsid w:val="2F083808"/>
    <w:rsid w:val="2F0B154A"/>
    <w:rsid w:val="2F1321AD"/>
    <w:rsid w:val="2F1531D0"/>
    <w:rsid w:val="2F155F25"/>
    <w:rsid w:val="2F164660"/>
    <w:rsid w:val="2F1D27DA"/>
    <w:rsid w:val="2F1F0B51"/>
    <w:rsid w:val="2F2148C9"/>
    <w:rsid w:val="2F2919D0"/>
    <w:rsid w:val="2F2B74F6"/>
    <w:rsid w:val="2F3445FD"/>
    <w:rsid w:val="2F465162"/>
    <w:rsid w:val="2F4F1437"/>
    <w:rsid w:val="2F4F7689"/>
    <w:rsid w:val="2F527179"/>
    <w:rsid w:val="2F5C7FF7"/>
    <w:rsid w:val="2F7470EF"/>
    <w:rsid w:val="2F7B047E"/>
    <w:rsid w:val="2F7F33C5"/>
    <w:rsid w:val="2F803CE6"/>
    <w:rsid w:val="2F844B71"/>
    <w:rsid w:val="2F8F217B"/>
    <w:rsid w:val="2F9A7BA6"/>
    <w:rsid w:val="2F9B467C"/>
    <w:rsid w:val="2F9C6646"/>
    <w:rsid w:val="2F9D4288"/>
    <w:rsid w:val="2FA555EB"/>
    <w:rsid w:val="2FAB0637"/>
    <w:rsid w:val="2FAB0A48"/>
    <w:rsid w:val="2FAC6889"/>
    <w:rsid w:val="2FAC6BC6"/>
    <w:rsid w:val="2FAD43AF"/>
    <w:rsid w:val="2FB35E69"/>
    <w:rsid w:val="2FB36551"/>
    <w:rsid w:val="2FB43990"/>
    <w:rsid w:val="2FB90FA6"/>
    <w:rsid w:val="2FB91581"/>
    <w:rsid w:val="2FBC45F2"/>
    <w:rsid w:val="2FC75471"/>
    <w:rsid w:val="2FE204FD"/>
    <w:rsid w:val="2FE53B49"/>
    <w:rsid w:val="2FE83639"/>
    <w:rsid w:val="2FEC4ED7"/>
    <w:rsid w:val="2FEE50F3"/>
    <w:rsid w:val="2FEE74A7"/>
    <w:rsid w:val="2FEF1F17"/>
    <w:rsid w:val="2FEF2C1A"/>
    <w:rsid w:val="2FF87D20"/>
    <w:rsid w:val="2FFE4C0B"/>
    <w:rsid w:val="300645B8"/>
    <w:rsid w:val="30093CDB"/>
    <w:rsid w:val="30103DA4"/>
    <w:rsid w:val="30142680"/>
    <w:rsid w:val="3014442E"/>
    <w:rsid w:val="301461DC"/>
    <w:rsid w:val="3022220D"/>
    <w:rsid w:val="3025488D"/>
    <w:rsid w:val="302C5C1C"/>
    <w:rsid w:val="302D7D87"/>
    <w:rsid w:val="302F1268"/>
    <w:rsid w:val="3050190A"/>
    <w:rsid w:val="30594760"/>
    <w:rsid w:val="305A4537"/>
    <w:rsid w:val="305D23CE"/>
    <w:rsid w:val="305D4027"/>
    <w:rsid w:val="305F65E8"/>
    <w:rsid w:val="306058C5"/>
    <w:rsid w:val="30656A38"/>
    <w:rsid w:val="30676C54"/>
    <w:rsid w:val="306C6018"/>
    <w:rsid w:val="3071362F"/>
    <w:rsid w:val="307373A7"/>
    <w:rsid w:val="30760C45"/>
    <w:rsid w:val="3078676B"/>
    <w:rsid w:val="30803872"/>
    <w:rsid w:val="3082583C"/>
    <w:rsid w:val="30843362"/>
    <w:rsid w:val="308C2216"/>
    <w:rsid w:val="308C5F1F"/>
    <w:rsid w:val="308D5B6A"/>
    <w:rsid w:val="308E61D3"/>
    <w:rsid w:val="30901D07"/>
    <w:rsid w:val="30963095"/>
    <w:rsid w:val="309D61D2"/>
    <w:rsid w:val="30A237E4"/>
    <w:rsid w:val="30AA08EF"/>
    <w:rsid w:val="30AD0B0B"/>
    <w:rsid w:val="30B11C7D"/>
    <w:rsid w:val="30B5176D"/>
    <w:rsid w:val="30BD56DB"/>
    <w:rsid w:val="30C23E8A"/>
    <w:rsid w:val="30C916BD"/>
    <w:rsid w:val="30CC52EF"/>
    <w:rsid w:val="30D00355"/>
    <w:rsid w:val="30D20571"/>
    <w:rsid w:val="30D320BD"/>
    <w:rsid w:val="30E15E23"/>
    <w:rsid w:val="30E16A06"/>
    <w:rsid w:val="30E30E41"/>
    <w:rsid w:val="30E43E01"/>
    <w:rsid w:val="30E65DCB"/>
    <w:rsid w:val="30F009F7"/>
    <w:rsid w:val="30F1651D"/>
    <w:rsid w:val="30F71D86"/>
    <w:rsid w:val="30F878AC"/>
    <w:rsid w:val="30F93D50"/>
    <w:rsid w:val="30FA1876"/>
    <w:rsid w:val="30FB6E28"/>
    <w:rsid w:val="30FC114A"/>
    <w:rsid w:val="30FF6E8C"/>
    <w:rsid w:val="310B5831"/>
    <w:rsid w:val="310B75DF"/>
    <w:rsid w:val="310E0E7D"/>
    <w:rsid w:val="31161F85"/>
    <w:rsid w:val="311E37B6"/>
    <w:rsid w:val="31232B7B"/>
    <w:rsid w:val="312406A1"/>
    <w:rsid w:val="31264419"/>
    <w:rsid w:val="312A1CE8"/>
    <w:rsid w:val="3135465C"/>
    <w:rsid w:val="31371266"/>
    <w:rsid w:val="313905F0"/>
    <w:rsid w:val="313A3321"/>
    <w:rsid w:val="313A7EC4"/>
    <w:rsid w:val="313B47B1"/>
    <w:rsid w:val="31434FCB"/>
    <w:rsid w:val="3148438F"/>
    <w:rsid w:val="31491F37"/>
    <w:rsid w:val="315216B2"/>
    <w:rsid w:val="31551114"/>
    <w:rsid w:val="315E0057"/>
    <w:rsid w:val="31615451"/>
    <w:rsid w:val="316513E5"/>
    <w:rsid w:val="317038E6"/>
    <w:rsid w:val="31707707"/>
    <w:rsid w:val="31741628"/>
    <w:rsid w:val="3175714F"/>
    <w:rsid w:val="317C04DD"/>
    <w:rsid w:val="317F1EE4"/>
    <w:rsid w:val="31813D45"/>
    <w:rsid w:val="31833619"/>
    <w:rsid w:val="31837ABD"/>
    <w:rsid w:val="318A0E4C"/>
    <w:rsid w:val="319F479A"/>
    <w:rsid w:val="319F5F79"/>
    <w:rsid w:val="31A16D4D"/>
    <w:rsid w:val="31A2556C"/>
    <w:rsid w:val="31A55C86"/>
    <w:rsid w:val="31AB491E"/>
    <w:rsid w:val="31AE7611"/>
    <w:rsid w:val="31BE0AF5"/>
    <w:rsid w:val="31C3435E"/>
    <w:rsid w:val="31C559E0"/>
    <w:rsid w:val="31CD0D39"/>
    <w:rsid w:val="31D71BB7"/>
    <w:rsid w:val="31D73965"/>
    <w:rsid w:val="31E247E4"/>
    <w:rsid w:val="31E3230A"/>
    <w:rsid w:val="31E626EA"/>
    <w:rsid w:val="31EF6F01"/>
    <w:rsid w:val="31F528CF"/>
    <w:rsid w:val="31F91B2E"/>
    <w:rsid w:val="31FB3AF8"/>
    <w:rsid w:val="31FB7654"/>
    <w:rsid w:val="31FC517A"/>
    <w:rsid w:val="31FD161E"/>
    <w:rsid w:val="31FE7144"/>
    <w:rsid w:val="3201709B"/>
    <w:rsid w:val="320504D2"/>
    <w:rsid w:val="32095D03"/>
    <w:rsid w:val="320D7387"/>
    <w:rsid w:val="320E382B"/>
    <w:rsid w:val="320F75A3"/>
    <w:rsid w:val="3212499D"/>
    <w:rsid w:val="32132BEF"/>
    <w:rsid w:val="322576E7"/>
    <w:rsid w:val="323808A8"/>
    <w:rsid w:val="3239017C"/>
    <w:rsid w:val="323E6274"/>
    <w:rsid w:val="3244724D"/>
    <w:rsid w:val="325E7BE3"/>
    <w:rsid w:val="326351F9"/>
    <w:rsid w:val="32655415"/>
    <w:rsid w:val="326571C3"/>
    <w:rsid w:val="3273368E"/>
    <w:rsid w:val="32786EF6"/>
    <w:rsid w:val="327B2543"/>
    <w:rsid w:val="327E6664"/>
    <w:rsid w:val="32803FFD"/>
    <w:rsid w:val="328B4E7C"/>
    <w:rsid w:val="32902492"/>
    <w:rsid w:val="3291620A"/>
    <w:rsid w:val="32957CEF"/>
    <w:rsid w:val="32980F88"/>
    <w:rsid w:val="32981347"/>
    <w:rsid w:val="32987598"/>
    <w:rsid w:val="329B4993"/>
    <w:rsid w:val="32A55811"/>
    <w:rsid w:val="32AB107A"/>
    <w:rsid w:val="32AF043E"/>
    <w:rsid w:val="32B617CD"/>
    <w:rsid w:val="32B72DD0"/>
    <w:rsid w:val="32B83797"/>
    <w:rsid w:val="32BE51C6"/>
    <w:rsid w:val="32CA35CE"/>
    <w:rsid w:val="32CF78F9"/>
    <w:rsid w:val="32D16607"/>
    <w:rsid w:val="32D83E39"/>
    <w:rsid w:val="32D8641B"/>
    <w:rsid w:val="32E7407C"/>
    <w:rsid w:val="32E93B15"/>
    <w:rsid w:val="32EA3795"/>
    <w:rsid w:val="32EB76C8"/>
    <w:rsid w:val="32ED1692"/>
    <w:rsid w:val="32F04CDF"/>
    <w:rsid w:val="32F81DE5"/>
    <w:rsid w:val="32F83B93"/>
    <w:rsid w:val="32F96C6C"/>
    <w:rsid w:val="32FA790B"/>
    <w:rsid w:val="32FD11AA"/>
    <w:rsid w:val="32FD73FC"/>
    <w:rsid w:val="32FE389F"/>
    <w:rsid w:val="32FF3174"/>
    <w:rsid w:val="32FF4F22"/>
    <w:rsid w:val="33024A12"/>
    <w:rsid w:val="33042538"/>
    <w:rsid w:val="3305533D"/>
    <w:rsid w:val="33093FF2"/>
    <w:rsid w:val="330A641A"/>
    <w:rsid w:val="330D3AE3"/>
    <w:rsid w:val="330E785B"/>
    <w:rsid w:val="33114C55"/>
    <w:rsid w:val="33130ECB"/>
    <w:rsid w:val="331C3D26"/>
    <w:rsid w:val="331C5AD4"/>
    <w:rsid w:val="331F55C4"/>
    <w:rsid w:val="3321758E"/>
    <w:rsid w:val="33240E2C"/>
    <w:rsid w:val="33274478"/>
    <w:rsid w:val="33274E42"/>
    <w:rsid w:val="332845FB"/>
    <w:rsid w:val="332D7CE1"/>
    <w:rsid w:val="332E1CAB"/>
    <w:rsid w:val="332E5807"/>
    <w:rsid w:val="33305A23"/>
    <w:rsid w:val="333170A5"/>
    <w:rsid w:val="333948D8"/>
    <w:rsid w:val="333E1EEE"/>
    <w:rsid w:val="33460DA3"/>
    <w:rsid w:val="334868C9"/>
    <w:rsid w:val="334B460B"/>
    <w:rsid w:val="33501C21"/>
    <w:rsid w:val="335A6B93"/>
    <w:rsid w:val="33680D19"/>
    <w:rsid w:val="336E20A7"/>
    <w:rsid w:val="33705E1F"/>
    <w:rsid w:val="337066A2"/>
    <w:rsid w:val="33743B62"/>
    <w:rsid w:val="337558F7"/>
    <w:rsid w:val="3381627F"/>
    <w:rsid w:val="33823918"/>
    <w:rsid w:val="33863895"/>
    <w:rsid w:val="338B4A07"/>
    <w:rsid w:val="338E62A6"/>
    <w:rsid w:val="3392223A"/>
    <w:rsid w:val="339715FE"/>
    <w:rsid w:val="339B5763"/>
    <w:rsid w:val="339B7340"/>
    <w:rsid w:val="33A309C5"/>
    <w:rsid w:val="33A651CD"/>
    <w:rsid w:val="33A834AF"/>
    <w:rsid w:val="33AC27B5"/>
    <w:rsid w:val="33B7001B"/>
    <w:rsid w:val="33B71CA0"/>
    <w:rsid w:val="33B73835"/>
    <w:rsid w:val="33C341A1"/>
    <w:rsid w:val="33C87A09"/>
    <w:rsid w:val="33CA19D4"/>
    <w:rsid w:val="33CC574C"/>
    <w:rsid w:val="33D33712"/>
    <w:rsid w:val="33D6202B"/>
    <w:rsid w:val="33DE4907"/>
    <w:rsid w:val="33E02FA5"/>
    <w:rsid w:val="33E34843"/>
    <w:rsid w:val="33E505BB"/>
    <w:rsid w:val="33E660E2"/>
    <w:rsid w:val="33EC7B9C"/>
    <w:rsid w:val="33ED7470"/>
    <w:rsid w:val="33EF143A"/>
    <w:rsid w:val="33F22CD8"/>
    <w:rsid w:val="33F97BC3"/>
    <w:rsid w:val="33FF7545"/>
    <w:rsid w:val="340053F5"/>
    <w:rsid w:val="34076784"/>
    <w:rsid w:val="340D18C0"/>
    <w:rsid w:val="340D366E"/>
    <w:rsid w:val="341449FD"/>
    <w:rsid w:val="34234796"/>
    <w:rsid w:val="34256C0A"/>
    <w:rsid w:val="34272982"/>
    <w:rsid w:val="342C7F98"/>
    <w:rsid w:val="342F5CDB"/>
    <w:rsid w:val="34313801"/>
    <w:rsid w:val="34321327"/>
    <w:rsid w:val="34360FC5"/>
    <w:rsid w:val="343D21A6"/>
    <w:rsid w:val="34401C96"/>
    <w:rsid w:val="344828F8"/>
    <w:rsid w:val="344F1ED9"/>
    <w:rsid w:val="345309D9"/>
    <w:rsid w:val="34563267"/>
    <w:rsid w:val="34570B55"/>
    <w:rsid w:val="345B262C"/>
    <w:rsid w:val="345E211C"/>
    <w:rsid w:val="345E3ECA"/>
    <w:rsid w:val="346040E6"/>
    <w:rsid w:val="34630E03"/>
    <w:rsid w:val="34637732"/>
    <w:rsid w:val="34645984"/>
    <w:rsid w:val="346516FC"/>
    <w:rsid w:val="346A0AC1"/>
    <w:rsid w:val="34733E19"/>
    <w:rsid w:val="347B5243"/>
    <w:rsid w:val="347C6F96"/>
    <w:rsid w:val="348576A9"/>
    <w:rsid w:val="34871673"/>
    <w:rsid w:val="348778C5"/>
    <w:rsid w:val="349D49F2"/>
    <w:rsid w:val="34A044E2"/>
    <w:rsid w:val="34C06933"/>
    <w:rsid w:val="34C12DD7"/>
    <w:rsid w:val="34C75F13"/>
    <w:rsid w:val="34C957E7"/>
    <w:rsid w:val="34D66156"/>
    <w:rsid w:val="34D97F49"/>
    <w:rsid w:val="34DD74E5"/>
    <w:rsid w:val="34DE40C3"/>
    <w:rsid w:val="34DF500B"/>
    <w:rsid w:val="34E6283D"/>
    <w:rsid w:val="34EC41DF"/>
    <w:rsid w:val="34ED1C61"/>
    <w:rsid w:val="34F32864"/>
    <w:rsid w:val="34F81B85"/>
    <w:rsid w:val="34FA62E8"/>
    <w:rsid w:val="35020CF9"/>
    <w:rsid w:val="350E3B42"/>
    <w:rsid w:val="351D3D85"/>
    <w:rsid w:val="351F18AB"/>
    <w:rsid w:val="352769B2"/>
    <w:rsid w:val="35281E46"/>
    <w:rsid w:val="35305866"/>
    <w:rsid w:val="35336E0D"/>
    <w:rsid w:val="353A4937"/>
    <w:rsid w:val="354237EC"/>
    <w:rsid w:val="354B26A0"/>
    <w:rsid w:val="354E2190"/>
    <w:rsid w:val="354E5004"/>
    <w:rsid w:val="355E5E3D"/>
    <w:rsid w:val="35611EC4"/>
    <w:rsid w:val="35624920"/>
    <w:rsid w:val="356279EA"/>
    <w:rsid w:val="35646BA9"/>
    <w:rsid w:val="356B4AF0"/>
    <w:rsid w:val="356B689E"/>
    <w:rsid w:val="356E2833"/>
    <w:rsid w:val="357C3C3D"/>
    <w:rsid w:val="3589141A"/>
    <w:rsid w:val="358A366C"/>
    <w:rsid w:val="358B5193"/>
    <w:rsid w:val="35944047"/>
    <w:rsid w:val="35956011"/>
    <w:rsid w:val="359777F0"/>
    <w:rsid w:val="359A3628"/>
    <w:rsid w:val="359A53D6"/>
    <w:rsid w:val="35A26038"/>
    <w:rsid w:val="35AB1391"/>
    <w:rsid w:val="35AC461D"/>
    <w:rsid w:val="35BC17F0"/>
    <w:rsid w:val="35C3492C"/>
    <w:rsid w:val="35C802BA"/>
    <w:rsid w:val="35C81F43"/>
    <w:rsid w:val="35CA1CE7"/>
    <w:rsid w:val="35D02BA5"/>
    <w:rsid w:val="35D22DC1"/>
    <w:rsid w:val="35D52BEF"/>
    <w:rsid w:val="35D97CAC"/>
    <w:rsid w:val="35DC154A"/>
    <w:rsid w:val="35E120F0"/>
    <w:rsid w:val="35E46651"/>
    <w:rsid w:val="35EA1EB9"/>
    <w:rsid w:val="35EF44A1"/>
    <w:rsid w:val="35EF5721"/>
    <w:rsid w:val="35F25212"/>
    <w:rsid w:val="35F42D38"/>
    <w:rsid w:val="35FB2318"/>
    <w:rsid w:val="35FC01D3"/>
    <w:rsid w:val="35FC6BDB"/>
    <w:rsid w:val="360B30A2"/>
    <w:rsid w:val="360D1393"/>
    <w:rsid w:val="360F461D"/>
    <w:rsid w:val="3610546C"/>
    <w:rsid w:val="361262FF"/>
    <w:rsid w:val="3619279E"/>
    <w:rsid w:val="3623361D"/>
    <w:rsid w:val="36254176"/>
    <w:rsid w:val="362566B0"/>
    <w:rsid w:val="36266AC9"/>
    <w:rsid w:val="362A4EEC"/>
    <w:rsid w:val="362C24D2"/>
    <w:rsid w:val="362C25ED"/>
    <w:rsid w:val="36317AE8"/>
    <w:rsid w:val="36356EAC"/>
    <w:rsid w:val="36392E40"/>
    <w:rsid w:val="363E5DC7"/>
    <w:rsid w:val="364307A9"/>
    <w:rsid w:val="36486BE0"/>
    <w:rsid w:val="364D0556"/>
    <w:rsid w:val="364D069A"/>
    <w:rsid w:val="364F61C0"/>
    <w:rsid w:val="365537B1"/>
    <w:rsid w:val="365B6913"/>
    <w:rsid w:val="365C69BF"/>
    <w:rsid w:val="365D53C4"/>
    <w:rsid w:val="36611AB0"/>
    <w:rsid w:val="36624145"/>
    <w:rsid w:val="3676199F"/>
    <w:rsid w:val="367A016E"/>
    <w:rsid w:val="367E6AA5"/>
    <w:rsid w:val="36806379"/>
    <w:rsid w:val="36896DD1"/>
    <w:rsid w:val="36897924"/>
    <w:rsid w:val="368C11C2"/>
    <w:rsid w:val="3699743B"/>
    <w:rsid w:val="369E0EF6"/>
    <w:rsid w:val="36A91D74"/>
    <w:rsid w:val="36AA1648"/>
    <w:rsid w:val="36AA5AEC"/>
    <w:rsid w:val="36AC3612"/>
    <w:rsid w:val="36B83D65"/>
    <w:rsid w:val="36B85B13"/>
    <w:rsid w:val="36C107AF"/>
    <w:rsid w:val="36CF10AF"/>
    <w:rsid w:val="36D16BD5"/>
    <w:rsid w:val="36D3294D"/>
    <w:rsid w:val="36D772E4"/>
    <w:rsid w:val="36E0506A"/>
    <w:rsid w:val="36E44B5A"/>
    <w:rsid w:val="36E52879"/>
    <w:rsid w:val="36E7289C"/>
    <w:rsid w:val="36EC1C61"/>
    <w:rsid w:val="36EE7787"/>
    <w:rsid w:val="36EF22AC"/>
    <w:rsid w:val="36F744C4"/>
    <w:rsid w:val="36FD3E6E"/>
    <w:rsid w:val="3703761B"/>
    <w:rsid w:val="371B2546"/>
    <w:rsid w:val="371B60A2"/>
    <w:rsid w:val="371F5B92"/>
    <w:rsid w:val="37215DAE"/>
    <w:rsid w:val="37227431"/>
    <w:rsid w:val="372E4027"/>
    <w:rsid w:val="37307DA0"/>
    <w:rsid w:val="3736112E"/>
    <w:rsid w:val="37377380"/>
    <w:rsid w:val="373A29CC"/>
    <w:rsid w:val="373D426B"/>
    <w:rsid w:val="373D6FB2"/>
    <w:rsid w:val="373F7FE3"/>
    <w:rsid w:val="374101FF"/>
    <w:rsid w:val="37465815"/>
    <w:rsid w:val="37493C9F"/>
    <w:rsid w:val="37557806"/>
    <w:rsid w:val="375717D0"/>
    <w:rsid w:val="375D0761"/>
    <w:rsid w:val="375F2433"/>
    <w:rsid w:val="37636C46"/>
    <w:rsid w:val="37677539"/>
    <w:rsid w:val="3772660A"/>
    <w:rsid w:val="377759CE"/>
    <w:rsid w:val="377D0B0B"/>
    <w:rsid w:val="377D7015"/>
    <w:rsid w:val="3781684D"/>
    <w:rsid w:val="37843EA3"/>
    <w:rsid w:val="37857396"/>
    <w:rsid w:val="37866B0A"/>
    <w:rsid w:val="378B3228"/>
    <w:rsid w:val="378E4AC6"/>
    <w:rsid w:val="379A16BD"/>
    <w:rsid w:val="379F0A81"/>
    <w:rsid w:val="37A60062"/>
    <w:rsid w:val="37A61E10"/>
    <w:rsid w:val="37BA1D5F"/>
    <w:rsid w:val="37BC1633"/>
    <w:rsid w:val="37BF7375"/>
    <w:rsid w:val="37CD1A92"/>
    <w:rsid w:val="37CD3840"/>
    <w:rsid w:val="37CE1367"/>
    <w:rsid w:val="37D57125"/>
    <w:rsid w:val="37DA7D0B"/>
    <w:rsid w:val="37DC1CD5"/>
    <w:rsid w:val="37DE5A4E"/>
    <w:rsid w:val="37E868CC"/>
    <w:rsid w:val="37ED7A3F"/>
    <w:rsid w:val="37F214F9"/>
    <w:rsid w:val="37F25C81"/>
    <w:rsid w:val="37F27D0C"/>
    <w:rsid w:val="37F30DCD"/>
    <w:rsid w:val="37F52D97"/>
    <w:rsid w:val="37FB07C3"/>
    <w:rsid w:val="37FE1C4C"/>
    <w:rsid w:val="37FF7772"/>
    <w:rsid w:val="38042FDA"/>
    <w:rsid w:val="381F2104"/>
    <w:rsid w:val="38234CA6"/>
    <w:rsid w:val="382D0783"/>
    <w:rsid w:val="383218F5"/>
    <w:rsid w:val="383438BF"/>
    <w:rsid w:val="383733B0"/>
    <w:rsid w:val="384358B1"/>
    <w:rsid w:val="38455ACD"/>
    <w:rsid w:val="384855BD"/>
    <w:rsid w:val="3851621F"/>
    <w:rsid w:val="38547A46"/>
    <w:rsid w:val="385C6972"/>
    <w:rsid w:val="38602906"/>
    <w:rsid w:val="38637D01"/>
    <w:rsid w:val="38651CCB"/>
    <w:rsid w:val="3866480A"/>
    <w:rsid w:val="38675A43"/>
    <w:rsid w:val="386A72E1"/>
    <w:rsid w:val="386C41A1"/>
    <w:rsid w:val="387E2D8D"/>
    <w:rsid w:val="388A1731"/>
    <w:rsid w:val="388A78E0"/>
    <w:rsid w:val="388B33D5"/>
    <w:rsid w:val="388D4D7E"/>
    <w:rsid w:val="389B56ED"/>
    <w:rsid w:val="38A30A45"/>
    <w:rsid w:val="38A43493"/>
    <w:rsid w:val="38A65E3F"/>
    <w:rsid w:val="38AC78FA"/>
    <w:rsid w:val="38B706D0"/>
    <w:rsid w:val="38BA649F"/>
    <w:rsid w:val="38BB5D8F"/>
    <w:rsid w:val="38BF587F"/>
    <w:rsid w:val="38C87C60"/>
    <w:rsid w:val="38CC58A6"/>
    <w:rsid w:val="38CD161E"/>
    <w:rsid w:val="38CD2A1D"/>
    <w:rsid w:val="38CD76BE"/>
    <w:rsid w:val="38CF5396"/>
    <w:rsid w:val="38D34E86"/>
    <w:rsid w:val="38D4477E"/>
    <w:rsid w:val="38D96215"/>
    <w:rsid w:val="38DB1F8D"/>
    <w:rsid w:val="38DD7AB3"/>
    <w:rsid w:val="38E2331B"/>
    <w:rsid w:val="38EA6674"/>
    <w:rsid w:val="38EE5950"/>
    <w:rsid w:val="38EF5A38"/>
    <w:rsid w:val="38F07F3E"/>
    <w:rsid w:val="38F27DCB"/>
    <w:rsid w:val="38F32919"/>
    <w:rsid w:val="38F512A1"/>
    <w:rsid w:val="38F6071E"/>
    <w:rsid w:val="38FD63A7"/>
    <w:rsid w:val="390037A2"/>
    <w:rsid w:val="39081B88"/>
    <w:rsid w:val="390C65EA"/>
    <w:rsid w:val="3911775D"/>
    <w:rsid w:val="39184F8F"/>
    <w:rsid w:val="391B05DB"/>
    <w:rsid w:val="3922196A"/>
    <w:rsid w:val="394538AA"/>
    <w:rsid w:val="394A2C6F"/>
    <w:rsid w:val="394B7113"/>
    <w:rsid w:val="3958538C"/>
    <w:rsid w:val="395F496C"/>
    <w:rsid w:val="395F671A"/>
    <w:rsid w:val="39623F44"/>
    <w:rsid w:val="39671A73"/>
    <w:rsid w:val="39693874"/>
    <w:rsid w:val="396B3311"/>
    <w:rsid w:val="396C0E37"/>
    <w:rsid w:val="39736669"/>
    <w:rsid w:val="39755F3E"/>
    <w:rsid w:val="397A17A6"/>
    <w:rsid w:val="397F0B6A"/>
    <w:rsid w:val="398268AC"/>
    <w:rsid w:val="39904B26"/>
    <w:rsid w:val="39924D42"/>
    <w:rsid w:val="39934616"/>
    <w:rsid w:val="39972358"/>
    <w:rsid w:val="39987E7E"/>
    <w:rsid w:val="399C6A91"/>
    <w:rsid w:val="39AD25AF"/>
    <w:rsid w:val="39B77EFC"/>
    <w:rsid w:val="39B9173D"/>
    <w:rsid w:val="39B925D1"/>
    <w:rsid w:val="39BA6046"/>
    <w:rsid w:val="39BC1DBE"/>
    <w:rsid w:val="39BF365D"/>
    <w:rsid w:val="39C40C73"/>
    <w:rsid w:val="39C921EB"/>
    <w:rsid w:val="39CA2BC5"/>
    <w:rsid w:val="39CE1AF2"/>
    <w:rsid w:val="39D41706"/>
    <w:rsid w:val="39D51F44"/>
    <w:rsid w:val="39D8544D"/>
    <w:rsid w:val="39D864CC"/>
    <w:rsid w:val="39DF5AAD"/>
    <w:rsid w:val="39E76710"/>
    <w:rsid w:val="39EE7A9E"/>
    <w:rsid w:val="39F350B4"/>
    <w:rsid w:val="39F94DC1"/>
    <w:rsid w:val="39FA1930"/>
    <w:rsid w:val="39FD0947"/>
    <w:rsid w:val="39FF7EFD"/>
    <w:rsid w:val="3A033549"/>
    <w:rsid w:val="3A046550"/>
    <w:rsid w:val="3A064DE8"/>
    <w:rsid w:val="3A12378C"/>
    <w:rsid w:val="3A137505"/>
    <w:rsid w:val="3A15327D"/>
    <w:rsid w:val="3A176FF5"/>
    <w:rsid w:val="3A1C460B"/>
    <w:rsid w:val="3A1D7D60"/>
    <w:rsid w:val="3A233BEC"/>
    <w:rsid w:val="3A2A4F7A"/>
    <w:rsid w:val="3A2D05C6"/>
    <w:rsid w:val="3A2E002F"/>
    <w:rsid w:val="3A347BA7"/>
    <w:rsid w:val="3A3E27D3"/>
    <w:rsid w:val="3A4A73CA"/>
    <w:rsid w:val="3A5244D1"/>
    <w:rsid w:val="3A5307BE"/>
    <w:rsid w:val="3A5913BB"/>
    <w:rsid w:val="3A613357"/>
    <w:rsid w:val="3A690764"/>
    <w:rsid w:val="3A6A3C67"/>
    <w:rsid w:val="3A79380C"/>
    <w:rsid w:val="3A7C1983"/>
    <w:rsid w:val="3A8521B0"/>
    <w:rsid w:val="3A8A77C7"/>
    <w:rsid w:val="3A8B1791"/>
    <w:rsid w:val="3A8E75B7"/>
    <w:rsid w:val="3A914FF9"/>
    <w:rsid w:val="3A916DA7"/>
    <w:rsid w:val="3A9643BE"/>
    <w:rsid w:val="3A9931F9"/>
    <w:rsid w:val="3AA0523C"/>
    <w:rsid w:val="3AA27292"/>
    <w:rsid w:val="3AA36ADA"/>
    <w:rsid w:val="3AAA60BB"/>
    <w:rsid w:val="3AAC17D9"/>
    <w:rsid w:val="3AB24F6F"/>
    <w:rsid w:val="3AB605BC"/>
    <w:rsid w:val="3ABB2076"/>
    <w:rsid w:val="3ABE3914"/>
    <w:rsid w:val="3AC23405"/>
    <w:rsid w:val="3AC4344A"/>
    <w:rsid w:val="3ACC4283"/>
    <w:rsid w:val="3ACD1791"/>
    <w:rsid w:val="3AD13648"/>
    <w:rsid w:val="3AD14FE6"/>
    <w:rsid w:val="3AD259C0"/>
    <w:rsid w:val="3AD62A0C"/>
    <w:rsid w:val="3ADA3168"/>
    <w:rsid w:val="3ADB0022"/>
    <w:rsid w:val="3ADB6274"/>
    <w:rsid w:val="3ADF72F7"/>
    <w:rsid w:val="3AE01ADD"/>
    <w:rsid w:val="3AE071C4"/>
    <w:rsid w:val="3AF42518"/>
    <w:rsid w:val="3AF64E5C"/>
    <w:rsid w:val="3AFC6F15"/>
    <w:rsid w:val="3AFD61EB"/>
    <w:rsid w:val="3B027CA5"/>
    <w:rsid w:val="3B0357CB"/>
    <w:rsid w:val="3B0C28D2"/>
    <w:rsid w:val="3B0D21A6"/>
    <w:rsid w:val="3B1B2B15"/>
    <w:rsid w:val="3B2026CA"/>
    <w:rsid w:val="3B227B92"/>
    <w:rsid w:val="3B2A71FC"/>
    <w:rsid w:val="3B2C087E"/>
    <w:rsid w:val="3B2C4652"/>
    <w:rsid w:val="3B2E0A9A"/>
    <w:rsid w:val="3B337E5E"/>
    <w:rsid w:val="3B351E28"/>
    <w:rsid w:val="3B364634"/>
    <w:rsid w:val="3B36794F"/>
    <w:rsid w:val="3B3754FB"/>
    <w:rsid w:val="3B44206B"/>
    <w:rsid w:val="3B464036"/>
    <w:rsid w:val="3B516536"/>
    <w:rsid w:val="3B57537C"/>
    <w:rsid w:val="3B581673"/>
    <w:rsid w:val="3B5A188F"/>
    <w:rsid w:val="3B5B73B5"/>
    <w:rsid w:val="3B5D312D"/>
    <w:rsid w:val="3B5E2A01"/>
    <w:rsid w:val="3B605EC0"/>
    <w:rsid w:val="3B684302"/>
    <w:rsid w:val="3B6B3809"/>
    <w:rsid w:val="3B7C7A57"/>
    <w:rsid w:val="3B7F4E52"/>
    <w:rsid w:val="3B851E35"/>
    <w:rsid w:val="3B892174"/>
    <w:rsid w:val="3B893F22"/>
    <w:rsid w:val="3B8B7C9A"/>
    <w:rsid w:val="3B8C57C0"/>
    <w:rsid w:val="3B9823B7"/>
    <w:rsid w:val="3B9876ED"/>
    <w:rsid w:val="3B9B69BC"/>
    <w:rsid w:val="3B9C3C56"/>
    <w:rsid w:val="3BA05455"/>
    <w:rsid w:val="3BA82BFD"/>
    <w:rsid w:val="3BAB2075"/>
    <w:rsid w:val="3BAE2FF9"/>
    <w:rsid w:val="3BAE3989"/>
    <w:rsid w:val="3BBF5F54"/>
    <w:rsid w:val="3BCC2061"/>
    <w:rsid w:val="3BCE5DD9"/>
    <w:rsid w:val="3BCF0ECA"/>
    <w:rsid w:val="3BD553B9"/>
    <w:rsid w:val="3BDB4052"/>
    <w:rsid w:val="3BDD426E"/>
    <w:rsid w:val="3BDF32AC"/>
    <w:rsid w:val="3BDF3B42"/>
    <w:rsid w:val="3BE21884"/>
    <w:rsid w:val="3BED44B1"/>
    <w:rsid w:val="3BEF3A63"/>
    <w:rsid w:val="3BF13876"/>
    <w:rsid w:val="3BF20CEE"/>
    <w:rsid w:val="3BF27D19"/>
    <w:rsid w:val="3BF70E8C"/>
    <w:rsid w:val="3BF82E56"/>
    <w:rsid w:val="3C011D0B"/>
    <w:rsid w:val="3C0161AE"/>
    <w:rsid w:val="3C033CD5"/>
    <w:rsid w:val="3C08753D"/>
    <w:rsid w:val="3C123F18"/>
    <w:rsid w:val="3C216984"/>
    <w:rsid w:val="3C2B6D87"/>
    <w:rsid w:val="3C3F4A9D"/>
    <w:rsid w:val="3C4816E7"/>
    <w:rsid w:val="3C4A1903"/>
    <w:rsid w:val="3C4B567C"/>
    <w:rsid w:val="3C4D31A2"/>
    <w:rsid w:val="3C4F6F1A"/>
    <w:rsid w:val="3C522566"/>
    <w:rsid w:val="3C5502A8"/>
    <w:rsid w:val="3C601127"/>
    <w:rsid w:val="3C616C4D"/>
    <w:rsid w:val="3C664263"/>
    <w:rsid w:val="3C687FDC"/>
    <w:rsid w:val="3C6A11AE"/>
    <w:rsid w:val="3C6F3118"/>
    <w:rsid w:val="3C700C3E"/>
    <w:rsid w:val="3C727817"/>
    <w:rsid w:val="3C750B1E"/>
    <w:rsid w:val="3C7544A7"/>
    <w:rsid w:val="3C76173F"/>
    <w:rsid w:val="3C771FCD"/>
    <w:rsid w:val="3C8B5A78"/>
    <w:rsid w:val="3C8D359E"/>
    <w:rsid w:val="3C905E26"/>
    <w:rsid w:val="3C9568F7"/>
    <w:rsid w:val="3CA011A6"/>
    <w:rsid w:val="3CA37266"/>
    <w:rsid w:val="3CA408E8"/>
    <w:rsid w:val="3CA60B04"/>
    <w:rsid w:val="3CB26DAC"/>
    <w:rsid w:val="3CB44FCF"/>
    <w:rsid w:val="3CBE5E4E"/>
    <w:rsid w:val="3CD04E10"/>
    <w:rsid w:val="3CD13DD3"/>
    <w:rsid w:val="3CD64F45"/>
    <w:rsid w:val="3CDB23F8"/>
    <w:rsid w:val="3CDB50AA"/>
    <w:rsid w:val="3CE07B72"/>
    <w:rsid w:val="3CE53F8F"/>
    <w:rsid w:val="3CE55188"/>
    <w:rsid w:val="3CE97620"/>
    <w:rsid w:val="3CEA4510"/>
    <w:rsid w:val="3CEB75EB"/>
    <w:rsid w:val="3CEC4769"/>
    <w:rsid w:val="3CF8135F"/>
    <w:rsid w:val="3CFA5A1F"/>
    <w:rsid w:val="3CFD6976"/>
    <w:rsid w:val="3CFFDD71"/>
    <w:rsid w:val="3D000214"/>
    <w:rsid w:val="3D0641F3"/>
    <w:rsid w:val="3D071680"/>
    <w:rsid w:val="3D080C3E"/>
    <w:rsid w:val="3D096A38"/>
    <w:rsid w:val="3D0D77A4"/>
    <w:rsid w:val="3D0E20C9"/>
    <w:rsid w:val="3D0F66A9"/>
    <w:rsid w:val="3D155895"/>
    <w:rsid w:val="3D1C4922"/>
    <w:rsid w:val="3D1D0DC6"/>
    <w:rsid w:val="3D1D2B74"/>
    <w:rsid w:val="3D1E68EC"/>
    <w:rsid w:val="3D22462E"/>
    <w:rsid w:val="3D2A7F67"/>
    <w:rsid w:val="3D347EBE"/>
    <w:rsid w:val="3D3B749E"/>
    <w:rsid w:val="3D477BF1"/>
    <w:rsid w:val="3D4A5933"/>
    <w:rsid w:val="3D4E0F7F"/>
    <w:rsid w:val="3D510A70"/>
    <w:rsid w:val="3D52414F"/>
    <w:rsid w:val="3D5B18EE"/>
    <w:rsid w:val="3D5B369C"/>
    <w:rsid w:val="3D603373"/>
    <w:rsid w:val="3D62771D"/>
    <w:rsid w:val="3D6469F5"/>
    <w:rsid w:val="3D695DB9"/>
    <w:rsid w:val="3D6D517E"/>
    <w:rsid w:val="3D6E5CC0"/>
    <w:rsid w:val="3D6F0EF6"/>
    <w:rsid w:val="3D715D82"/>
    <w:rsid w:val="3D7529B0"/>
    <w:rsid w:val="3D8175A7"/>
    <w:rsid w:val="3D891FB8"/>
    <w:rsid w:val="3D89645B"/>
    <w:rsid w:val="3D962926"/>
    <w:rsid w:val="3D9A7025"/>
    <w:rsid w:val="3DA212CB"/>
    <w:rsid w:val="3DA4185D"/>
    <w:rsid w:val="3DA47C31"/>
    <w:rsid w:val="3DA7119A"/>
    <w:rsid w:val="3DAC5CA6"/>
    <w:rsid w:val="3DB37034"/>
    <w:rsid w:val="3DC72AE0"/>
    <w:rsid w:val="3DD1570D"/>
    <w:rsid w:val="3DDA6CB7"/>
    <w:rsid w:val="3DDF607B"/>
    <w:rsid w:val="3DE42C19"/>
    <w:rsid w:val="3DE43692"/>
    <w:rsid w:val="3DF062BF"/>
    <w:rsid w:val="3DFA1107"/>
    <w:rsid w:val="3E045AE2"/>
    <w:rsid w:val="3E047890"/>
    <w:rsid w:val="3E077380"/>
    <w:rsid w:val="3E1677F2"/>
    <w:rsid w:val="3E171CB9"/>
    <w:rsid w:val="3E1D6BA4"/>
    <w:rsid w:val="3E255C01"/>
    <w:rsid w:val="3E2E2B5F"/>
    <w:rsid w:val="3E330175"/>
    <w:rsid w:val="3E335F4A"/>
    <w:rsid w:val="3E377C66"/>
    <w:rsid w:val="3E3B796C"/>
    <w:rsid w:val="3E3B7A33"/>
    <w:rsid w:val="3E502AD5"/>
    <w:rsid w:val="3E5311ED"/>
    <w:rsid w:val="3E546A69"/>
    <w:rsid w:val="3E5C591E"/>
    <w:rsid w:val="3E634A32"/>
    <w:rsid w:val="3E646581"/>
    <w:rsid w:val="3E66679D"/>
    <w:rsid w:val="3E6B5B61"/>
    <w:rsid w:val="3E72001C"/>
    <w:rsid w:val="3E737005"/>
    <w:rsid w:val="3E834185"/>
    <w:rsid w:val="3E86529B"/>
    <w:rsid w:val="3E910E77"/>
    <w:rsid w:val="3E925BB5"/>
    <w:rsid w:val="3E946E66"/>
    <w:rsid w:val="3E95498C"/>
    <w:rsid w:val="3EA13331"/>
    <w:rsid w:val="3EA55BAC"/>
    <w:rsid w:val="3EA752D9"/>
    <w:rsid w:val="3EAD7F28"/>
    <w:rsid w:val="3EAE3AD2"/>
    <w:rsid w:val="3EB017C6"/>
    <w:rsid w:val="3EB412B6"/>
    <w:rsid w:val="3EB623A9"/>
    <w:rsid w:val="3EB968CD"/>
    <w:rsid w:val="3EBA43F3"/>
    <w:rsid w:val="3EBF7C5B"/>
    <w:rsid w:val="3EC15781"/>
    <w:rsid w:val="3ECB4852"/>
    <w:rsid w:val="3ECD2378"/>
    <w:rsid w:val="3ED656D0"/>
    <w:rsid w:val="3ED9378A"/>
    <w:rsid w:val="3ED951C1"/>
    <w:rsid w:val="3EDF3E59"/>
    <w:rsid w:val="3EE14075"/>
    <w:rsid w:val="3EE6168C"/>
    <w:rsid w:val="3EEC109B"/>
    <w:rsid w:val="3EED47C8"/>
    <w:rsid w:val="3EED6576"/>
    <w:rsid w:val="3EEF590B"/>
    <w:rsid w:val="3EF142B8"/>
    <w:rsid w:val="3EF47905"/>
    <w:rsid w:val="3EF67B21"/>
    <w:rsid w:val="3F081602"/>
    <w:rsid w:val="3F116709"/>
    <w:rsid w:val="3F1717B3"/>
    <w:rsid w:val="3F171977"/>
    <w:rsid w:val="3F172D6E"/>
    <w:rsid w:val="3F1735F3"/>
    <w:rsid w:val="3F1B30E3"/>
    <w:rsid w:val="3F27452A"/>
    <w:rsid w:val="3F2B709E"/>
    <w:rsid w:val="3F2D2E17"/>
    <w:rsid w:val="3F353BD0"/>
    <w:rsid w:val="3F36616F"/>
    <w:rsid w:val="3F373C95"/>
    <w:rsid w:val="3F397A0D"/>
    <w:rsid w:val="3F401D03"/>
    <w:rsid w:val="3F402B4A"/>
    <w:rsid w:val="3F446ADE"/>
    <w:rsid w:val="3F5E1222"/>
    <w:rsid w:val="3F5E7474"/>
    <w:rsid w:val="3F656A54"/>
    <w:rsid w:val="3F6C7DE3"/>
    <w:rsid w:val="3F6F1681"/>
    <w:rsid w:val="3F6F2B7D"/>
    <w:rsid w:val="3F6F51DD"/>
    <w:rsid w:val="3F731171"/>
    <w:rsid w:val="3F777D79"/>
    <w:rsid w:val="3F7A3AC2"/>
    <w:rsid w:val="3F7BE93D"/>
    <w:rsid w:val="3F8B72DF"/>
    <w:rsid w:val="3F8E1B07"/>
    <w:rsid w:val="3F9410E8"/>
    <w:rsid w:val="3F942E96"/>
    <w:rsid w:val="3F984734"/>
    <w:rsid w:val="3F9F1F66"/>
    <w:rsid w:val="3FA30576"/>
    <w:rsid w:val="3FB84DD6"/>
    <w:rsid w:val="3FBB6674"/>
    <w:rsid w:val="3FBD063E"/>
    <w:rsid w:val="3FC25C55"/>
    <w:rsid w:val="3FC27A03"/>
    <w:rsid w:val="3FC45529"/>
    <w:rsid w:val="3FC512A1"/>
    <w:rsid w:val="3FC578AB"/>
    <w:rsid w:val="3FC84A37"/>
    <w:rsid w:val="3FCE0156"/>
    <w:rsid w:val="3FCE63A8"/>
    <w:rsid w:val="3FDE03B7"/>
    <w:rsid w:val="3FE034BE"/>
    <w:rsid w:val="3FE1257F"/>
    <w:rsid w:val="3FE55BE1"/>
    <w:rsid w:val="3FEA7F0D"/>
    <w:rsid w:val="3FF179AD"/>
    <w:rsid w:val="3FF35E0E"/>
    <w:rsid w:val="3FF4BBD3"/>
    <w:rsid w:val="3FF51B86"/>
    <w:rsid w:val="3FFB4CC3"/>
    <w:rsid w:val="3FFD3067"/>
    <w:rsid w:val="400242A3"/>
    <w:rsid w:val="40063D93"/>
    <w:rsid w:val="40073668"/>
    <w:rsid w:val="400973E0"/>
    <w:rsid w:val="400A3D6D"/>
    <w:rsid w:val="400C6ED0"/>
    <w:rsid w:val="400E5E9E"/>
    <w:rsid w:val="4013025E"/>
    <w:rsid w:val="401C35B7"/>
    <w:rsid w:val="40251D40"/>
    <w:rsid w:val="40356427"/>
    <w:rsid w:val="403717F6"/>
    <w:rsid w:val="4037219F"/>
    <w:rsid w:val="403A57EB"/>
    <w:rsid w:val="40416B7A"/>
    <w:rsid w:val="40442B0E"/>
    <w:rsid w:val="404623E2"/>
    <w:rsid w:val="4047615A"/>
    <w:rsid w:val="404E573A"/>
    <w:rsid w:val="40512B35"/>
    <w:rsid w:val="405215CC"/>
    <w:rsid w:val="405745EF"/>
    <w:rsid w:val="405A40DF"/>
    <w:rsid w:val="405B02ED"/>
    <w:rsid w:val="405B10A3"/>
    <w:rsid w:val="405C1C05"/>
    <w:rsid w:val="405F5252"/>
    <w:rsid w:val="4061721C"/>
    <w:rsid w:val="40672358"/>
    <w:rsid w:val="406867FC"/>
    <w:rsid w:val="406A57B7"/>
    <w:rsid w:val="407707ED"/>
    <w:rsid w:val="407C4056"/>
    <w:rsid w:val="407D5602"/>
    <w:rsid w:val="407F5D91"/>
    <w:rsid w:val="40866C82"/>
    <w:rsid w:val="408829FA"/>
    <w:rsid w:val="408E1DBB"/>
    <w:rsid w:val="409A0980"/>
    <w:rsid w:val="409A44DC"/>
    <w:rsid w:val="409C408B"/>
    <w:rsid w:val="40A35A86"/>
    <w:rsid w:val="40A8309D"/>
    <w:rsid w:val="40AA0BC3"/>
    <w:rsid w:val="40AD54F1"/>
    <w:rsid w:val="40AE7F87"/>
    <w:rsid w:val="40B03CFF"/>
    <w:rsid w:val="40B437EF"/>
    <w:rsid w:val="40BE641C"/>
    <w:rsid w:val="40C15F0C"/>
    <w:rsid w:val="40C770F8"/>
    <w:rsid w:val="40C8729B"/>
    <w:rsid w:val="40CB0B39"/>
    <w:rsid w:val="40CF23D7"/>
    <w:rsid w:val="40D169B8"/>
    <w:rsid w:val="40D20119"/>
    <w:rsid w:val="40D73BA8"/>
    <w:rsid w:val="40DE086C"/>
    <w:rsid w:val="40DF6392"/>
    <w:rsid w:val="40E47808"/>
    <w:rsid w:val="40EB2F89"/>
    <w:rsid w:val="40EF4827"/>
    <w:rsid w:val="40F167F2"/>
    <w:rsid w:val="40F576DF"/>
    <w:rsid w:val="40F7192E"/>
    <w:rsid w:val="4101455B"/>
    <w:rsid w:val="4114603C"/>
    <w:rsid w:val="41160006"/>
    <w:rsid w:val="41173D7E"/>
    <w:rsid w:val="41197AF6"/>
    <w:rsid w:val="411C1395"/>
    <w:rsid w:val="41287D39"/>
    <w:rsid w:val="412D70FE"/>
    <w:rsid w:val="41305C04"/>
    <w:rsid w:val="41334E00"/>
    <w:rsid w:val="41344930"/>
    <w:rsid w:val="41391582"/>
    <w:rsid w:val="413F7118"/>
    <w:rsid w:val="414219F3"/>
    <w:rsid w:val="41432DC5"/>
    <w:rsid w:val="41464524"/>
    <w:rsid w:val="4148218A"/>
    <w:rsid w:val="414A5F02"/>
    <w:rsid w:val="414C1C7A"/>
    <w:rsid w:val="414D3EAF"/>
    <w:rsid w:val="414F52C6"/>
    <w:rsid w:val="41594397"/>
    <w:rsid w:val="415B010F"/>
    <w:rsid w:val="415B1EBD"/>
    <w:rsid w:val="41614FF9"/>
    <w:rsid w:val="416F6169"/>
    <w:rsid w:val="41727207"/>
    <w:rsid w:val="41744D2D"/>
    <w:rsid w:val="41801923"/>
    <w:rsid w:val="41856F3A"/>
    <w:rsid w:val="41874A60"/>
    <w:rsid w:val="41893AB1"/>
    <w:rsid w:val="419D0727"/>
    <w:rsid w:val="419D5525"/>
    <w:rsid w:val="419D7E22"/>
    <w:rsid w:val="41A01FC6"/>
    <w:rsid w:val="41A05B22"/>
    <w:rsid w:val="41A35612"/>
    <w:rsid w:val="41A5138A"/>
    <w:rsid w:val="41A575DC"/>
    <w:rsid w:val="41A63A30"/>
    <w:rsid w:val="41A90E7A"/>
    <w:rsid w:val="41AF045B"/>
    <w:rsid w:val="41B15F81"/>
    <w:rsid w:val="41B25855"/>
    <w:rsid w:val="41B33AA7"/>
    <w:rsid w:val="41B82E6B"/>
    <w:rsid w:val="41B94E35"/>
    <w:rsid w:val="41BB6E00"/>
    <w:rsid w:val="41D7297A"/>
    <w:rsid w:val="41E225DE"/>
    <w:rsid w:val="41E33C60"/>
    <w:rsid w:val="41E579D9"/>
    <w:rsid w:val="41E77BF5"/>
    <w:rsid w:val="41E81277"/>
    <w:rsid w:val="41F36599"/>
    <w:rsid w:val="41F67E38"/>
    <w:rsid w:val="420A5691"/>
    <w:rsid w:val="420E1650"/>
    <w:rsid w:val="42122973"/>
    <w:rsid w:val="4214206C"/>
    <w:rsid w:val="42167560"/>
    <w:rsid w:val="421E3839"/>
    <w:rsid w:val="422C50C0"/>
    <w:rsid w:val="42336996"/>
    <w:rsid w:val="42383FAC"/>
    <w:rsid w:val="423A60B6"/>
    <w:rsid w:val="42402E61"/>
    <w:rsid w:val="424A4C3A"/>
    <w:rsid w:val="42521512"/>
    <w:rsid w:val="42552DB0"/>
    <w:rsid w:val="425863FC"/>
    <w:rsid w:val="42595782"/>
    <w:rsid w:val="425A3F23"/>
    <w:rsid w:val="425D3A13"/>
    <w:rsid w:val="425E3CB1"/>
    <w:rsid w:val="42621029"/>
    <w:rsid w:val="42642FF3"/>
    <w:rsid w:val="4269685C"/>
    <w:rsid w:val="426E79CE"/>
    <w:rsid w:val="42731488"/>
    <w:rsid w:val="42764AD5"/>
    <w:rsid w:val="42817701"/>
    <w:rsid w:val="428611BC"/>
    <w:rsid w:val="4287580F"/>
    <w:rsid w:val="42A930FC"/>
    <w:rsid w:val="42B27D92"/>
    <w:rsid w:val="42B52A5A"/>
    <w:rsid w:val="42B5384F"/>
    <w:rsid w:val="42B71375"/>
    <w:rsid w:val="42B75819"/>
    <w:rsid w:val="42B850ED"/>
    <w:rsid w:val="42BA0E65"/>
    <w:rsid w:val="42C27D1A"/>
    <w:rsid w:val="42C45840"/>
    <w:rsid w:val="42D41B19"/>
    <w:rsid w:val="42D47E24"/>
    <w:rsid w:val="42D8613A"/>
    <w:rsid w:val="42E44134"/>
    <w:rsid w:val="42E934F8"/>
    <w:rsid w:val="42EB101F"/>
    <w:rsid w:val="42EE0B0F"/>
    <w:rsid w:val="42F51E9D"/>
    <w:rsid w:val="42F75C15"/>
    <w:rsid w:val="42FF6872"/>
    <w:rsid w:val="43002ED1"/>
    <w:rsid w:val="430976F7"/>
    <w:rsid w:val="430B16C1"/>
    <w:rsid w:val="430F7988"/>
    <w:rsid w:val="43195B8C"/>
    <w:rsid w:val="4320516C"/>
    <w:rsid w:val="43244531"/>
    <w:rsid w:val="432E715D"/>
    <w:rsid w:val="432F53AF"/>
    <w:rsid w:val="4337195A"/>
    <w:rsid w:val="4346094B"/>
    <w:rsid w:val="4348021A"/>
    <w:rsid w:val="43490042"/>
    <w:rsid w:val="434A043B"/>
    <w:rsid w:val="434B7D0F"/>
    <w:rsid w:val="435117C9"/>
    <w:rsid w:val="4355293C"/>
    <w:rsid w:val="4359242C"/>
    <w:rsid w:val="43617533"/>
    <w:rsid w:val="436D5ED7"/>
    <w:rsid w:val="43713C1A"/>
    <w:rsid w:val="437357E6"/>
    <w:rsid w:val="4379360A"/>
    <w:rsid w:val="4379487C"/>
    <w:rsid w:val="437B05F4"/>
    <w:rsid w:val="43813731"/>
    <w:rsid w:val="43837BF3"/>
    <w:rsid w:val="4387343D"/>
    <w:rsid w:val="438A7AD3"/>
    <w:rsid w:val="438F40A0"/>
    <w:rsid w:val="43923B90"/>
    <w:rsid w:val="43963680"/>
    <w:rsid w:val="439B2A45"/>
    <w:rsid w:val="439F7064"/>
    <w:rsid w:val="43A062AD"/>
    <w:rsid w:val="43A55671"/>
    <w:rsid w:val="43B104BA"/>
    <w:rsid w:val="43B12268"/>
    <w:rsid w:val="43B14016"/>
    <w:rsid w:val="43B43B06"/>
    <w:rsid w:val="43B6162D"/>
    <w:rsid w:val="43B753A5"/>
    <w:rsid w:val="43BD5690"/>
    <w:rsid w:val="43C95804"/>
    <w:rsid w:val="43CC0E50"/>
    <w:rsid w:val="43CE2E1A"/>
    <w:rsid w:val="43E75C8A"/>
    <w:rsid w:val="43E80DDE"/>
    <w:rsid w:val="43E95C6A"/>
    <w:rsid w:val="43F316E3"/>
    <w:rsid w:val="43F403A7"/>
    <w:rsid w:val="43F54889"/>
    <w:rsid w:val="43F62371"/>
    <w:rsid w:val="440B6331"/>
    <w:rsid w:val="44130C4C"/>
    <w:rsid w:val="441427F7"/>
    <w:rsid w:val="441C3035"/>
    <w:rsid w:val="442073EE"/>
    <w:rsid w:val="44250560"/>
    <w:rsid w:val="44330ECF"/>
    <w:rsid w:val="44396DE3"/>
    <w:rsid w:val="443A225E"/>
    <w:rsid w:val="444061B3"/>
    <w:rsid w:val="444A7FC7"/>
    <w:rsid w:val="444F7D1F"/>
    <w:rsid w:val="4450382F"/>
    <w:rsid w:val="4453331F"/>
    <w:rsid w:val="44613C8E"/>
    <w:rsid w:val="446369C0"/>
    <w:rsid w:val="44726FDA"/>
    <w:rsid w:val="44727C49"/>
    <w:rsid w:val="44735770"/>
    <w:rsid w:val="4475773A"/>
    <w:rsid w:val="44775260"/>
    <w:rsid w:val="44794589"/>
    <w:rsid w:val="4484172B"/>
    <w:rsid w:val="44906321"/>
    <w:rsid w:val="44913E48"/>
    <w:rsid w:val="4493196E"/>
    <w:rsid w:val="449C6A74"/>
    <w:rsid w:val="449F47B6"/>
    <w:rsid w:val="44A21BB1"/>
    <w:rsid w:val="44A678F3"/>
    <w:rsid w:val="44A91191"/>
    <w:rsid w:val="44A92F3F"/>
    <w:rsid w:val="44AE0556"/>
    <w:rsid w:val="44B042CE"/>
    <w:rsid w:val="44B55D88"/>
    <w:rsid w:val="44BC2DA3"/>
    <w:rsid w:val="44C9538F"/>
    <w:rsid w:val="44CC5BF7"/>
    <w:rsid w:val="44D02BC2"/>
    <w:rsid w:val="44D0671E"/>
    <w:rsid w:val="44D15F3E"/>
    <w:rsid w:val="44D17043"/>
    <w:rsid w:val="44E126D9"/>
    <w:rsid w:val="44E26451"/>
    <w:rsid w:val="44E421C9"/>
    <w:rsid w:val="44E4666D"/>
    <w:rsid w:val="44E73A68"/>
    <w:rsid w:val="44F543D6"/>
    <w:rsid w:val="44F56185"/>
    <w:rsid w:val="44F85C75"/>
    <w:rsid w:val="44FC39B7"/>
    <w:rsid w:val="4508410A"/>
    <w:rsid w:val="45101210"/>
    <w:rsid w:val="45112C08"/>
    <w:rsid w:val="45284275"/>
    <w:rsid w:val="452B1BA6"/>
    <w:rsid w:val="452D47A4"/>
    <w:rsid w:val="452E1696"/>
    <w:rsid w:val="45300692"/>
    <w:rsid w:val="453B6DDE"/>
    <w:rsid w:val="45444777"/>
    <w:rsid w:val="45483DAD"/>
    <w:rsid w:val="455A06DD"/>
    <w:rsid w:val="455B19D4"/>
    <w:rsid w:val="455C26A8"/>
    <w:rsid w:val="455E3D2A"/>
    <w:rsid w:val="45600A2B"/>
    <w:rsid w:val="4568104C"/>
    <w:rsid w:val="456A0921"/>
    <w:rsid w:val="456A7A73"/>
    <w:rsid w:val="45700811"/>
    <w:rsid w:val="4577303D"/>
    <w:rsid w:val="45790B64"/>
    <w:rsid w:val="457B0D80"/>
    <w:rsid w:val="457E617A"/>
    <w:rsid w:val="45857508"/>
    <w:rsid w:val="458A2D71"/>
    <w:rsid w:val="45905269"/>
    <w:rsid w:val="4594599D"/>
    <w:rsid w:val="459736E0"/>
    <w:rsid w:val="459933EC"/>
    <w:rsid w:val="459C60A2"/>
    <w:rsid w:val="45A1630C"/>
    <w:rsid w:val="45B7168C"/>
    <w:rsid w:val="45B85B30"/>
    <w:rsid w:val="45B968D8"/>
    <w:rsid w:val="45C06792"/>
    <w:rsid w:val="45D34506"/>
    <w:rsid w:val="45D466E2"/>
    <w:rsid w:val="45D61170"/>
    <w:rsid w:val="45D67D64"/>
    <w:rsid w:val="45E16709"/>
    <w:rsid w:val="45E529EA"/>
    <w:rsid w:val="45EC7588"/>
    <w:rsid w:val="45F824F2"/>
    <w:rsid w:val="46020B59"/>
    <w:rsid w:val="46040D75"/>
    <w:rsid w:val="46121BF6"/>
    <w:rsid w:val="461D4BCB"/>
    <w:rsid w:val="461E6C96"/>
    <w:rsid w:val="46205483"/>
    <w:rsid w:val="462211FB"/>
    <w:rsid w:val="462A4554"/>
    <w:rsid w:val="462C3E28"/>
    <w:rsid w:val="46340F2E"/>
    <w:rsid w:val="463B1C84"/>
    <w:rsid w:val="46530962"/>
    <w:rsid w:val="465313B5"/>
    <w:rsid w:val="465C457C"/>
    <w:rsid w:val="465E7D59"/>
    <w:rsid w:val="46603690"/>
    <w:rsid w:val="466E4440"/>
    <w:rsid w:val="46761A83"/>
    <w:rsid w:val="467B090B"/>
    <w:rsid w:val="468477C0"/>
    <w:rsid w:val="4685178A"/>
    <w:rsid w:val="46902609"/>
    <w:rsid w:val="469043B7"/>
    <w:rsid w:val="46973B25"/>
    <w:rsid w:val="469A5235"/>
    <w:rsid w:val="469B0FAE"/>
    <w:rsid w:val="469D0882"/>
    <w:rsid w:val="469D4D26"/>
    <w:rsid w:val="46A428E2"/>
    <w:rsid w:val="46AB7B7E"/>
    <w:rsid w:val="46B546AE"/>
    <w:rsid w:val="46BD6B9F"/>
    <w:rsid w:val="46C027C2"/>
    <w:rsid w:val="46C202E8"/>
    <w:rsid w:val="46C422B2"/>
    <w:rsid w:val="46C91677"/>
    <w:rsid w:val="46C95B1B"/>
    <w:rsid w:val="46CF6A32"/>
    <w:rsid w:val="46D70238"/>
    <w:rsid w:val="46D85D5E"/>
    <w:rsid w:val="46D87B0C"/>
    <w:rsid w:val="46DE0983"/>
    <w:rsid w:val="46E37CD8"/>
    <w:rsid w:val="46E92D5E"/>
    <w:rsid w:val="46E97F6B"/>
    <w:rsid w:val="46EB3CE3"/>
    <w:rsid w:val="46EB783F"/>
    <w:rsid w:val="46F030A7"/>
    <w:rsid w:val="46FD7572"/>
    <w:rsid w:val="470152B5"/>
    <w:rsid w:val="47022DDB"/>
    <w:rsid w:val="470703F1"/>
    <w:rsid w:val="47071C74"/>
    <w:rsid w:val="470E1780"/>
    <w:rsid w:val="470E352E"/>
    <w:rsid w:val="471274C2"/>
    <w:rsid w:val="47176886"/>
    <w:rsid w:val="471A45C8"/>
    <w:rsid w:val="471E5E67"/>
    <w:rsid w:val="47217705"/>
    <w:rsid w:val="472F66E6"/>
    <w:rsid w:val="47354F5E"/>
    <w:rsid w:val="47412FF1"/>
    <w:rsid w:val="4743112D"/>
    <w:rsid w:val="475052AE"/>
    <w:rsid w:val="4755115C"/>
    <w:rsid w:val="47571378"/>
    <w:rsid w:val="475953BF"/>
    <w:rsid w:val="47615D53"/>
    <w:rsid w:val="47617B01"/>
    <w:rsid w:val="47653A95"/>
    <w:rsid w:val="476870E2"/>
    <w:rsid w:val="476A10AC"/>
    <w:rsid w:val="476D294A"/>
    <w:rsid w:val="47705F96"/>
    <w:rsid w:val="47745049"/>
    <w:rsid w:val="477535AD"/>
    <w:rsid w:val="477E5CB2"/>
    <w:rsid w:val="478163F5"/>
    <w:rsid w:val="47841A42"/>
    <w:rsid w:val="47863A0C"/>
    <w:rsid w:val="478657BA"/>
    <w:rsid w:val="478665E8"/>
    <w:rsid w:val="478832E0"/>
    <w:rsid w:val="478A67E0"/>
    <w:rsid w:val="478B2DD0"/>
    <w:rsid w:val="478F466E"/>
    <w:rsid w:val="479003E6"/>
    <w:rsid w:val="479355B7"/>
    <w:rsid w:val="47993F84"/>
    <w:rsid w:val="479954ED"/>
    <w:rsid w:val="479E48B1"/>
    <w:rsid w:val="47A0399E"/>
    <w:rsid w:val="47A65E5C"/>
    <w:rsid w:val="47A82020"/>
    <w:rsid w:val="47A83982"/>
    <w:rsid w:val="47AD2D46"/>
    <w:rsid w:val="47B916EB"/>
    <w:rsid w:val="47C06F1E"/>
    <w:rsid w:val="47C54534"/>
    <w:rsid w:val="47C64868"/>
    <w:rsid w:val="47C702AC"/>
    <w:rsid w:val="47C85DD2"/>
    <w:rsid w:val="47CA38F8"/>
    <w:rsid w:val="47D11F54"/>
    <w:rsid w:val="47D22BC7"/>
    <w:rsid w:val="47D326A6"/>
    <w:rsid w:val="47D429C9"/>
    <w:rsid w:val="47D93B3C"/>
    <w:rsid w:val="47EF335F"/>
    <w:rsid w:val="47F13AE9"/>
    <w:rsid w:val="47F15329"/>
    <w:rsid w:val="47F40975"/>
    <w:rsid w:val="47F44E19"/>
    <w:rsid w:val="47F60B91"/>
    <w:rsid w:val="47FF71AB"/>
    <w:rsid w:val="48013092"/>
    <w:rsid w:val="480212E4"/>
    <w:rsid w:val="4803505C"/>
    <w:rsid w:val="480908C5"/>
    <w:rsid w:val="480A1F47"/>
    <w:rsid w:val="4813679C"/>
    <w:rsid w:val="481728B6"/>
    <w:rsid w:val="48217291"/>
    <w:rsid w:val="482254E2"/>
    <w:rsid w:val="4828061F"/>
    <w:rsid w:val="482A4397"/>
    <w:rsid w:val="482D13C8"/>
    <w:rsid w:val="48313978"/>
    <w:rsid w:val="48396CD0"/>
    <w:rsid w:val="483D056E"/>
    <w:rsid w:val="483D07C9"/>
    <w:rsid w:val="483D554C"/>
    <w:rsid w:val="484933FC"/>
    <w:rsid w:val="484D0086"/>
    <w:rsid w:val="485211B4"/>
    <w:rsid w:val="48554C50"/>
    <w:rsid w:val="485710CE"/>
    <w:rsid w:val="48577AB9"/>
    <w:rsid w:val="485B27A2"/>
    <w:rsid w:val="4864156E"/>
    <w:rsid w:val="486755EB"/>
    <w:rsid w:val="487272B0"/>
    <w:rsid w:val="487317C8"/>
    <w:rsid w:val="487F6800"/>
    <w:rsid w:val="48831CF9"/>
    <w:rsid w:val="48897310"/>
    <w:rsid w:val="488A3088"/>
    <w:rsid w:val="488B752C"/>
    <w:rsid w:val="488E4926"/>
    <w:rsid w:val="48931F3C"/>
    <w:rsid w:val="489363E0"/>
    <w:rsid w:val="489932CB"/>
    <w:rsid w:val="489F6B33"/>
    <w:rsid w:val="48AB197C"/>
    <w:rsid w:val="48AB372A"/>
    <w:rsid w:val="48AE321A"/>
    <w:rsid w:val="48AE6D76"/>
    <w:rsid w:val="48AF3319"/>
    <w:rsid w:val="48B224D2"/>
    <w:rsid w:val="48B85E47"/>
    <w:rsid w:val="48BB76E5"/>
    <w:rsid w:val="48BC5937"/>
    <w:rsid w:val="48C12F4D"/>
    <w:rsid w:val="48C7608A"/>
    <w:rsid w:val="48CC544E"/>
    <w:rsid w:val="48CE434F"/>
    <w:rsid w:val="48D0641B"/>
    <w:rsid w:val="48D34A2F"/>
    <w:rsid w:val="48D507A7"/>
    <w:rsid w:val="48D6398B"/>
    <w:rsid w:val="48D6451F"/>
    <w:rsid w:val="48E15E09"/>
    <w:rsid w:val="48E1714C"/>
    <w:rsid w:val="48EB73AD"/>
    <w:rsid w:val="48EB7FCA"/>
    <w:rsid w:val="49023556"/>
    <w:rsid w:val="49025314"/>
    <w:rsid w:val="49044BE8"/>
    <w:rsid w:val="49092EE1"/>
    <w:rsid w:val="49117305"/>
    <w:rsid w:val="49146E08"/>
    <w:rsid w:val="491868E5"/>
    <w:rsid w:val="491D3EFC"/>
    <w:rsid w:val="49221512"/>
    <w:rsid w:val="49235EEE"/>
    <w:rsid w:val="492B03C7"/>
    <w:rsid w:val="492B486B"/>
    <w:rsid w:val="492E6109"/>
    <w:rsid w:val="49311755"/>
    <w:rsid w:val="49331971"/>
    <w:rsid w:val="493549A4"/>
    <w:rsid w:val="49382AE4"/>
    <w:rsid w:val="49437E06"/>
    <w:rsid w:val="4944592C"/>
    <w:rsid w:val="494B0A69"/>
    <w:rsid w:val="494D5EE3"/>
    <w:rsid w:val="49516DE4"/>
    <w:rsid w:val="49583186"/>
    <w:rsid w:val="495F4514"/>
    <w:rsid w:val="495F758F"/>
    <w:rsid w:val="496B7101"/>
    <w:rsid w:val="496C0EBC"/>
    <w:rsid w:val="496E6505"/>
    <w:rsid w:val="49755AE6"/>
    <w:rsid w:val="497C6E74"/>
    <w:rsid w:val="49883A6B"/>
    <w:rsid w:val="49895E52"/>
    <w:rsid w:val="498A77E3"/>
    <w:rsid w:val="498C5DCF"/>
    <w:rsid w:val="499140BE"/>
    <w:rsid w:val="499248EA"/>
    <w:rsid w:val="49935F6C"/>
    <w:rsid w:val="4999531C"/>
    <w:rsid w:val="49A01D61"/>
    <w:rsid w:val="49A95790"/>
    <w:rsid w:val="49AD5192"/>
    <w:rsid w:val="49AD702E"/>
    <w:rsid w:val="49B02FC2"/>
    <w:rsid w:val="49B20AE8"/>
    <w:rsid w:val="49B44860"/>
    <w:rsid w:val="49B52386"/>
    <w:rsid w:val="49B54134"/>
    <w:rsid w:val="49BC3715"/>
    <w:rsid w:val="49C10D2B"/>
    <w:rsid w:val="49C56A6D"/>
    <w:rsid w:val="49CA5E32"/>
    <w:rsid w:val="49CB3958"/>
    <w:rsid w:val="49D01A86"/>
    <w:rsid w:val="49D96075"/>
    <w:rsid w:val="49E11E95"/>
    <w:rsid w:val="49E22A33"/>
    <w:rsid w:val="49E36EF3"/>
    <w:rsid w:val="49ED1B20"/>
    <w:rsid w:val="49EF0FBA"/>
    <w:rsid w:val="49EF7646"/>
    <w:rsid w:val="49F904C5"/>
    <w:rsid w:val="4A001853"/>
    <w:rsid w:val="4A05330E"/>
    <w:rsid w:val="4A057E6B"/>
    <w:rsid w:val="4A062BE2"/>
    <w:rsid w:val="4A072E04"/>
    <w:rsid w:val="4A084BAC"/>
    <w:rsid w:val="4A08695A"/>
    <w:rsid w:val="4A0D21C2"/>
    <w:rsid w:val="4A113A61"/>
    <w:rsid w:val="4A176B9D"/>
    <w:rsid w:val="4A233794"/>
    <w:rsid w:val="4A280DAA"/>
    <w:rsid w:val="4A323C48"/>
    <w:rsid w:val="4A3B288C"/>
    <w:rsid w:val="4A431740"/>
    <w:rsid w:val="4A435BE4"/>
    <w:rsid w:val="4A581909"/>
    <w:rsid w:val="4A590F64"/>
    <w:rsid w:val="4A5D0A54"/>
    <w:rsid w:val="4A62250E"/>
    <w:rsid w:val="4A631DE2"/>
    <w:rsid w:val="4A6C0C97"/>
    <w:rsid w:val="4A791606"/>
    <w:rsid w:val="4A7F5F45"/>
    <w:rsid w:val="4A8073FC"/>
    <w:rsid w:val="4A8211C7"/>
    <w:rsid w:val="4A842484"/>
    <w:rsid w:val="4A86362B"/>
    <w:rsid w:val="4A930919"/>
    <w:rsid w:val="4A9621B8"/>
    <w:rsid w:val="4A9B5A20"/>
    <w:rsid w:val="4AA20B5D"/>
    <w:rsid w:val="4AA76173"/>
    <w:rsid w:val="4AAC19DB"/>
    <w:rsid w:val="4AAD305D"/>
    <w:rsid w:val="4AAF5028"/>
    <w:rsid w:val="4ABB577A"/>
    <w:rsid w:val="4ABD7744"/>
    <w:rsid w:val="4AC13E30"/>
    <w:rsid w:val="4AC7411F"/>
    <w:rsid w:val="4AC960E9"/>
    <w:rsid w:val="4ACE1952"/>
    <w:rsid w:val="4AD36F68"/>
    <w:rsid w:val="4ADE3D60"/>
    <w:rsid w:val="4AE41FC1"/>
    <w:rsid w:val="4AE66BEE"/>
    <w:rsid w:val="4AFB201B"/>
    <w:rsid w:val="4AFD2237"/>
    <w:rsid w:val="4AFD5D93"/>
    <w:rsid w:val="4B076C12"/>
    <w:rsid w:val="4B182BCD"/>
    <w:rsid w:val="4B21720B"/>
    <w:rsid w:val="4B2D09D0"/>
    <w:rsid w:val="4B315A3D"/>
    <w:rsid w:val="4B375749"/>
    <w:rsid w:val="4B3D40BA"/>
    <w:rsid w:val="4B4022CA"/>
    <w:rsid w:val="4B46598C"/>
    <w:rsid w:val="4B4E4840"/>
    <w:rsid w:val="4B5701A7"/>
    <w:rsid w:val="4B5736F5"/>
    <w:rsid w:val="4B596751"/>
    <w:rsid w:val="4B5D6832"/>
    <w:rsid w:val="4B5F07FC"/>
    <w:rsid w:val="4B62209A"/>
    <w:rsid w:val="4B6B53F2"/>
    <w:rsid w:val="4B6B6A70"/>
    <w:rsid w:val="4B6C26CB"/>
    <w:rsid w:val="4B797B0F"/>
    <w:rsid w:val="4B7C7600"/>
    <w:rsid w:val="4B83273C"/>
    <w:rsid w:val="4B84124D"/>
    <w:rsid w:val="4B8509C1"/>
    <w:rsid w:val="4B855CDC"/>
    <w:rsid w:val="4B8600DF"/>
    <w:rsid w:val="4B863FDA"/>
    <w:rsid w:val="4B887D52"/>
    <w:rsid w:val="4B8B339F"/>
    <w:rsid w:val="4B8E10E1"/>
    <w:rsid w:val="4B8F7333"/>
    <w:rsid w:val="4B931AB6"/>
    <w:rsid w:val="4B9506C1"/>
    <w:rsid w:val="4B971D44"/>
    <w:rsid w:val="4BA10E14"/>
    <w:rsid w:val="4BA206E8"/>
    <w:rsid w:val="4BA32825"/>
    <w:rsid w:val="4BA82530"/>
    <w:rsid w:val="4BA91A77"/>
    <w:rsid w:val="4BAE52DF"/>
    <w:rsid w:val="4BAF3531"/>
    <w:rsid w:val="4BAF3C6B"/>
    <w:rsid w:val="4BB40B47"/>
    <w:rsid w:val="4BBC5C4E"/>
    <w:rsid w:val="4BBD5522"/>
    <w:rsid w:val="4BC13264"/>
    <w:rsid w:val="4BC30D8B"/>
    <w:rsid w:val="4BC36FDC"/>
    <w:rsid w:val="4BC44A01"/>
    <w:rsid w:val="4BCD1C09"/>
    <w:rsid w:val="4BCE14DD"/>
    <w:rsid w:val="4BDA60D4"/>
    <w:rsid w:val="4BDF193C"/>
    <w:rsid w:val="4BE53863"/>
    <w:rsid w:val="4BE551A5"/>
    <w:rsid w:val="4BE56F53"/>
    <w:rsid w:val="4BE60F1D"/>
    <w:rsid w:val="4BEE4070"/>
    <w:rsid w:val="4BF4132A"/>
    <w:rsid w:val="4BF47196"/>
    <w:rsid w:val="4BF61160"/>
    <w:rsid w:val="4BFC429C"/>
    <w:rsid w:val="4C0118B3"/>
    <w:rsid w:val="4C035E32"/>
    <w:rsid w:val="4C080E93"/>
    <w:rsid w:val="4C0F2222"/>
    <w:rsid w:val="4C105765"/>
    <w:rsid w:val="4C147838"/>
    <w:rsid w:val="4C172E84"/>
    <w:rsid w:val="4C235CCD"/>
    <w:rsid w:val="4C261319"/>
    <w:rsid w:val="4C2D08FA"/>
    <w:rsid w:val="4C341C88"/>
    <w:rsid w:val="4C360DAD"/>
    <w:rsid w:val="4C3C7520"/>
    <w:rsid w:val="4C3E6663"/>
    <w:rsid w:val="4C481290"/>
    <w:rsid w:val="4C4A14AC"/>
    <w:rsid w:val="4C4A5008"/>
    <w:rsid w:val="4C4F1E34"/>
    <w:rsid w:val="4C523EBC"/>
    <w:rsid w:val="4C545E87"/>
    <w:rsid w:val="4C567E51"/>
    <w:rsid w:val="4C575977"/>
    <w:rsid w:val="4C5C2F8D"/>
    <w:rsid w:val="4C627A96"/>
    <w:rsid w:val="4C651E42"/>
    <w:rsid w:val="4C681932"/>
    <w:rsid w:val="4C6870EB"/>
    <w:rsid w:val="4C714E75"/>
    <w:rsid w:val="4C7D5CAE"/>
    <w:rsid w:val="4C8449BE"/>
    <w:rsid w:val="4C854292"/>
    <w:rsid w:val="4C8D1398"/>
    <w:rsid w:val="4C9269AF"/>
    <w:rsid w:val="4C934C01"/>
    <w:rsid w:val="4C940979"/>
    <w:rsid w:val="4C9E7102"/>
    <w:rsid w:val="4CA7326E"/>
    <w:rsid w:val="4CAD655A"/>
    <w:rsid w:val="4CB22BAD"/>
    <w:rsid w:val="4CBD3A2C"/>
    <w:rsid w:val="4CBE3209"/>
    <w:rsid w:val="4CC27294"/>
    <w:rsid w:val="4CC34DBA"/>
    <w:rsid w:val="4CC4300C"/>
    <w:rsid w:val="4CCF550D"/>
    <w:rsid w:val="4CD451B2"/>
    <w:rsid w:val="4CD6689C"/>
    <w:rsid w:val="4CDF7E46"/>
    <w:rsid w:val="4CE23492"/>
    <w:rsid w:val="4CE4545C"/>
    <w:rsid w:val="4CED77C7"/>
    <w:rsid w:val="4CEE0CE9"/>
    <w:rsid w:val="4CF60CEC"/>
    <w:rsid w:val="4CF70039"/>
    <w:rsid w:val="4CF77A09"/>
    <w:rsid w:val="4CF805A8"/>
    <w:rsid w:val="4CFF2296"/>
    <w:rsid w:val="4D001B6A"/>
    <w:rsid w:val="4D007DBC"/>
    <w:rsid w:val="4D096C71"/>
    <w:rsid w:val="4D0B2CA0"/>
    <w:rsid w:val="4D0E4287"/>
    <w:rsid w:val="4D111FCA"/>
    <w:rsid w:val="4D1D271C"/>
    <w:rsid w:val="4D227D33"/>
    <w:rsid w:val="4D292E6F"/>
    <w:rsid w:val="4D29404E"/>
    <w:rsid w:val="4D2B308B"/>
    <w:rsid w:val="4D31441A"/>
    <w:rsid w:val="4D365861"/>
    <w:rsid w:val="4D387556"/>
    <w:rsid w:val="4D3A507C"/>
    <w:rsid w:val="4D3A543A"/>
    <w:rsid w:val="4D4753C7"/>
    <w:rsid w:val="4D491763"/>
    <w:rsid w:val="4D493511"/>
    <w:rsid w:val="4D693BB4"/>
    <w:rsid w:val="4D6E2F78"/>
    <w:rsid w:val="4D711B94"/>
    <w:rsid w:val="4D866514"/>
    <w:rsid w:val="4D8B55C5"/>
    <w:rsid w:val="4D902EEE"/>
    <w:rsid w:val="4D930C30"/>
    <w:rsid w:val="4D96420E"/>
    <w:rsid w:val="4D9C7AE5"/>
    <w:rsid w:val="4D9E1AAF"/>
    <w:rsid w:val="4D9E7067"/>
    <w:rsid w:val="4D9F3131"/>
    <w:rsid w:val="4DA049DF"/>
    <w:rsid w:val="4DA1334D"/>
    <w:rsid w:val="4DAB7D28"/>
    <w:rsid w:val="4DB12E65"/>
    <w:rsid w:val="4DB22585"/>
    <w:rsid w:val="4DB7491F"/>
    <w:rsid w:val="4DBC0187"/>
    <w:rsid w:val="4DBC3CE3"/>
    <w:rsid w:val="4DC40DEA"/>
    <w:rsid w:val="4DC4703C"/>
    <w:rsid w:val="4DC96400"/>
    <w:rsid w:val="4DCA28A4"/>
    <w:rsid w:val="4DCB03CA"/>
    <w:rsid w:val="4DCB2A58"/>
    <w:rsid w:val="4DCD4142"/>
    <w:rsid w:val="4DD059E1"/>
    <w:rsid w:val="4DD70B1D"/>
    <w:rsid w:val="4DDA060D"/>
    <w:rsid w:val="4DDE00FE"/>
    <w:rsid w:val="4DDE1EAC"/>
    <w:rsid w:val="4DE33966"/>
    <w:rsid w:val="4DED0341"/>
    <w:rsid w:val="4DF400B5"/>
    <w:rsid w:val="4DF44037"/>
    <w:rsid w:val="4DF53699"/>
    <w:rsid w:val="4DFA2A5E"/>
    <w:rsid w:val="4DFB22AF"/>
    <w:rsid w:val="4DFE60AA"/>
    <w:rsid w:val="4E00263F"/>
    <w:rsid w:val="4E031912"/>
    <w:rsid w:val="4E086A81"/>
    <w:rsid w:val="4E0B07C7"/>
    <w:rsid w:val="4E0E49F1"/>
    <w:rsid w:val="4E0E5A12"/>
    <w:rsid w:val="4E10402F"/>
    <w:rsid w:val="4E1753BE"/>
    <w:rsid w:val="4E177D2B"/>
    <w:rsid w:val="4E1B3100"/>
    <w:rsid w:val="4E1B6731"/>
    <w:rsid w:val="4E1C29D4"/>
    <w:rsid w:val="4E231FB4"/>
    <w:rsid w:val="4E265601"/>
    <w:rsid w:val="4E281379"/>
    <w:rsid w:val="4E2B0E69"/>
    <w:rsid w:val="4E2C49BF"/>
    <w:rsid w:val="4E2D342F"/>
    <w:rsid w:val="4E2D698F"/>
    <w:rsid w:val="4E3221F7"/>
    <w:rsid w:val="4E3917D8"/>
    <w:rsid w:val="4E39670D"/>
    <w:rsid w:val="4E411FA5"/>
    <w:rsid w:val="4E485577"/>
    <w:rsid w:val="4E551509"/>
    <w:rsid w:val="4E5626CB"/>
    <w:rsid w:val="4E571C5E"/>
    <w:rsid w:val="4E581E19"/>
    <w:rsid w:val="4E5E2FEC"/>
    <w:rsid w:val="4E612ADD"/>
    <w:rsid w:val="4E636855"/>
    <w:rsid w:val="4E697333"/>
    <w:rsid w:val="4E6B74B7"/>
    <w:rsid w:val="4E6D0ABA"/>
    <w:rsid w:val="4E6F0D56"/>
    <w:rsid w:val="4E6F51FA"/>
    <w:rsid w:val="4E7E543D"/>
    <w:rsid w:val="4E8011B5"/>
    <w:rsid w:val="4E816CDB"/>
    <w:rsid w:val="4E8328D5"/>
    <w:rsid w:val="4E8C5DAC"/>
    <w:rsid w:val="4E9133C2"/>
    <w:rsid w:val="4E9E60B6"/>
    <w:rsid w:val="4EA567DE"/>
    <w:rsid w:val="4EA76741"/>
    <w:rsid w:val="4EAD7AD0"/>
    <w:rsid w:val="4EAF1D25"/>
    <w:rsid w:val="4EB6433D"/>
    <w:rsid w:val="4EB64BD7"/>
    <w:rsid w:val="4EB8094F"/>
    <w:rsid w:val="4EBD5F65"/>
    <w:rsid w:val="4EBE20E6"/>
    <w:rsid w:val="4EBE7F2F"/>
    <w:rsid w:val="4EC70613"/>
    <w:rsid w:val="4ECF7A46"/>
    <w:rsid w:val="4ED129DC"/>
    <w:rsid w:val="4ED27537"/>
    <w:rsid w:val="4ED60DD5"/>
    <w:rsid w:val="4ED72381"/>
    <w:rsid w:val="4ED92673"/>
    <w:rsid w:val="4EE10A3A"/>
    <w:rsid w:val="4EE2777A"/>
    <w:rsid w:val="4EED444F"/>
    <w:rsid w:val="4EEE4370"/>
    <w:rsid w:val="4EEF28F5"/>
    <w:rsid w:val="4EF61477"/>
    <w:rsid w:val="4EFB1622"/>
    <w:rsid w:val="4F041DA9"/>
    <w:rsid w:val="4F041DE6"/>
    <w:rsid w:val="4F0A0B7D"/>
    <w:rsid w:val="4F0B04A7"/>
    <w:rsid w:val="4F0C47F7"/>
    <w:rsid w:val="4F134B35"/>
    <w:rsid w:val="4F293C72"/>
    <w:rsid w:val="4F304989"/>
    <w:rsid w:val="4F323738"/>
    <w:rsid w:val="4F351F9F"/>
    <w:rsid w:val="4F367AC5"/>
    <w:rsid w:val="4F3F4BCC"/>
    <w:rsid w:val="4F4D74C0"/>
    <w:rsid w:val="4F507262"/>
    <w:rsid w:val="4F5148FF"/>
    <w:rsid w:val="4F5166AD"/>
    <w:rsid w:val="4F55619D"/>
    <w:rsid w:val="4F5E512C"/>
    <w:rsid w:val="4F6178F6"/>
    <w:rsid w:val="4F710059"/>
    <w:rsid w:val="4F710579"/>
    <w:rsid w:val="4F7725B8"/>
    <w:rsid w:val="4F7F2BA1"/>
    <w:rsid w:val="4F813436"/>
    <w:rsid w:val="4F9A44F8"/>
    <w:rsid w:val="4F9E636D"/>
    <w:rsid w:val="4F9F566B"/>
    <w:rsid w:val="4FA47125"/>
    <w:rsid w:val="4FA90297"/>
    <w:rsid w:val="4FB05ACA"/>
    <w:rsid w:val="4FB54E8E"/>
    <w:rsid w:val="4FBC446F"/>
    <w:rsid w:val="4FBD3D43"/>
    <w:rsid w:val="4FC82E13"/>
    <w:rsid w:val="4FC8399D"/>
    <w:rsid w:val="4FC96B8B"/>
    <w:rsid w:val="4FCD667C"/>
    <w:rsid w:val="4FD317B8"/>
    <w:rsid w:val="4FD572DE"/>
    <w:rsid w:val="4FD61F35"/>
    <w:rsid w:val="4FD669B8"/>
    <w:rsid w:val="4FD73056"/>
    <w:rsid w:val="4FD86DCF"/>
    <w:rsid w:val="4FE63299"/>
    <w:rsid w:val="4FF0349D"/>
    <w:rsid w:val="4FF26337"/>
    <w:rsid w:val="4FF359B6"/>
    <w:rsid w:val="4FF97471"/>
    <w:rsid w:val="4FFC0D0F"/>
    <w:rsid w:val="4FFF0D8A"/>
    <w:rsid w:val="50067C12"/>
    <w:rsid w:val="50080242"/>
    <w:rsid w:val="500E27F0"/>
    <w:rsid w:val="500E3FA9"/>
    <w:rsid w:val="50106568"/>
    <w:rsid w:val="501174D1"/>
    <w:rsid w:val="50131BB5"/>
    <w:rsid w:val="501871CB"/>
    <w:rsid w:val="50242014"/>
    <w:rsid w:val="502918AA"/>
    <w:rsid w:val="502B33A2"/>
    <w:rsid w:val="502C341E"/>
    <w:rsid w:val="50326C26"/>
    <w:rsid w:val="5038102A"/>
    <w:rsid w:val="503C55AF"/>
    <w:rsid w:val="503E30D6"/>
    <w:rsid w:val="50485D02"/>
    <w:rsid w:val="504B2B91"/>
    <w:rsid w:val="504E494E"/>
    <w:rsid w:val="504F0E3F"/>
    <w:rsid w:val="5051105B"/>
    <w:rsid w:val="50591CBD"/>
    <w:rsid w:val="505A5A36"/>
    <w:rsid w:val="50610B72"/>
    <w:rsid w:val="506348EA"/>
    <w:rsid w:val="506616A5"/>
    <w:rsid w:val="50697A27"/>
    <w:rsid w:val="506A5C79"/>
    <w:rsid w:val="506D39BB"/>
    <w:rsid w:val="50744D49"/>
    <w:rsid w:val="50746AF7"/>
    <w:rsid w:val="507950F0"/>
    <w:rsid w:val="50795EBC"/>
    <w:rsid w:val="507D3D1D"/>
    <w:rsid w:val="507F724A"/>
    <w:rsid w:val="50836D3A"/>
    <w:rsid w:val="50842203"/>
    <w:rsid w:val="50854860"/>
    <w:rsid w:val="508D7BB9"/>
    <w:rsid w:val="508F4A82"/>
    <w:rsid w:val="50903205"/>
    <w:rsid w:val="5090545C"/>
    <w:rsid w:val="509433F5"/>
    <w:rsid w:val="509C604E"/>
    <w:rsid w:val="50A0169A"/>
    <w:rsid w:val="50A32F39"/>
    <w:rsid w:val="50A702EA"/>
    <w:rsid w:val="50A849F3"/>
    <w:rsid w:val="50B213CE"/>
    <w:rsid w:val="50B769E4"/>
    <w:rsid w:val="50BB4E97"/>
    <w:rsid w:val="50BE3BB6"/>
    <w:rsid w:val="50C07F8E"/>
    <w:rsid w:val="50C57353"/>
    <w:rsid w:val="50CF3D2E"/>
    <w:rsid w:val="50D41344"/>
    <w:rsid w:val="50D476A7"/>
    <w:rsid w:val="50DA2DB1"/>
    <w:rsid w:val="50DB3D34"/>
    <w:rsid w:val="50DD28EE"/>
    <w:rsid w:val="50DE21C3"/>
    <w:rsid w:val="50EA52AF"/>
    <w:rsid w:val="50ED0658"/>
    <w:rsid w:val="50EF43D0"/>
    <w:rsid w:val="50F23CDB"/>
    <w:rsid w:val="50FD6AED"/>
    <w:rsid w:val="50FE0CB7"/>
    <w:rsid w:val="50FE4613"/>
    <w:rsid w:val="51085492"/>
    <w:rsid w:val="510A120A"/>
    <w:rsid w:val="510C6D30"/>
    <w:rsid w:val="51145BE4"/>
    <w:rsid w:val="51177FF0"/>
    <w:rsid w:val="51183927"/>
    <w:rsid w:val="5119144D"/>
    <w:rsid w:val="511947C5"/>
    <w:rsid w:val="51204589"/>
    <w:rsid w:val="512247A5"/>
    <w:rsid w:val="512322CB"/>
    <w:rsid w:val="51254295"/>
    <w:rsid w:val="512A365A"/>
    <w:rsid w:val="512A6844"/>
    <w:rsid w:val="512E314A"/>
    <w:rsid w:val="51312C3A"/>
    <w:rsid w:val="513B13C3"/>
    <w:rsid w:val="51422751"/>
    <w:rsid w:val="51426BF5"/>
    <w:rsid w:val="514C730E"/>
    <w:rsid w:val="51532BB1"/>
    <w:rsid w:val="515E2B1E"/>
    <w:rsid w:val="515F1555"/>
    <w:rsid w:val="515F7B5F"/>
    <w:rsid w:val="51624BA2"/>
    <w:rsid w:val="516B614C"/>
    <w:rsid w:val="516E18FA"/>
    <w:rsid w:val="516F72BF"/>
    <w:rsid w:val="517C428D"/>
    <w:rsid w:val="517D5E7F"/>
    <w:rsid w:val="5181771E"/>
    <w:rsid w:val="51827D47"/>
    <w:rsid w:val="518A40F8"/>
    <w:rsid w:val="518A5EA7"/>
    <w:rsid w:val="518A7661"/>
    <w:rsid w:val="51976F41"/>
    <w:rsid w:val="519A433C"/>
    <w:rsid w:val="51A056CA"/>
    <w:rsid w:val="51A15657"/>
    <w:rsid w:val="51A72EFC"/>
    <w:rsid w:val="51A76A58"/>
    <w:rsid w:val="51AC51CB"/>
    <w:rsid w:val="51B11685"/>
    <w:rsid w:val="51B55619"/>
    <w:rsid w:val="51B573C7"/>
    <w:rsid w:val="51D3784E"/>
    <w:rsid w:val="51D57A6A"/>
    <w:rsid w:val="51E1640E"/>
    <w:rsid w:val="51E30719"/>
    <w:rsid w:val="51E732F9"/>
    <w:rsid w:val="51F97930"/>
    <w:rsid w:val="51FA127E"/>
    <w:rsid w:val="51FC6DA4"/>
    <w:rsid w:val="51FF6894"/>
    <w:rsid w:val="520143BB"/>
    <w:rsid w:val="52055A1F"/>
    <w:rsid w:val="520C2D5F"/>
    <w:rsid w:val="520C4428"/>
    <w:rsid w:val="520E6AD8"/>
    <w:rsid w:val="52102850"/>
    <w:rsid w:val="5221680B"/>
    <w:rsid w:val="52304CA0"/>
    <w:rsid w:val="52326C6A"/>
    <w:rsid w:val="523C1897"/>
    <w:rsid w:val="523F1387"/>
    <w:rsid w:val="524D13AE"/>
    <w:rsid w:val="52552958"/>
    <w:rsid w:val="52554706"/>
    <w:rsid w:val="52580356"/>
    <w:rsid w:val="525941F7"/>
    <w:rsid w:val="526130AB"/>
    <w:rsid w:val="5264494A"/>
    <w:rsid w:val="52666914"/>
    <w:rsid w:val="5266714D"/>
    <w:rsid w:val="526D37FE"/>
    <w:rsid w:val="52720E14"/>
    <w:rsid w:val="52733D7F"/>
    <w:rsid w:val="527903F5"/>
    <w:rsid w:val="52903990"/>
    <w:rsid w:val="529214B7"/>
    <w:rsid w:val="52950FA7"/>
    <w:rsid w:val="52A35472"/>
    <w:rsid w:val="52B21B59"/>
    <w:rsid w:val="52B4142D"/>
    <w:rsid w:val="52B65D33"/>
    <w:rsid w:val="52B7716F"/>
    <w:rsid w:val="52BB5860"/>
    <w:rsid w:val="52CC2C1B"/>
    <w:rsid w:val="52E3448B"/>
    <w:rsid w:val="52E87329"/>
    <w:rsid w:val="52F42171"/>
    <w:rsid w:val="52F43F1F"/>
    <w:rsid w:val="530028C4"/>
    <w:rsid w:val="530B1DCC"/>
    <w:rsid w:val="530C3017"/>
    <w:rsid w:val="530F6FAB"/>
    <w:rsid w:val="531262E7"/>
    <w:rsid w:val="53171462"/>
    <w:rsid w:val="53226CDE"/>
    <w:rsid w:val="5325232B"/>
    <w:rsid w:val="53364538"/>
    <w:rsid w:val="533B56AA"/>
    <w:rsid w:val="533D58C6"/>
    <w:rsid w:val="533E1C2E"/>
    <w:rsid w:val="53400F13"/>
    <w:rsid w:val="53422EDD"/>
    <w:rsid w:val="53452EE6"/>
    <w:rsid w:val="534976B3"/>
    <w:rsid w:val="534A1D91"/>
    <w:rsid w:val="534D53DE"/>
    <w:rsid w:val="534F1156"/>
    <w:rsid w:val="534F55FA"/>
    <w:rsid w:val="53514ECE"/>
    <w:rsid w:val="53536E98"/>
    <w:rsid w:val="535449BE"/>
    <w:rsid w:val="535F3A8F"/>
    <w:rsid w:val="53613DE6"/>
    <w:rsid w:val="5362532D"/>
    <w:rsid w:val="53650979"/>
    <w:rsid w:val="53656BCB"/>
    <w:rsid w:val="53682217"/>
    <w:rsid w:val="536966BB"/>
    <w:rsid w:val="536A41E2"/>
    <w:rsid w:val="536C61AC"/>
    <w:rsid w:val="536E3CD2"/>
    <w:rsid w:val="537B63EF"/>
    <w:rsid w:val="53806410"/>
    <w:rsid w:val="53871716"/>
    <w:rsid w:val="53874D93"/>
    <w:rsid w:val="538928BA"/>
    <w:rsid w:val="538B4884"/>
    <w:rsid w:val="538E5CEB"/>
    <w:rsid w:val="538F3C48"/>
    <w:rsid w:val="53937294"/>
    <w:rsid w:val="5394125E"/>
    <w:rsid w:val="53951D31"/>
    <w:rsid w:val="53963603"/>
    <w:rsid w:val="53A2229D"/>
    <w:rsid w:val="53A414A2"/>
    <w:rsid w:val="53A5521A"/>
    <w:rsid w:val="53AA2830"/>
    <w:rsid w:val="53B06098"/>
    <w:rsid w:val="53B67427"/>
    <w:rsid w:val="53BD6EA5"/>
    <w:rsid w:val="53BF452D"/>
    <w:rsid w:val="53D31D87"/>
    <w:rsid w:val="53E04AE9"/>
    <w:rsid w:val="53E977FC"/>
    <w:rsid w:val="53EC3828"/>
    <w:rsid w:val="53EC6EBC"/>
    <w:rsid w:val="53F046E7"/>
    <w:rsid w:val="53F36F74"/>
    <w:rsid w:val="5415239F"/>
    <w:rsid w:val="541F4FCC"/>
    <w:rsid w:val="541F6D7A"/>
    <w:rsid w:val="54244390"/>
    <w:rsid w:val="542645AC"/>
    <w:rsid w:val="542F70DE"/>
    <w:rsid w:val="54324CFF"/>
    <w:rsid w:val="5438608E"/>
    <w:rsid w:val="543E18F6"/>
    <w:rsid w:val="543F566E"/>
    <w:rsid w:val="544113E6"/>
    <w:rsid w:val="544C37FD"/>
    <w:rsid w:val="54505185"/>
    <w:rsid w:val="54544E81"/>
    <w:rsid w:val="545729B8"/>
    <w:rsid w:val="5457656B"/>
    <w:rsid w:val="545804DE"/>
    <w:rsid w:val="5458228C"/>
    <w:rsid w:val="545C3B2A"/>
    <w:rsid w:val="546F63CD"/>
    <w:rsid w:val="547075D6"/>
    <w:rsid w:val="547215A0"/>
    <w:rsid w:val="54745318"/>
    <w:rsid w:val="54752E3E"/>
    <w:rsid w:val="548811A0"/>
    <w:rsid w:val="548F2152"/>
    <w:rsid w:val="54901A26"/>
    <w:rsid w:val="54931516"/>
    <w:rsid w:val="54962A1D"/>
    <w:rsid w:val="549F610D"/>
    <w:rsid w:val="54A454D1"/>
    <w:rsid w:val="54A60DA6"/>
    <w:rsid w:val="54A61249"/>
    <w:rsid w:val="54A84FC1"/>
    <w:rsid w:val="54B020C8"/>
    <w:rsid w:val="54B03E76"/>
    <w:rsid w:val="54B41BB8"/>
    <w:rsid w:val="54BB2F47"/>
    <w:rsid w:val="54BC6CBF"/>
    <w:rsid w:val="54C067AF"/>
    <w:rsid w:val="54C811C0"/>
    <w:rsid w:val="54D67D81"/>
    <w:rsid w:val="54DB5397"/>
    <w:rsid w:val="54DF6509"/>
    <w:rsid w:val="54E56216"/>
    <w:rsid w:val="54E57FC4"/>
    <w:rsid w:val="54F22D84"/>
    <w:rsid w:val="54F5099E"/>
    <w:rsid w:val="54FE5A7F"/>
    <w:rsid w:val="54FF095A"/>
    <w:rsid w:val="55012924"/>
    <w:rsid w:val="5512068D"/>
    <w:rsid w:val="551620AC"/>
    <w:rsid w:val="5517212A"/>
    <w:rsid w:val="551B39E5"/>
    <w:rsid w:val="551E5284"/>
    <w:rsid w:val="55344AA7"/>
    <w:rsid w:val="553D46AE"/>
    <w:rsid w:val="554219EC"/>
    <w:rsid w:val="55456CB4"/>
    <w:rsid w:val="55480F58"/>
    <w:rsid w:val="5552474F"/>
    <w:rsid w:val="55560EC1"/>
    <w:rsid w:val="55592760"/>
    <w:rsid w:val="555A0DDC"/>
    <w:rsid w:val="555A336D"/>
    <w:rsid w:val="555C405D"/>
    <w:rsid w:val="55630EE8"/>
    <w:rsid w:val="5563713A"/>
    <w:rsid w:val="55651BAC"/>
    <w:rsid w:val="556F3D31"/>
    <w:rsid w:val="55717AA9"/>
    <w:rsid w:val="557650C0"/>
    <w:rsid w:val="557D4AFD"/>
    <w:rsid w:val="558A2919"/>
    <w:rsid w:val="558F1CDD"/>
    <w:rsid w:val="558F6181"/>
    <w:rsid w:val="5590198F"/>
    <w:rsid w:val="55913CA7"/>
    <w:rsid w:val="559317CE"/>
    <w:rsid w:val="559612BE"/>
    <w:rsid w:val="5596306C"/>
    <w:rsid w:val="55967510"/>
    <w:rsid w:val="559F4B90"/>
    <w:rsid w:val="55A3078C"/>
    <w:rsid w:val="55A41C2D"/>
    <w:rsid w:val="55A51501"/>
    <w:rsid w:val="55A734CB"/>
    <w:rsid w:val="55A84294"/>
    <w:rsid w:val="55AC0AE1"/>
    <w:rsid w:val="55AE4859"/>
    <w:rsid w:val="55B179A0"/>
    <w:rsid w:val="55B61960"/>
    <w:rsid w:val="55B668EA"/>
    <w:rsid w:val="55BC4EED"/>
    <w:rsid w:val="55BD684B"/>
    <w:rsid w:val="55C53951"/>
    <w:rsid w:val="55CE0A58"/>
    <w:rsid w:val="55CE2806"/>
    <w:rsid w:val="55D1679A"/>
    <w:rsid w:val="55D16F8A"/>
    <w:rsid w:val="55D911AB"/>
    <w:rsid w:val="55DF4A13"/>
    <w:rsid w:val="55E22755"/>
    <w:rsid w:val="55E42029"/>
    <w:rsid w:val="55E53FF3"/>
    <w:rsid w:val="55EB123E"/>
    <w:rsid w:val="55EC35D4"/>
    <w:rsid w:val="55EF10B1"/>
    <w:rsid w:val="55F34962"/>
    <w:rsid w:val="55F36710"/>
    <w:rsid w:val="55F83D27"/>
    <w:rsid w:val="55FF3307"/>
    <w:rsid w:val="55FF6E63"/>
    <w:rsid w:val="55FFF5DE"/>
    <w:rsid w:val="560E70A6"/>
    <w:rsid w:val="56114DE8"/>
    <w:rsid w:val="56130B60"/>
    <w:rsid w:val="561346BC"/>
    <w:rsid w:val="56156687"/>
    <w:rsid w:val="56187F25"/>
    <w:rsid w:val="56196B86"/>
    <w:rsid w:val="561F5757"/>
    <w:rsid w:val="56206DD9"/>
    <w:rsid w:val="564231F4"/>
    <w:rsid w:val="56456671"/>
    <w:rsid w:val="56466840"/>
    <w:rsid w:val="5648259F"/>
    <w:rsid w:val="564C5E20"/>
    <w:rsid w:val="564C7BCE"/>
    <w:rsid w:val="564E1B99"/>
    <w:rsid w:val="564E7DEA"/>
    <w:rsid w:val="56552F27"/>
    <w:rsid w:val="56572130"/>
    <w:rsid w:val="565730C7"/>
    <w:rsid w:val="56582A17"/>
    <w:rsid w:val="5661367A"/>
    <w:rsid w:val="56682C5A"/>
    <w:rsid w:val="5669226E"/>
    <w:rsid w:val="566D64C3"/>
    <w:rsid w:val="567A473C"/>
    <w:rsid w:val="567D422C"/>
    <w:rsid w:val="5683561C"/>
    <w:rsid w:val="56867584"/>
    <w:rsid w:val="568D446F"/>
    <w:rsid w:val="568E6439"/>
    <w:rsid w:val="568F468B"/>
    <w:rsid w:val="56933A4F"/>
    <w:rsid w:val="569E48CE"/>
    <w:rsid w:val="56A30136"/>
    <w:rsid w:val="56A812A9"/>
    <w:rsid w:val="56B23ED5"/>
    <w:rsid w:val="56BD0B46"/>
    <w:rsid w:val="56BF15B2"/>
    <w:rsid w:val="56BF20BE"/>
    <w:rsid w:val="56C31EE8"/>
    <w:rsid w:val="56C500AD"/>
    <w:rsid w:val="56CA56C3"/>
    <w:rsid w:val="56CD0D0F"/>
    <w:rsid w:val="56CD6F61"/>
    <w:rsid w:val="56D007FF"/>
    <w:rsid w:val="56D26326"/>
    <w:rsid w:val="56D402F0"/>
    <w:rsid w:val="56D54068"/>
    <w:rsid w:val="56D55286"/>
    <w:rsid w:val="56D848CE"/>
    <w:rsid w:val="56DA167E"/>
    <w:rsid w:val="56DA342C"/>
    <w:rsid w:val="56DB78D0"/>
    <w:rsid w:val="56DF15AE"/>
    <w:rsid w:val="56E11498"/>
    <w:rsid w:val="56E542AB"/>
    <w:rsid w:val="56E9366F"/>
    <w:rsid w:val="56F269C8"/>
    <w:rsid w:val="56F3629C"/>
    <w:rsid w:val="56F40992"/>
    <w:rsid w:val="56FA587C"/>
    <w:rsid w:val="56FA762A"/>
    <w:rsid w:val="56FE4C8C"/>
    <w:rsid w:val="56FFC53F"/>
    <w:rsid w:val="57030BD5"/>
    <w:rsid w:val="570F1328"/>
    <w:rsid w:val="5726041F"/>
    <w:rsid w:val="57272975"/>
    <w:rsid w:val="572A43B4"/>
    <w:rsid w:val="572A6162"/>
    <w:rsid w:val="572B3C88"/>
    <w:rsid w:val="57342B3C"/>
    <w:rsid w:val="57390153"/>
    <w:rsid w:val="57392849"/>
    <w:rsid w:val="573A3ECB"/>
    <w:rsid w:val="573C7C43"/>
    <w:rsid w:val="57430FD1"/>
    <w:rsid w:val="57482A8C"/>
    <w:rsid w:val="57483605"/>
    <w:rsid w:val="574B60D8"/>
    <w:rsid w:val="574F7976"/>
    <w:rsid w:val="575256B8"/>
    <w:rsid w:val="57566F57"/>
    <w:rsid w:val="575C2093"/>
    <w:rsid w:val="57607DD5"/>
    <w:rsid w:val="57664CC0"/>
    <w:rsid w:val="57697B57"/>
    <w:rsid w:val="577949F3"/>
    <w:rsid w:val="5789732C"/>
    <w:rsid w:val="578A337B"/>
    <w:rsid w:val="578F5C2B"/>
    <w:rsid w:val="57967CC2"/>
    <w:rsid w:val="579D2DD8"/>
    <w:rsid w:val="579E0252"/>
    <w:rsid w:val="57A23F4A"/>
    <w:rsid w:val="57A53A3A"/>
    <w:rsid w:val="57A94E5F"/>
    <w:rsid w:val="57AC396B"/>
    <w:rsid w:val="57B25E1C"/>
    <w:rsid w:val="57B43C7D"/>
    <w:rsid w:val="57B974E6"/>
    <w:rsid w:val="57BD5228"/>
    <w:rsid w:val="57C06AC6"/>
    <w:rsid w:val="57C71C02"/>
    <w:rsid w:val="57CE2F91"/>
    <w:rsid w:val="57D1482F"/>
    <w:rsid w:val="57D32488"/>
    <w:rsid w:val="57D342A4"/>
    <w:rsid w:val="57D4431F"/>
    <w:rsid w:val="57D82C38"/>
    <w:rsid w:val="57D87870"/>
    <w:rsid w:val="57DB3900"/>
    <w:rsid w:val="57DB745C"/>
    <w:rsid w:val="57DF393A"/>
    <w:rsid w:val="57E02CC4"/>
    <w:rsid w:val="57E502DB"/>
    <w:rsid w:val="57E74053"/>
    <w:rsid w:val="57E97DCB"/>
    <w:rsid w:val="57F66044"/>
    <w:rsid w:val="57FC3451"/>
    <w:rsid w:val="57FE389B"/>
    <w:rsid w:val="58022C3B"/>
    <w:rsid w:val="58051797"/>
    <w:rsid w:val="580660F5"/>
    <w:rsid w:val="58070251"/>
    <w:rsid w:val="580A7D41"/>
    <w:rsid w:val="581666E6"/>
    <w:rsid w:val="581A3E7B"/>
    <w:rsid w:val="58256929"/>
    <w:rsid w:val="58276B45"/>
    <w:rsid w:val="58313520"/>
    <w:rsid w:val="583848AE"/>
    <w:rsid w:val="5838665C"/>
    <w:rsid w:val="583A6878"/>
    <w:rsid w:val="583B614D"/>
    <w:rsid w:val="583B6782"/>
    <w:rsid w:val="58417C07"/>
    <w:rsid w:val="5842572D"/>
    <w:rsid w:val="5846521D"/>
    <w:rsid w:val="584B1819"/>
    <w:rsid w:val="584E1FBB"/>
    <w:rsid w:val="584F166F"/>
    <w:rsid w:val="585316E8"/>
    <w:rsid w:val="58586CFE"/>
    <w:rsid w:val="585A2A77"/>
    <w:rsid w:val="585A65D3"/>
    <w:rsid w:val="585B234B"/>
    <w:rsid w:val="585D40C1"/>
    <w:rsid w:val="585D4315"/>
    <w:rsid w:val="585D60C3"/>
    <w:rsid w:val="58694A68"/>
    <w:rsid w:val="586C6306"/>
    <w:rsid w:val="586E207E"/>
    <w:rsid w:val="586E6522"/>
    <w:rsid w:val="58801DB1"/>
    <w:rsid w:val="58810003"/>
    <w:rsid w:val="58847AF3"/>
    <w:rsid w:val="58937D37"/>
    <w:rsid w:val="58975A79"/>
    <w:rsid w:val="589870FB"/>
    <w:rsid w:val="589A7317"/>
    <w:rsid w:val="589E6E07"/>
    <w:rsid w:val="589F492D"/>
    <w:rsid w:val="58A40196"/>
    <w:rsid w:val="58A61818"/>
    <w:rsid w:val="58AE691E"/>
    <w:rsid w:val="58B008E9"/>
    <w:rsid w:val="58B303D9"/>
    <w:rsid w:val="58BC103B"/>
    <w:rsid w:val="58BE1257"/>
    <w:rsid w:val="58C27D5E"/>
    <w:rsid w:val="58C3742F"/>
    <w:rsid w:val="58C46142"/>
    <w:rsid w:val="58CE3242"/>
    <w:rsid w:val="58DC348C"/>
    <w:rsid w:val="58DE5456"/>
    <w:rsid w:val="58DF4D2A"/>
    <w:rsid w:val="58EB14ED"/>
    <w:rsid w:val="58EE731B"/>
    <w:rsid w:val="58F25763"/>
    <w:rsid w:val="58F702C5"/>
    <w:rsid w:val="58F92290"/>
    <w:rsid w:val="58FF18EE"/>
    <w:rsid w:val="5903310E"/>
    <w:rsid w:val="59086C25"/>
    <w:rsid w:val="59091DA7"/>
    <w:rsid w:val="591250FF"/>
    <w:rsid w:val="591470C9"/>
    <w:rsid w:val="5915074C"/>
    <w:rsid w:val="591B31F9"/>
    <w:rsid w:val="591C41D0"/>
    <w:rsid w:val="591C5F7E"/>
    <w:rsid w:val="5927572B"/>
    <w:rsid w:val="59276497"/>
    <w:rsid w:val="592941F7"/>
    <w:rsid w:val="592B4413"/>
    <w:rsid w:val="592F5CB1"/>
    <w:rsid w:val="5932754F"/>
    <w:rsid w:val="59350AFA"/>
    <w:rsid w:val="59366A51"/>
    <w:rsid w:val="59411541"/>
    <w:rsid w:val="59464DA9"/>
    <w:rsid w:val="59486D73"/>
    <w:rsid w:val="59570D64"/>
    <w:rsid w:val="5957661E"/>
    <w:rsid w:val="59643735"/>
    <w:rsid w:val="596521DC"/>
    <w:rsid w:val="59657925"/>
    <w:rsid w:val="5966544B"/>
    <w:rsid w:val="596D2336"/>
    <w:rsid w:val="59710078"/>
    <w:rsid w:val="597933D0"/>
    <w:rsid w:val="597E4543"/>
    <w:rsid w:val="59814033"/>
    <w:rsid w:val="598A113A"/>
    <w:rsid w:val="598B6C60"/>
    <w:rsid w:val="598F04FE"/>
    <w:rsid w:val="599B6EA3"/>
    <w:rsid w:val="599D7559"/>
    <w:rsid w:val="59A07D17"/>
    <w:rsid w:val="59A57D21"/>
    <w:rsid w:val="59A65848"/>
    <w:rsid w:val="59AA17DC"/>
    <w:rsid w:val="59B14918"/>
    <w:rsid w:val="59B30690"/>
    <w:rsid w:val="59B91A1F"/>
    <w:rsid w:val="59BB72AA"/>
    <w:rsid w:val="59BF7208"/>
    <w:rsid w:val="59D30F5B"/>
    <w:rsid w:val="59D32AE1"/>
    <w:rsid w:val="59D625D1"/>
    <w:rsid w:val="59DB3743"/>
    <w:rsid w:val="59E22D24"/>
    <w:rsid w:val="59E36A9C"/>
    <w:rsid w:val="59E519B2"/>
    <w:rsid w:val="59ED1B53"/>
    <w:rsid w:val="59F4536F"/>
    <w:rsid w:val="59F74C5B"/>
    <w:rsid w:val="59F760A3"/>
    <w:rsid w:val="59F91E1B"/>
    <w:rsid w:val="59FE3934"/>
    <w:rsid w:val="5A0E1D6B"/>
    <w:rsid w:val="5A112174"/>
    <w:rsid w:val="5A136469"/>
    <w:rsid w:val="5A137381"/>
    <w:rsid w:val="5A1924BD"/>
    <w:rsid w:val="5A201A9E"/>
    <w:rsid w:val="5A250E62"/>
    <w:rsid w:val="5A272E2C"/>
    <w:rsid w:val="5A2D145D"/>
    <w:rsid w:val="5A355A42"/>
    <w:rsid w:val="5A382944"/>
    <w:rsid w:val="5A390534"/>
    <w:rsid w:val="5A3D61AC"/>
    <w:rsid w:val="5A427C66"/>
    <w:rsid w:val="5A490FF5"/>
    <w:rsid w:val="5A494B51"/>
    <w:rsid w:val="5A504B2F"/>
    <w:rsid w:val="5A6000EC"/>
    <w:rsid w:val="5A626A1F"/>
    <w:rsid w:val="5A6B5717"/>
    <w:rsid w:val="5A6C6A91"/>
    <w:rsid w:val="5A6E45B7"/>
    <w:rsid w:val="5A706581"/>
    <w:rsid w:val="5A753F56"/>
    <w:rsid w:val="5A7871E4"/>
    <w:rsid w:val="5A7A2F5C"/>
    <w:rsid w:val="5A843DDB"/>
    <w:rsid w:val="5A8D7133"/>
    <w:rsid w:val="5A9009D2"/>
    <w:rsid w:val="5A93303B"/>
    <w:rsid w:val="5A9F0C15"/>
    <w:rsid w:val="5AA20705"/>
    <w:rsid w:val="5ABD553F"/>
    <w:rsid w:val="5ABF12B7"/>
    <w:rsid w:val="5AD22D98"/>
    <w:rsid w:val="5AD45BCC"/>
    <w:rsid w:val="5AD84A7E"/>
    <w:rsid w:val="5ADB5F00"/>
    <w:rsid w:val="5ADC59C5"/>
    <w:rsid w:val="5AE14D89"/>
    <w:rsid w:val="5AE26D53"/>
    <w:rsid w:val="5AE42ACB"/>
    <w:rsid w:val="5AE92573"/>
    <w:rsid w:val="5AF0321E"/>
    <w:rsid w:val="5AF076C2"/>
    <w:rsid w:val="5AF56A87"/>
    <w:rsid w:val="5AF85079"/>
    <w:rsid w:val="5AFC1BC3"/>
    <w:rsid w:val="5AFE1DDF"/>
    <w:rsid w:val="5AFF16B3"/>
    <w:rsid w:val="5B04316E"/>
    <w:rsid w:val="5B044F1C"/>
    <w:rsid w:val="5B092532"/>
    <w:rsid w:val="5B0D2022"/>
    <w:rsid w:val="5B184523"/>
    <w:rsid w:val="5B287B9E"/>
    <w:rsid w:val="5B2B06FA"/>
    <w:rsid w:val="5B305D11"/>
    <w:rsid w:val="5B3367CC"/>
    <w:rsid w:val="5B430FD1"/>
    <w:rsid w:val="5B480E39"/>
    <w:rsid w:val="5B4B66A7"/>
    <w:rsid w:val="5B501F0F"/>
    <w:rsid w:val="5B590DC3"/>
    <w:rsid w:val="5B5C6B06"/>
    <w:rsid w:val="5B5E287E"/>
    <w:rsid w:val="5B5F03A4"/>
    <w:rsid w:val="5B6836FC"/>
    <w:rsid w:val="5B6D2AC1"/>
    <w:rsid w:val="5B6D486F"/>
    <w:rsid w:val="5B6D6047"/>
    <w:rsid w:val="5B793214"/>
    <w:rsid w:val="5B7976B8"/>
    <w:rsid w:val="5B8816A9"/>
    <w:rsid w:val="5B8D6CBF"/>
    <w:rsid w:val="5B953DC6"/>
    <w:rsid w:val="5BA04C44"/>
    <w:rsid w:val="5BA24868"/>
    <w:rsid w:val="5BA65FD3"/>
    <w:rsid w:val="5BA87F9D"/>
    <w:rsid w:val="5BAE6FA1"/>
    <w:rsid w:val="5BB26726"/>
    <w:rsid w:val="5BB46942"/>
    <w:rsid w:val="5BB50481"/>
    <w:rsid w:val="5BB64468"/>
    <w:rsid w:val="5BC56459"/>
    <w:rsid w:val="5BC70423"/>
    <w:rsid w:val="5BC97600"/>
    <w:rsid w:val="5BCD355F"/>
    <w:rsid w:val="5BD3501A"/>
    <w:rsid w:val="5BD82630"/>
    <w:rsid w:val="5BDC37A3"/>
    <w:rsid w:val="5BE400B6"/>
    <w:rsid w:val="5BE80399"/>
    <w:rsid w:val="5BEA5EBF"/>
    <w:rsid w:val="5BEE3DE2"/>
    <w:rsid w:val="5BEF1728"/>
    <w:rsid w:val="5BF1724E"/>
    <w:rsid w:val="5BFD55F8"/>
    <w:rsid w:val="5BFE26BB"/>
    <w:rsid w:val="5C00657C"/>
    <w:rsid w:val="5C0F2E1E"/>
    <w:rsid w:val="5C14118E"/>
    <w:rsid w:val="5C1B4497"/>
    <w:rsid w:val="5C1E200D"/>
    <w:rsid w:val="5C2A51C2"/>
    <w:rsid w:val="5C2C64D8"/>
    <w:rsid w:val="5C341831"/>
    <w:rsid w:val="5C3F5168"/>
    <w:rsid w:val="5C3F60E3"/>
    <w:rsid w:val="5C441A74"/>
    <w:rsid w:val="5C447CC6"/>
    <w:rsid w:val="5C4A0F7A"/>
    <w:rsid w:val="5C580290"/>
    <w:rsid w:val="5C606182"/>
    <w:rsid w:val="5C62639E"/>
    <w:rsid w:val="5C653798"/>
    <w:rsid w:val="5C7255B7"/>
    <w:rsid w:val="5C734107"/>
    <w:rsid w:val="5C757E7F"/>
    <w:rsid w:val="5C7D4F86"/>
    <w:rsid w:val="5C7E0747"/>
    <w:rsid w:val="5C8005D2"/>
    <w:rsid w:val="5C87555C"/>
    <w:rsid w:val="5C8835A6"/>
    <w:rsid w:val="5C8C6F77"/>
    <w:rsid w:val="5C9F4678"/>
    <w:rsid w:val="5CA644DC"/>
    <w:rsid w:val="5CA6628A"/>
    <w:rsid w:val="5CAE541B"/>
    <w:rsid w:val="5CB07109"/>
    <w:rsid w:val="5CB2227E"/>
    <w:rsid w:val="5CBC5AAE"/>
    <w:rsid w:val="5CBD5382"/>
    <w:rsid w:val="5CC76201"/>
    <w:rsid w:val="5CCC1A69"/>
    <w:rsid w:val="5CCE758F"/>
    <w:rsid w:val="5CD252D1"/>
    <w:rsid w:val="5CD33664"/>
    <w:rsid w:val="5CDC7EFE"/>
    <w:rsid w:val="5CE13766"/>
    <w:rsid w:val="5CE95CC1"/>
    <w:rsid w:val="5CEF3B55"/>
    <w:rsid w:val="5CFD7E74"/>
    <w:rsid w:val="5D003399"/>
    <w:rsid w:val="5D0134C1"/>
    <w:rsid w:val="5D017424"/>
    <w:rsid w:val="5D0432CB"/>
    <w:rsid w:val="5D050F60"/>
    <w:rsid w:val="5D0631CD"/>
    <w:rsid w:val="5D080CF3"/>
    <w:rsid w:val="5D08188B"/>
    <w:rsid w:val="5D087579"/>
    <w:rsid w:val="5D0905C7"/>
    <w:rsid w:val="5D0B2591"/>
    <w:rsid w:val="5D0E70DE"/>
    <w:rsid w:val="5D1F7DEB"/>
    <w:rsid w:val="5D23703E"/>
    <w:rsid w:val="5D2E44D2"/>
    <w:rsid w:val="5D2E4779"/>
    <w:rsid w:val="5D3E4715"/>
    <w:rsid w:val="5D3F048D"/>
    <w:rsid w:val="5D557CB0"/>
    <w:rsid w:val="5D5C1689"/>
    <w:rsid w:val="5D63417B"/>
    <w:rsid w:val="5D647EF4"/>
    <w:rsid w:val="5D683540"/>
    <w:rsid w:val="5D6B1282"/>
    <w:rsid w:val="5D6F2B20"/>
    <w:rsid w:val="5D753EAF"/>
    <w:rsid w:val="5D804D2D"/>
    <w:rsid w:val="5D900CE9"/>
    <w:rsid w:val="5D973E25"/>
    <w:rsid w:val="5DA14CA4"/>
    <w:rsid w:val="5DA64068"/>
    <w:rsid w:val="5DA87473"/>
    <w:rsid w:val="5DAA3B58"/>
    <w:rsid w:val="5DAD3649"/>
    <w:rsid w:val="5DAF73C1"/>
    <w:rsid w:val="5DB46785"/>
    <w:rsid w:val="5DB628B8"/>
    <w:rsid w:val="5DB70023"/>
    <w:rsid w:val="5DBB72DF"/>
    <w:rsid w:val="5DC310BE"/>
    <w:rsid w:val="5DCA244C"/>
    <w:rsid w:val="5DCA41FA"/>
    <w:rsid w:val="5DD07337"/>
    <w:rsid w:val="5DD45079"/>
    <w:rsid w:val="5DDD2180"/>
    <w:rsid w:val="5DEC4171"/>
    <w:rsid w:val="5DFD7092"/>
    <w:rsid w:val="5E0314BA"/>
    <w:rsid w:val="5E086AD1"/>
    <w:rsid w:val="5E0A2849"/>
    <w:rsid w:val="5E287ED3"/>
    <w:rsid w:val="5E361890"/>
    <w:rsid w:val="5E36363E"/>
    <w:rsid w:val="5E3A0111"/>
    <w:rsid w:val="5E3B0C54"/>
    <w:rsid w:val="5E465BF2"/>
    <w:rsid w:val="5E4A533B"/>
    <w:rsid w:val="5E4B7BF4"/>
    <w:rsid w:val="5E4D2736"/>
    <w:rsid w:val="5E5065EB"/>
    <w:rsid w:val="5E522449"/>
    <w:rsid w:val="5E53134F"/>
    <w:rsid w:val="5E540585"/>
    <w:rsid w:val="5E547F68"/>
    <w:rsid w:val="5E59732C"/>
    <w:rsid w:val="5E5A37D0"/>
    <w:rsid w:val="5E5F0DE7"/>
    <w:rsid w:val="5E6006BB"/>
    <w:rsid w:val="5E607573"/>
    <w:rsid w:val="5E622685"/>
    <w:rsid w:val="5E6261E1"/>
    <w:rsid w:val="5E6301AB"/>
    <w:rsid w:val="5E63262A"/>
    <w:rsid w:val="5E6833FC"/>
    <w:rsid w:val="5E68756F"/>
    <w:rsid w:val="5E6A32E8"/>
    <w:rsid w:val="5E6C3504"/>
    <w:rsid w:val="5E6C7060"/>
    <w:rsid w:val="5E6E102A"/>
    <w:rsid w:val="5E6E2DD8"/>
    <w:rsid w:val="5E7423B8"/>
    <w:rsid w:val="5E766130"/>
    <w:rsid w:val="5E781EA8"/>
    <w:rsid w:val="5E850121"/>
    <w:rsid w:val="5E8E347A"/>
    <w:rsid w:val="5E8E5228"/>
    <w:rsid w:val="5E8F0FA0"/>
    <w:rsid w:val="5E93283E"/>
    <w:rsid w:val="5E940365"/>
    <w:rsid w:val="5E99597B"/>
    <w:rsid w:val="5EA62054"/>
    <w:rsid w:val="5EB84053"/>
    <w:rsid w:val="5EC073AC"/>
    <w:rsid w:val="5EC7698C"/>
    <w:rsid w:val="5EC944B2"/>
    <w:rsid w:val="5EC94811"/>
    <w:rsid w:val="5ECE1AC8"/>
    <w:rsid w:val="5ECF75EF"/>
    <w:rsid w:val="5ED6087B"/>
    <w:rsid w:val="5EDF5A84"/>
    <w:rsid w:val="5EE66E12"/>
    <w:rsid w:val="5EE72758"/>
    <w:rsid w:val="5EEA486F"/>
    <w:rsid w:val="5EEE3F19"/>
    <w:rsid w:val="5EEE5CC7"/>
    <w:rsid w:val="5EEE7C88"/>
    <w:rsid w:val="5EEF00C4"/>
    <w:rsid w:val="5EF41669"/>
    <w:rsid w:val="5EF7101F"/>
    <w:rsid w:val="5EFA0B0F"/>
    <w:rsid w:val="5EFD23AE"/>
    <w:rsid w:val="5F180EE5"/>
    <w:rsid w:val="5F1C681A"/>
    <w:rsid w:val="5F2416E8"/>
    <w:rsid w:val="5F24793A"/>
    <w:rsid w:val="5F264B73"/>
    <w:rsid w:val="5F2A32FA"/>
    <w:rsid w:val="5F2B6F1B"/>
    <w:rsid w:val="5F361A3F"/>
    <w:rsid w:val="5F3C4C84"/>
    <w:rsid w:val="5F41229A"/>
    <w:rsid w:val="5F530220"/>
    <w:rsid w:val="5F531FCE"/>
    <w:rsid w:val="5F557AF4"/>
    <w:rsid w:val="5F583601"/>
    <w:rsid w:val="5F5FF33F"/>
    <w:rsid w:val="5F6661A5"/>
    <w:rsid w:val="5F700DD2"/>
    <w:rsid w:val="5F804A60"/>
    <w:rsid w:val="5F816B3B"/>
    <w:rsid w:val="5F8605F5"/>
    <w:rsid w:val="5F8E1258"/>
    <w:rsid w:val="5F8E3006"/>
    <w:rsid w:val="5F8F74AA"/>
    <w:rsid w:val="5F922AF6"/>
    <w:rsid w:val="5F930E29"/>
    <w:rsid w:val="5F950838"/>
    <w:rsid w:val="5F9525E6"/>
    <w:rsid w:val="5F9745B0"/>
    <w:rsid w:val="5F9E593F"/>
    <w:rsid w:val="5FA07956"/>
    <w:rsid w:val="5FA665A1"/>
    <w:rsid w:val="5FA82319"/>
    <w:rsid w:val="5FB567E4"/>
    <w:rsid w:val="5FB74BFB"/>
    <w:rsid w:val="5FBC14C5"/>
    <w:rsid w:val="5FC058B5"/>
    <w:rsid w:val="5FC52ECB"/>
    <w:rsid w:val="5FC86518"/>
    <w:rsid w:val="5FCF78A6"/>
    <w:rsid w:val="5FD21144"/>
    <w:rsid w:val="5FD72BFF"/>
    <w:rsid w:val="5FDE7373"/>
    <w:rsid w:val="5FEB66AA"/>
    <w:rsid w:val="5FED41D0"/>
    <w:rsid w:val="5FEE32EF"/>
    <w:rsid w:val="5FF67529"/>
    <w:rsid w:val="5FF90DC7"/>
    <w:rsid w:val="5FFA069B"/>
    <w:rsid w:val="5FFD647E"/>
    <w:rsid w:val="5FFE018B"/>
    <w:rsid w:val="60031C46"/>
    <w:rsid w:val="600339F4"/>
    <w:rsid w:val="600D4872"/>
    <w:rsid w:val="600D6620"/>
    <w:rsid w:val="60123C37"/>
    <w:rsid w:val="60152297"/>
    <w:rsid w:val="601C4AB5"/>
    <w:rsid w:val="601E082E"/>
    <w:rsid w:val="60255718"/>
    <w:rsid w:val="602A5424"/>
    <w:rsid w:val="60310561"/>
    <w:rsid w:val="60363DC9"/>
    <w:rsid w:val="603B13E0"/>
    <w:rsid w:val="603C552C"/>
    <w:rsid w:val="604007A4"/>
    <w:rsid w:val="6042451C"/>
    <w:rsid w:val="604A0FC0"/>
    <w:rsid w:val="604D2EC1"/>
    <w:rsid w:val="604E2EB2"/>
    <w:rsid w:val="6051650D"/>
    <w:rsid w:val="60563B24"/>
    <w:rsid w:val="60597AB8"/>
    <w:rsid w:val="60600E46"/>
    <w:rsid w:val="60623AEF"/>
    <w:rsid w:val="606721D5"/>
    <w:rsid w:val="60685D35"/>
    <w:rsid w:val="606C3347"/>
    <w:rsid w:val="607448F1"/>
    <w:rsid w:val="60770C85"/>
    <w:rsid w:val="607D5554"/>
    <w:rsid w:val="6082700E"/>
    <w:rsid w:val="60860FC4"/>
    <w:rsid w:val="608A688B"/>
    <w:rsid w:val="608C5797"/>
    <w:rsid w:val="60911000"/>
    <w:rsid w:val="609303FD"/>
    <w:rsid w:val="609D5BF6"/>
    <w:rsid w:val="60A07495"/>
    <w:rsid w:val="60A26D69"/>
    <w:rsid w:val="60A52614"/>
    <w:rsid w:val="60AF76D8"/>
    <w:rsid w:val="60BA4FC1"/>
    <w:rsid w:val="60C211B9"/>
    <w:rsid w:val="60C846E2"/>
    <w:rsid w:val="60CA0D14"/>
    <w:rsid w:val="60DF7FBD"/>
    <w:rsid w:val="60E455D3"/>
    <w:rsid w:val="60E45C7D"/>
    <w:rsid w:val="60EB4BB4"/>
    <w:rsid w:val="60F4333C"/>
    <w:rsid w:val="610D0906"/>
    <w:rsid w:val="61135EB8"/>
    <w:rsid w:val="611C2FBF"/>
    <w:rsid w:val="611D1AAB"/>
    <w:rsid w:val="611E5AAD"/>
    <w:rsid w:val="612E684E"/>
    <w:rsid w:val="613227E3"/>
    <w:rsid w:val="61357BDD"/>
    <w:rsid w:val="613876CD"/>
    <w:rsid w:val="614500BE"/>
    <w:rsid w:val="61480ED7"/>
    <w:rsid w:val="615A7643"/>
    <w:rsid w:val="615C785F"/>
    <w:rsid w:val="615F2EAC"/>
    <w:rsid w:val="61614E76"/>
    <w:rsid w:val="61646714"/>
    <w:rsid w:val="616B1543"/>
    <w:rsid w:val="616E7593"/>
    <w:rsid w:val="61720E31"/>
    <w:rsid w:val="617526CF"/>
    <w:rsid w:val="6175447D"/>
    <w:rsid w:val="61776447"/>
    <w:rsid w:val="61826B9A"/>
    <w:rsid w:val="618648DC"/>
    <w:rsid w:val="61882403"/>
    <w:rsid w:val="618C17C7"/>
    <w:rsid w:val="6192502F"/>
    <w:rsid w:val="6198016C"/>
    <w:rsid w:val="61AC1296"/>
    <w:rsid w:val="61B03707"/>
    <w:rsid w:val="61B56F70"/>
    <w:rsid w:val="61B7412F"/>
    <w:rsid w:val="61C251E9"/>
    <w:rsid w:val="61C42636"/>
    <w:rsid w:val="61C536BC"/>
    <w:rsid w:val="61D91182"/>
    <w:rsid w:val="61DA7B4A"/>
    <w:rsid w:val="61DB4C28"/>
    <w:rsid w:val="61E37639"/>
    <w:rsid w:val="61F25ACE"/>
    <w:rsid w:val="61F41846"/>
    <w:rsid w:val="61F74799"/>
    <w:rsid w:val="61F950AE"/>
    <w:rsid w:val="61FA2BD4"/>
    <w:rsid w:val="61FB33CF"/>
    <w:rsid w:val="61FF0CA7"/>
    <w:rsid w:val="62037CDB"/>
    <w:rsid w:val="620771B2"/>
    <w:rsid w:val="62157A0E"/>
    <w:rsid w:val="62195750"/>
    <w:rsid w:val="621B3277"/>
    <w:rsid w:val="62206ADF"/>
    <w:rsid w:val="62255EA3"/>
    <w:rsid w:val="62261AD9"/>
    <w:rsid w:val="62287742"/>
    <w:rsid w:val="623E51B7"/>
    <w:rsid w:val="62402CDD"/>
    <w:rsid w:val="624125B1"/>
    <w:rsid w:val="62426A55"/>
    <w:rsid w:val="62455EA3"/>
    <w:rsid w:val="6247406C"/>
    <w:rsid w:val="62593D9F"/>
    <w:rsid w:val="625978FB"/>
    <w:rsid w:val="625B68E6"/>
    <w:rsid w:val="625F4DD0"/>
    <w:rsid w:val="62620EA5"/>
    <w:rsid w:val="626562A0"/>
    <w:rsid w:val="6267026A"/>
    <w:rsid w:val="626B762E"/>
    <w:rsid w:val="62712E97"/>
    <w:rsid w:val="62742987"/>
    <w:rsid w:val="62775FD3"/>
    <w:rsid w:val="627806C9"/>
    <w:rsid w:val="627A5E9C"/>
    <w:rsid w:val="627B5AC3"/>
    <w:rsid w:val="6280132C"/>
    <w:rsid w:val="6283706E"/>
    <w:rsid w:val="628752D0"/>
    <w:rsid w:val="628A21AA"/>
    <w:rsid w:val="628F5A13"/>
    <w:rsid w:val="62913539"/>
    <w:rsid w:val="62967221"/>
    <w:rsid w:val="629767E0"/>
    <w:rsid w:val="629848C7"/>
    <w:rsid w:val="629B6165"/>
    <w:rsid w:val="62A414BE"/>
    <w:rsid w:val="62AC3ECF"/>
    <w:rsid w:val="62B15989"/>
    <w:rsid w:val="62B47227"/>
    <w:rsid w:val="62CA05DA"/>
    <w:rsid w:val="62CC4571"/>
    <w:rsid w:val="62CC631F"/>
    <w:rsid w:val="62CD3727"/>
    <w:rsid w:val="62D33B51"/>
    <w:rsid w:val="62E03F37"/>
    <w:rsid w:val="62E31766"/>
    <w:rsid w:val="62E42611"/>
    <w:rsid w:val="62E95063"/>
    <w:rsid w:val="62F92E8C"/>
    <w:rsid w:val="62FB7D36"/>
    <w:rsid w:val="63021D41"/>
    <w:rsid w:val="630F318D"/>
    <w:rsid w:val="63112B1E"/>
    <w:rsid w:val="63141A74"/>
    <w:rsid w:val="631A2E2B"/>
    <w:rsid w:val="631A352E"/>
    <w:rsid w:val="631E435E"/>
    <w:rsid w:val="63251A0D"/>
    <w:rsid w:val="63251ED3"/>
    <w:rsid w:val="63253C81"/>
    <w:rsid w:val="63260125"/>
    <w:rsid w:val="632779F9"/>
    <w:rsid w:val="632945F8"/>
    <w:rsid w:val="63310878"/>
    <w:rsid w:val="63344A56"/>
    <w:rsid w:val="63350368"/>
    <w:rsid w:val="6335141E"/>
    <w:rsid w:val="633565CF"/>
    <w:rsid w:val="63422A85"/>
    <w:rsid w:val="63497970"/>
    <w:rsid w:val="634B7B8C"/>
    <w:rsid w:val="634D36DC"/>
    <w:rsid w:val="635051A2"/>
    <w:rsid w:val="63534C92"/>
    <w:rsid w:val="63574103"/>
    <w:rsid w:val="636447A9"/>
    <w:rsid w:val="636A18B2"/>
    <w:rsid w:val="636B3D8A"/>
    <w:rsid w:val="6372753B"/>
    <w:rsid w:val="637A3FCD"/>
    <w:rsid w:val="637B1AF3"/>
    <w:rsid w:val="638210D3"/>
    <w:rsid w:val="63843AA9"/>
    <w:rsid w:val="638E5CCA"/>
    <w:rsid w:val="638F6A62"/>
    <w:rsid w:val="63972DD1"/>
    <w:rsid w:val="63974B7F"/>
    <w:rsid w:val="639B000C"/>
    <w:rsid w:val="639C2195"/>
    <w:rsid w:val="63A177AC"/>
    <w:rsid w:val="63A4104A"/>
    <w:rsid w:val="63A72048"/>
    <w:rsid w:val="63A728E8"/>
    <w:rsid w:val="63AB062A"/>
    <w:rsid w:val="63AD1FEB"/>
    <w:rsid w:val="63B06647"/>
    <w:rsid w:val="63B5357F"/>
    <w:rsid w:val="63BE035D"/>
    <w:rsid w:val="63BF40D6"/>
    <w:rsid w:val="63C82F8A"/>
    <w:rsid w:val="63C90AB0"/>
    <w:rsid w:val="63D062E3"/>
    <w:rsid w:val="63D23E09"/>
    <w:rsid w:val="63D41DF9"/>
    <w:rsid w:val="63D42D01"/>
    <w:rsid w:val="63D464F7"/>
    <w:rsid w:val="63D77671"/>
    <w:rsid w:val="63D80CF3"/>
    <w:rsid w:val="63DA0F0F"/>
    <w:rsid w:val="63DC07E4"/>
    <w:rsid w:val="63DC38E5"/>
    <w:rsid w:val="63E43B3C"/>
    <w:rsid w:val="63E87188"/>
    <w:rsid w:val="63EA4DF9"/>
    <w:rsid w:val="63F35B2D"/>
    <w:rsid w:val="63F41FD1"/>
    <w:rsid w:val="63F57AF7"/>
    <w:rsid w:val="63F73BC9"/>
    <w:rsid w:val="63FA3360"/>
    <w:rsid w:val="63FB6B7E"/>
    <w:rsid w:val="64041AE8"/>
    <w:rsid w:val="64045A64"/>
    <w:rsid w:val="64062AB6"/>
    <w:rsid w:val="64085A7D"/>
    <w:rsid w:val="640D6BEF"/>
    <w:rsid w:val="640F0BB9"/>
    <w:rsid w:val="641461CF"/>
    <w:rsid w:val="64195594"/>
    <w:rsid w:val="641F4B74"/>
    <w:rsid w:val="642301C1"/>
    <w:rsid w:val="64234664"/>
    <w:rsid w:val="6425175A"/>
    <w:rsid w:val="6429154F"/>
    <w:rsid w:val="642A59F3"/>
    <w:rsid w:val="643423CE"/>
    <w:rsid w:val="64405216"/>
    <w:rsid w:val="64414AEB"/>
    <w:rsid w:val="64436AB5"/>
    <w:rsid w:val="64485E79"/>
    <w:rsid w:val="644A7E43"/>
    <w:rsid w:val="645038A3"/>
    <w:rsid w:val="645665A6"/>
    <w:rsid w:val="6457322E"/>
    <w:rsid w:val="645B3DFE"/>
    <w:rsid w:val="64610CE9"/>
    <w:rsid w:val="6461518D"/>
    <w:rsid w:val="646742CE"/>
    <w:rsid w:val="646D1D84"/>
    <w:rsid w:val="646F78AA"/>
    <w:rsid w:val="64794284"/>
    <w:rsid w:val="647A7108"/>
    <w:rsid w:val="647C3D75"/>
    <w:rsid w:val="6480616A"/>
    <w:rsid w:val="6486074F"/>
    <w:rsid w:val="648D7D30"/>
    <w:rsid w:val="648F5856"/>
    <w:rsid w:val="64964E36"/>
    <w:rsid w:val="64970BAF"/>
    <w:rsid w:val="649B4C85"/>
    <w:rsid w:val="64A21FD2"/>
    <w:rsid w:val="64A31301"/>
    <w:rsid w:val="64B259E8"/>
    <w:rsid w:val="64BE613B"/>
    <w:rsid w:val="64C00105"/>
    <w:rsid w:val="64C9520C"/>
    <w:rsid w:val="64CA0F84"/>
    <w:rsid w:val="64CA1330"/>
    <w:rsid w:val="64CD45D0"/>
    <w:rsid w:val="64D4595F"/>
    <w:rsid w:val="64D63485"/>
    <w:rsid w:val="64E536C8"/>
    <w:rsid w:val="64E90B6D"/>
    <w:rsid w:val="64EF072B"/>
    <w:rsid w:val="64F1206D"/>
    <w:rsid w:val="64F61D79"/>
    <w:rsid w:val="64FD39BC"/>
    <w:rsid w:val="6502427A"/>
    <w:rsid w:val="65046244"/>
    <w:rsid w:val="65095250"/>
    <w:rsid w:val="650C50F9"/>
    <w:rsid w:val="65197815"/>
    <w:rsid w:val="65206DF6"/>
    <w:rsid w:val="65273CE0"/>
    <w:rsid w:val="65283023"/>
    <w:rsid w:val="652A1A23"/>
    <w:rsid w:val="652B3207"/>
    <w:rsid w:val="65315B63"/>
    <w:rsid w:val="65387C9C"/>
    <w:rsid w:val="653B34A1"/>
    <w:rsid w:val="65402FF4"/>
    <w:rsid w:val="654805B8"/>
    <w:rsid w:val="65533C99"/>
    <w:rsid w:val="65674A25"/>
    <w:rsid w:val="657119B6"/>
    <w:rsid w:val="657333CA"/>
    <w:rsid w:val="65783306"/>
    <w:rsid w:val="657D2B36"/>
    <w:rsid w:val="658C7FE7"/>
    <w:rsid w:val="65971F8A"/>
    <w:rsid w:val="6598361E"/>
    <w:rsid w:val="65986A82"/>
    <w:rsid w:val="659D308D"/>
    <w:rsid w:val="659D498D"/>
    <w:rsid w:val="65AA1AAA"/>
    <w:rsid w:val="65AC2438"/>
    <w:rsid w:val="65AD4482"/>
    <w:rsid w:val="65B456E9"/>
    <w:rsid w:val="65B512EC"/>
    <w:rsid w:val="65B5753E"/>
    <w:rsid w:val="65BD4645"/>
    <w:rsid w:val="65BD63F3"/>
    <w:rsid w:val="65BE324A"/>
    <w:rsid w:val="65C5024C"/>
    <w:rsid w:val="65CC4888"/>
    <w:rsid w:val="65D11E9E"/>
    <w:rsid w:val="65D200F0"/>
    <w:rsid w:val="65D26342"/>
    <w:rsid w:val="65D67210"/>
    <w:rsid w:val="65D95B2E"/>
    <w:rsid w:val="65DA51F7"/>
    <w:rsid w:val="65DC0B09"/>
    <w:rsid w:val="65E240AB"/>
    <w:rsid w:val="65E73470"/>
    <w:rsid w:val="65FD4E68"/>
    <w:rsid w:val="65FE0FA3"/>
    <w:rsid w:val="66017D8B"/>
    <w:rsid w:val="660C4727"/>
    <w:rsid w:val="660C5D78"/>
    <w:rsid w:val="66134265"/>
    <w:rsid w:val="6618187B"/>
    <w:rsid w:val="661E50E3"/>
    <w:rsid w:val="66215D1D"/>
    <w:rsid w:val="6623094C"/>
    <w:rsid w:val="66246CA2"/>
    <w:rsid w:val="6632293D"/>
    <w:rsid w:val="66377E5A"/>
    <w:rsid w:val="663935EB"/>
    <w:rsid w:val="663D3CCC"/>
    <w:rsid w:val="664408C2"/>
    <w:rsid w:val="664561D7"/>
    <w:rsid w:val="66495ED8"/>
    <w:rsid w:val="664D7777"/>
    <w:rsid w:val="664E50BC"/>
    <w:rsid w:val="66500DEB"/>
    <w:rsid w:val="665C0E1C"/>
    <w:rsid w:val="665C5C0C"/>
    <w:rsid w:val="665F049D"/>
    <w:rsid w:val="666351EC"/>
    <w:rsid w:val="66636F9A"/>
    <w:rsid w:val="66646E77"/>
    <w:rsid w:val="666B5E4F"/>
    <w:rsid w:val="667472BE"/>
    <w:rsid w:val="6686576C"/>
    <w:rsid w:val="669B6082"/>
    <w:rsid w:val="669E7FD2"/>
    <w:rsid w:val="66A001EE"/>
    <w:rsid w:val="66A80E51"/>
    <w:rsid w:val="66B164B2"/>
    <w:rsid w:val="66BB126F"/>
    <w:rsid w:val="66C0619B"/>
    <w:rsid w:val="66C8504F"/>
    <w:rsid w:val="66D64CCD"/>
    <w:rsid w:val="66D659BE"/>
    <w:rsid w:val="66DB2FD4"/>
    <w:rsid w:val="66E75856"/>
    <w:rsid w:val="66ED2D08"/>
    <w:rsid w:val="66ED4AB6"/>
    <w:rsid w:val="66F145A6"/>
    <w:rsid w:val="66F61BBC"/>
    <w:rsid w:val="66F9345B"/>
    <w:rsid w:val="66FD119D"/>
    <w:rsid w:val="66FE3167"/>
    <w:rsid w:val="670562A3"/>
    <w:rsid w:val="671604B0"/>
    <w:rsid w:val="672C1A82"/>
    <w:rsid w:val="672E57FA"/>
    <w:rsid w:val="672E75A8"/>
    <w:rsid w:val="67313B0C"/>
    <w:rsid w:val="67332E10"/>
    <w:rsid w:val="673F4169"/>
    <w:rsid w:val="674A63AC"/>
    <w:rsid w:val="674C5C80"/>
    <w:rsid w:val="674F1B70"/>
    <w:rsid w:val="67515045"/>
    <w:rsid w:val="67523C88"/>
    <w:rsid w:val="67531B55"/>
    <w:rsid w:val="67544B35"/>
    <w:rsid w:val="67694A84"/>
    <w:rsid w:val="676E3E49"/>
    <w:rsid w:val="677347DE"/>
    <w:rsid w:val="677C23F8"/>
    <w:rsid w:val="677E1BB2"/>
    <w:rsid w:val="677F6056"/>
    <w:rsid w:val="678278F4"/>
    <w:rsid w:val="67862898"/>
    <w:rsid w:val="678A67A9"/>
    <w:rsid w:val="678C2521"/>
    <w:rsid w:val="678F3DBF"/>
    <w:rsid w:val="67933A42"/>
    <w:rsid w:val="679413D5"/>
    <w:rsid w:val="679A2E90"/>
    <w:rsid w:val="679B2764"/>
    <w:rsid w:val="67A27F96"/>
    <w:rsid w:val="67A7735B"/>
    <w:rsid w:val="67B83316"/>
    <w:rsid w:val="67BC2E06"/>
    <w:rsid w:val="67BD50E8"/>
    <w:rsid w:val="67C1353F"/>
    <w:rsid w:val="67CC0B6F"/>
    <w:rsid w:val="67D61813"/>
    <w:rsid w:val="67DA5514"/>
    <w:rsid w:val="67DE73E1"/>
    <w:rsid w:val="67DF08A2"/>
    <w:rsid w:val="67DF6AF4"/>
    <w:rsid w:val="67E06111"/>
    <w:rsid w:val="67E265E5"/>
    <w:rsid w:val="67E433FF"/>
    <w:rsid w:val="67E73BFB"/>
    <w:rsid w:val="67EE4F89"/>
    <w:rsid w:val="67F24A7A"/>
    <w:rsid w:val="67F5622B"/>
    <w:rsid w:val="67FC76A6"/>
    <w:rsid w:val="67FEBB41"/>
    <w:rsid w:val="68071BA7"/>
    <w:rsid w:val="681E32A3"/>
    <w:rsid w:val="682E35D8"/>
    <w:rsid w:val="683706DE"/>
    <w:rsid w:val="68376930"/>
    <w:rsid w:val="6841155D"/>
    <w:rsid w:val="684626D0"/>
    <w:rsid w:val="684B5F38"/>
    <w:rsid w:val="6850354E"/>
    <w:rsid w:val="68511756"/>
    <w:rsid w:val="685179D9"/>
    <w:rsid w:val="68535B9F"/>
    <w:rsid w:val="68570D81"/>
    <w:rsid w:val="685811C0"/>
    <w:rsid w:val="685F7C35"/>
    <w:rsid w:val="686139AD"/>
    <w:rsid w:val="68776D2D"/>
    <w:rsid w:val="687952FC"/>
    <w:rsid w:val="687E00BB"/>
    <w:rsid w:val="688020CA"/>
    <w:rsid w:val="688E2E39"/>
    <w:rsid w:val="68921DB9"/>
    <w:rsid w:val="68994EF5"/>
    <w:rsid w:val="689C2C37"/>
    <w:rsid w:val="68A044D6"/>
    <w:rsid w:val="68B41D2F"/>
    <w:rsid w:val="68B525C0"/>
    <w:rsid w:val="68B7537B"/>
    <w:rsid w:val="68B825F0"/>
    <w:rsid w:val="68B91D64"/>
    <w:rsid w:val="68C111CC"/>
    <w:rsid w:val="68C63810"/>
    <w:rsid w:val="68CA50AF"/>
    <w:rsid w:val="68D442FB"/>
    <w:rsid w:val="68D61D57"/>
    <w:rsid w:val="68D93544"/>
    <w:rsid w:val="68DC45BB"/>
    <w:rsid w:val="68DE74FF"/>
    <w:rsid w:val="68E2565B"/>
    <w:rsid w:val="68E51EE8"/>
    <w:rsid w:val="68E5638C"/>
    <w:rsid w:val="68E72104"/>
    <w:rsid w:val="68E87C2B"/>
    <w:rsid w:val="68F3344C"/>
    <w:rsid w:val="68FC5484"/>
    <w:rsid w:val="68FC7232"/>
    <w:rsid w:val="68FE11FC"/>
    <w:rsid w:val="68FE2FAA"/>
    <w:rsid w:val="690031C6"/>
    <w:rsid w:val="69026F3E"/>
    <w:rsid w:val="69036813"/>
    <w:rsid w:val="6905258B"/>
    <w:rsid w:val="690832C0"/>
    <w:rsid w:val="690C5A10"/>
    <w:rsid w:val="69117181"/>
    <w:rsid w:val="69196036"/>
    <w:rsid w:val="691B590A"/>
    <w:rsid w:val="691F3B13"/>
    <w:rsid w:val="6922313D"/>
    <w:rsid w:val="692C3FBB"/>
    <w:rsid w:val="692D1AE1"/>
    <w:rsid w:val="69344C1E"/>
    <w:rsid w:val="6939071B"/>
    <w:rsid w:val="6942733B"/>
    <w:rsid w:val="694A10AD"/>
    <w:rsid w:val="6954706E"/>
    <w:rsid w:val="69562DE6"/>
    <w:rsid w:val="69594684"/>
    <w:rsid w:val="695A1195"/>
    <w:rsid w:val="69673AF9"/>
    <w:rsid w:val="69692B1A"/>
    <w:rsid w:val="696D3286"/>
    <w:rsid w:val="69735746"/>
    <w:rsid w:val="69747710"/>
    <w:rsid w:val="697F233D"/>
    <w:rsid w:val="69833C19"/>
    <w:rsid w:val="69951B60"/>
    <w:rsid w:val="699B4C9D"/>
    <w:rsid w:val="699C2688"/>
    <w:rsid w:val="699D0A15"/>
    <w:rsid w:val="69A43B52"/>
    <w:rsid w:val="69A578CA"/>
    <w:rsid w:val="69A71894"/>
    <w:rsid w:val="69AA2F7F"/>
    <w:rsid w:val="69AC0C58"/>
    <w:rsid w:val="69AC2A06"/>
    <w:rsid w:val="69B30239"/>
    <w:rsid w:val="69B33D95"/>
    <w:rsid w:val="69B55D5F"/>
    <w:rsid w:val="69B661C8"/>
    <w:rsid w:val="69C51D1A"/>
    <w:rsid w:val="69C73CE4"/>
    <w:rsid w:val="69C80215"/>
    <w:rsid w:val="69CC4E56"/>
    <w:rsid w:val="69CC7408"/>
    <w:rsid w:val="69D837FB"/>
    <w:rsid w:val="69E06B54"/>
    <w:rsid w:val="69E45977"/>
    <w:rsid w:val="69EA352F"/>
    <w:rsid w:val="69EC619F"/>
    <w:rsid w:val="69F30635"/>
    <w:rsid w:val="69F36887"/>
    <w:rsid w:val="69FE7200"/>
    <w:rsid w:val="69FF522C"/>
    <w:rsid w:val="6A0A597F"/>
    <w:rsid w:val="6A130CD7"/>
    <w:rsid w:val="6A18009C"/>
    <w:rsid w:val="6A1B7B8C"/>
    <w:rsid w:val="6A1C5DDE"/>
    <w:rsid w:val="6A252E39"/>
    <w:rsid w:val="6A283AD0"/>
    <w:rsid w:val="6A293639"/>
    <w:rsid w:val="6A334ED5"/>
    <w:rsid w:val="6A353A7B"/>
    <w:rsid w:val="6A402F67"/>
    <w:rsid w:val="6A425119"/>
    <w:rsid w:val="6A445335"/>
    <w:rsid w:val="6A470981"/>
    <w:rsid w:val="6A505A87"/>
    <w:rsid w:val="6A507835"/>
    <w:rsid w:val="6A5079C7"/>
    <w:rsid w:val="6A521800"/>
    <w:rsid w:val="6A537326"/>
    <w:rsid w:val="6A5B458F"/>
    <w:rsid w:val="6A5C267E"/>
    <w:rsid w:val="6A5F3F1C"/>
    <w:rsid w:val="6A652063"/>
    <w:rsid w:val="6A6E23B2"/>
    <w:rsid w:val="6A6E6B49"/>
    <w:rsid w:val="6A723C50"/>
    <w:rsid w:val="6A7259FE"/>
    <w:rsid w:val="6A75729C"/>
    <w:rsid w:val="6A773014"/>
    <w:rsid w:val="6A8103D7"/>
    <w:rsid w:val="6A813E93"/>
    <w:rsid w:val="6A86769D"/>
    <w:rsid w:val="6A8D2838"/>
    <w:rsid w:val="6A94006A"/>
    <w:rsid w:val="6A95793E"/>
    <w:rsid w:val="6A9873F8"/>
    <w:rsid w:val="6A9F256B"/>
    <w:rsid w:val="6AA14535"/>
    <w:rsid w:val="6AA61B4B"/>
    <w:rsid w:val="6AA87672"/>
    <w:rsid w:val="6AAC19E1"/>
    <w:rsid w:val="6AB06375"/>
    <w:rsid w:val="6AB53B26"/>
    <w:rsid w:val="6AB57FE0"/>
    <w:rsid w:val="6ABA73A5"/>
    <w:rsid w:val="6AC65D4A"/>
    <w:rsid w:val="6AD71D05"/>
    <w:rsid w:val="6AD761A9"/>
    <w:rsid w:val="6AD77F57"/>
    <w:rsid w:val="6ADA6134"/>
    <w:rsid w:val="6ADC4DD0"/>
    <w:rsid w:val="6ADE12E5"/>
    <w:rsid w:val="6AE83F12"/>
    <w:rsid w:val="6AF02DC7"/>
    <w:rsid w:val="6AF6662F"/>
    <w:rsid w:val="6AF9611F"/>
    <w:rsid w:val="6B08773F"/>
    <w:rsid w:val="6B0D3978"/>
    <w:rsid w:val="6B0F5943"/>
    <w:rsid w:val="6B105217"/>
    <w:rsid w:val="6B1732C2"/>
    <w:rsid w:val="6B1765A5"/>
    <w:rsid w:val="6B1909F6"/>
    <w:rsid w:val="6B1E16E2"/>
    <w:rsid w:val="6B2018FE"/>
    <w:rsid w:val="6B225676"/>
    <w:rsid w:val="6B251FBC"/>
    <w:rsid w:val="6B3B6738"/>
    <w:rsid w:val="6B3E1D84"/>
    <w:rsid w:val="6B421874"/>
    <w:rsid w:val="6B427AC6"/>
    <w:rsid w:val="6B432AA4"/>
    <w:rsid w:val="6B4D0219"/>
    <w:rsid w:val="6B4D1FC7"/>
    <w:rsid w:val="6B517D09"/>
    <w:rsid w:val="6B533A81"/>
    <w:rsid w:val="6B5E6668"/>
    <w:rsid w:val="6B6214E3"/>
    <w:rsid w:val="6B6555BF"/>
    <w:rsid w:val="6B6A4927"/>
    <w:rsid w:val="6B752A2D"/>
    <w:rsid w:val="6B757AC3"/>
    <w:rsid w:val="6B767770"/>
    <w:rsid w:val="6B792DBC"/>
    <w:rsid w:val="6B7D15A1"/>
    <w:rsid w:val="6B80239C"/>
    <w:rsid w:val="6B876F1F"/>
    <w:rsid w:val="6B8E4AB9"/>
    <w:rsid w:val="6B8E7ACA"/>
    <w:rsid w:val="6B8F25DF"/>
    <w:rsid w:val="6B9058B2"/>
    <w:rsid w:val="6B916358"/>
    <w:rsid w:val="6B9419A4"/>
    <w:rsid w:val="6B984B15"/>
    <w:rsid w:val="6B99520C"/>
    <w:rsid w:val="6B9D5425"/>
    <w:rsid w:val="6BA96FAE"/>
    <w:rsid w:val="6BAE0CB8"/>
    <w:rsid w:val="6BAF67DE"/>
    <w:rsid w:val="6BB12556"/>
    <w:rsid w:val="6BBF0C9F"/>
    <w:rsid w:val="6BC02799"/>
    <w:rsid w:val="6BC154C5"/>
    <w:rsid w:val="6BC71D79"/>
    <w:rsid w:val="6BC77FCB"/>
    <w:rsid w:val="6BC87862"/>
    <w:rsid w:val="6BC8789F"/>
    <w:rsid w:val="6BCE3108"/>
    <w:rsid w:val="6BCE4EB6"/>
    <w:rsid w:val="6BCF6E80"/>
    <w:rsid w:val="6BD12DE0"/>
    <w:rsid w:val="6BDC03D7"/>
    <w:rsid w:val="6BDF70C3"/>
    <w:rsid w:val="6BE0108D"/>
    <w:rsid w:val="6BE071F2"/>
    <w:rsid w:val="6BE4292B"/>
    <w:rsid w:val="6BE747E0"/>
    <w:rsid w:val="6BE94B0B"/>
    <w:rsid w:val="6BF863D7"/>
    <w:rsid w:val="6BFA3EFD"/>
    <w:rsid w:val="6BFD39ED"/>
    <w:rsid w:val="6C021003"/>
    <w:rsid w:val="6C037D2A"/>
    <w:rsid w:val="6C042FCD"/>
    <w:rsid w:val="6C092392"/>
    <w:rsid w:val="6C0A4A08"/>
    <w:rsid w:val="6C134FBF"/>
    <w:rsid w:val="6C276CBC"/>
    <w:rsid w:val="6C296590"/>
    <w:rsid w:val="6C30791F"/>
    <w:rsid w:val="6C3867D3"/>
    <w:rsid w:val="6C3F5DB4"/>
    <w:rsid w:val="6C447394"/>
    <w:rsid w:val="6C466978"/>
    <w:rsid w:val="6C472EBA"/>
    <w:rsid w:val="6C4B29AA"/>
    <w:rsid w:val="6C5225CA"/>
    <w:rsid w:val="6C57134F"/>
    <w:rsid w:val="6C5A499B"/>
    <w:rsid w:val="6C5C3A38"/>
    <w:rsid w:val="6C5C6966"/>
    <w:rsid w:val="6C5D623A"/>
    <w:rsid w:val="6C6475C8"/>
    <w:rsid w:val="6C663340"/>
    <w:rsid w:val="6C6E48EB"/>
    <w:rsid w:val="6C733CAF"/>
    <w:rsid w:val="6C7812C6"/>
    <w:rsid w:val="6C7F08A6"/>
    <w:rsid w:val="6C88775B"/>
    <w:rsid w:val="6C924135"/>
    <w:rsid w:val="6C9854C4"/>
    <w:rsid w:val="6C9F2CF6"/>
    <w:rsid w:val="6CA125CA"/>
    <w:rsid w:val="6CB06CB1"/>
    <w:rsid w:val="6CB22A29"/>
    <w:rsid w:val="6CB24CF1"/>
    <w:rsid w:val="6CB30550"/>
    <w:rsid w:val="6CB34986"/>
    <w:rsid w:val="6CB56076"/>
    <w:rsid w:val="6CB87914"/>
    <w:rsid w:val="6CBA368C"/>
    <w:rsid w:val="6CBC7404"/>
    <w:rsid w:val="6CBF3679"/>
    <w:rsid w:val="6CC62031"/>
    <w:rsid w:val="6CC83FFB"/>
    <w:rsid w:val="6CCB5899"/>
    <w:rsid w:val="6CCE28A2"/>
    <w:rsid w:val="6CCE7137"/>
    <w:rsid w:val="6CDB3937"/>
    <w:rsid w:val="6CDF00CB"/>
    <w:rsid w:val="6CE30E35"/>
    <w:rsid w:val="6CE34991"/>
    <w:rsid w:val="6CED41BB"/>
    <w:rsid w:val="6CED5810"/>
    <w:rsid w:val="6CEF1588"/>
    <w:rsid w:val="6D0A63C2"/>
    <w:rsid w:val="6D0B14CF"/>
    <w:rsid w:val="6D0B213A"/>
    <w:rsid w:val="6D140FEE"/>
    <w:rsid w:val="6D205BE5"/>
    <w:rsid w:val="6D2B6338"/>
    <w:rsid w:val="6D390A55"/>
    <w:rsid w:val="6D3A657B"/>
    <w:rsid w:val="6D3B2A1F"/>
    <w:rsid w:val="6D3C0545"/>
    <w:rsid w:val="6D3D2C47"/>
    <w:rsid w:val="6D461E4E"/>
    <w:rsid w:val="6D480C98"/>
    <w:rsid w:val="6D4E3543"/>
    <w:rsid w:val="6D57537F"/>
    <w:rsid w:val="6D5910F7"/>
    <w:rsid w:val="6D5E495F"/>
    <w:rsid w:val="6D617FAC"/>
    <w:rsid w:val="6D620092"/>
    <w:rsid w:val="6D68133A"/>
    <w:rsid w:val="6D7221B9"/>
    <w:rsid w:val="6D741A8D"/>
    <w:rsid w:val="6D77332B"/>
    <w:rsid w:val="6D8008FA"/>
    <w:rsid w:val="6D82064E"/>
    <w:rsid w:val="6D8E6FF3"/>
    <w:rsid w:val="6D946ECB"/>
    <w:rsid w:val="6D9B34BE"/>
    <w:rsid w:val="6D9B526C"/>
    <w:rsid w:val="6D9F38E2"/>
    <w:rsid w:val="6DA265FA"/>
    <w:rsid w:val="6DA71E62"/>
    <w:rsid w:val="6DA91180"/>
    <w:rsid w:val="6DAA1953"/>
    <w:rsid w:val="6DBD3434"/>
    <w:rsid w:val="6DC04CD2"/>
    <w:rsid w:val="6DC26C9C"/>
    <w:rsid w:val="6DD4077E"/>
    <w:rsid w:val="6DE24C48"/>
    <w:rsid w:val="6DE5298B"/>
    <w:rsid w:val="6DF606F4"/>
    <w:rsid w:val="6DF758F9"/>
    <w:rsid w:val="6DF763CE"/>
    <w:rsid w:val="6E001573"/>
    <w:rsid w:val="6E056B89"/>
    <w:rsid w:val="6E0B694A"/>
    <w:rsid w:val="6E0C43BB"/>
    <w:rsid w:val="6E0C74E9"/>
    <w:rsid w:val="6E0D4E6F"/>
    <w:rsid w:val="6E0E0133"/>
    <w:rsid w:val="6E0E3C8F"/>
    <w:rsid w:val="6E0F2F9F"/>
    <w:rsid w:val="6E0F771C"/>
    <w:rsid w:val="6E134515"/>
    <w:rsid w:val="6E1374F8"/>
    <w:rsid w:val="6E26547D"/>
    <w:rsid w:val="6E290AC9"/>
    <w:rsid w:val="6E292877"/>
    <w:rsid w:val="6E294EF2"/>
    <w:rsid w:val="6E2B2829"/>
    <w:rsid w:val="6E322B31"/>
    <w:rsid w:val="6E380D0C"/>
    <w:rsid w:val="6E3D3153"/>
    <w:rsid w:val="6E407BC1"/>
    <w:rsid w:val="6E4678CD"/>
    <w:rsid w:val="6E49682B"/>
    <w:rsid w:val="6E4C2A0A"/>
    <w:rsid w:val="6E531FEA"/>
    <w:rsid w:val="6E533D98"/>
    <w:rsid w:val="6E535B46"/>
    <w:rsid w:val="6E5813AF"/>
    <w:rsid w:val="6E62222D"/>
    <w:rsid w:val="6E663ACB"/>
    <w:rsid w:val="6E6B7334"/>
    <w:rsid w:val="6E7066F8"/>
    <w:rsid w:val="6E7206C2"/>
    <w:rsid w:val="6E74363E"/>
    <w:rsid w:val="6E753D0F"/>
    <w:rsid w:val="6E763D92"/>
    <w:rsid w:val="6E7A30D3"/>
    <w:rsid w:val="6E7B6E4B"/>
    <w:rsid w:val="6E895A0C"/>
    <w:rsid w:val="6E8B52E0"/>
    <w:rsid w:val="6E9C74ED"/>
    <w:rsid w:val="6EA14120"/>
    <w:rsid w:val="6EA445F4"/>
    <w:rsid w:val="6EA939B8"/>
    <w:rsid w:val="6EAD261E"/>
    <w:rsid w:val="6EB04D47"/>
    <w:rsid w:val="6EB26D11"/>
    <w:rsid w:val="6EB4152F"/>
    <w:rsid w:val="6EB8009F"/>
    <w:rsid w:val="6EBC31C7"/>
    <w:rsid w:val="6EC24A7A"/>
    <w:rsid w:val="6EC425A0"/>
    <w:rsid w:val="6EC6456A"/>
    <w:rsid w:val="6EC66318"/>
    <w:rsid w:val="6ECD55A7"/>
    <w:rsid w:val="6ED0363B"/>
    <w:rsid w:val="6ED85A05"/>
    <w:rsid w:val="6EDC3D8E"/>
    <w:rsid w:val="6EE16435"/>
    <w:rsid w:val="6EE61DD0"/>
    <w:rsid w:val="6EE8132F"/>
    <w:rsid w:val="6EE90259"/>
    <w:rsid w:val="6EEB4B04"/>
    <w:rsid w:val="6EED5F9B"/>
    <w:rsid w:val="6F0137F4"/>
    <w:rsid w:val="6F0357BE"/>
    <w:rsid w:val="6F103A37"/>
    <w:rsid w:val="6F20011E"/>
    <w:rsid w:val="6F2968A7"/>
    <w:rsid w:val="6F2A2D4B"/>
    <w:rsid w:val="6F321C00"/>
    <w:rsid w:val="6F3239AE"/>
    <w:rsid w:val="6F343BCA"/>
    <w:rsid w:val="6F3E05E1"/>
    <w:rsid w:val="6F3E5C10"/>
    <w:rsid w:val="6F3F9341"/>
    <w:rsid w:val="6F435AD5"/>
    <w:rsid w:val="6F4C0851"/>
    <w:rsid w:val="6F4D4C8B"/>
    <w:rsid w:val="6F527D12"/>
    <w:rsid w:val="6F5B1156"/>
    <w:rsid w:val="6F5F12BC"/>
    <w:rsid w:val="6F6873CF"/>
    <w:rsid w:val="6F6E4088"/>
    <w:rsid w:val="6F7276C2"/>
    <w:rsid w:val="6F7615ED"/>
    <w:rsid w:val="6F80296B"/>
    <w:rsid w:val="6F9957DB"/>
    <w:rsid w:val="6F9B13A4"/>
    <w:rsid w:val="6F9F0470"/>
    <w:rsid w:val="6FA0300D"/>
    <w:rsid w:val="6FA56875"/>
    <w:rsid w:val="6FAA3E8C"/>
    <w:rsid w:val="6FAB29C1"/>
    <w:rsid w:val="6FAB550E"/>
    <w:rsid w:val="6FB304A2"/>
    <w:rsid w:val="6FC51A13"/>
    <w:rsid w:val="6FD40F09"/>
    <w:rsid w:val="6FDD7DBD"/>
    <w:rsid w:val="6FE037CC"/>
    <w:rsid w:val="6FE32EFA"/>
    <w:rsid w:val="6FE729EA"/>
    <w:rsid w:val="6FEF189F"/>
    <w:rsid w:val="6FF440BA"/>
    <w:rsid w:val="6FF84BF7"/>
    <w:rsid w:val="6FF9271D"/>
    <w:rsid w:val="6FFE1AE2"/>
    <w:rsid w:val="70001CFE"/>
    <w:rsid w:val="70096E04"/>
    <w:rsid w:val="700A0487"/>
    <w:rsid w:val="700A66D9"/>
    <w:rsid w:val="700C2451"/>
    <w:rsid w:val="700D5590"/>
    <w:rsid w:val="70163753"/>
    <w:rsid w:val="70194B6E"/>
    <w:rsid w:val="701D01BA"/>
    <w:rsid w:val="702754DC"/>
    <w:rsid w:val="702C664F"/>
    <w:rsid w:val="702F4391"/>
    <w:rsid w:val="7036127C"/>
    <w:rsid w:val="703B2D36"/>
    <w:rsid w:val="704020FA"/>
    <w:rsid w:val="70447E3C"/>
    <w:rsid w:val="704509C1"/>
    <w:rsid w:val="70452E07"/>
    <w:rsid w:val="70497201"/>
    <w:rsid w:val="705067E1"/>
    <w:rsid w:val="705160B5"/>
    <w:rsid w:val="70560B9A"/>
    <w:rsid w:val="705A140E"/>
    <w:rsid w:val="705F07D2"/>
    <w:rsid w:val="70645DE9"/>
    <w:rsid w:val="706633D4"/>
    <w:rsid w:val="70691651"/>
    <w:rsid w:val="706933FF"/>
    <w:rsid w:val="706B361B"/>
    <w:rsid w:val="706E6C67"/>
    <w:rsid w:val="707029DF"/>
    <w:rsid w:val="70711EF0"/>
    <w:rsid w:val="70756248"/>
    <w:rsid w:val="70757FF6"/>
    <w:rsid w:val="7080214B"/>
    <w:rsid w:val="70860455"/>
    <w:rsid w:val="708C17E3"/>
    <w:rsid w:val="7090408E"/>
    <w:rsid w:val="70904E30"/>
    <w:rsid w:val="70910BA8"/>
    <w:rsid w:val="70952446"/>
    <w:rsid w:val="70974410"/>
    <w:rsid w:val="70986E39"/>
    <w:rsid w:val="709A03B2"/>
    <w:rsid w:val="709C1A26"/>
    <w:rsid w:val="709D6074"/>
    <w:rsid w:val="70A26535"/>
    <w:rsid w:val="70A408DB"/>
    <w:rsid w:val="70AB3A18"/>
    <w:rsid w:val="70B054D2"/>
    <w:rsid w:val="70B07280"/>
    <w:rsid w:val="70B12FF8"/>
    <w:rsid w:val="70B20AD5"/>
    <w:rsid w:val="70B42BBA"/>
    <w:rsid w:val="70BD374B"/>
    <w:rsid w:val="70BE6DCA"/>
    <w:rsid w:val="70C26FB3"/>
    <w:rsid w:val="70C76378"/>
    <w:rsid w:val="70D171F6"/>
    <w:rsid w:val="70D311C0"/>
    <w:rsid w:val="70E150EF"/>
    <w:rsid w:val="70E30808"/>
    <w:rsid w:val="70EE591B"/>
    <w:rsid w:val="70F21646"/>
    <w:rsid w:val="70FC0717"/>
    <w:rsid w:val="70FF3D63"/>
    <w:rsid w:val="71072C18"/>
    <w:rsid w:val="71096990"/>
    <w:rsid w:val="71105F71"/>
    <w:rsid w:val="71175551"/>
    <w:rsid w:val="7118679B"/>
    <w:rsid w:val="711E068D"/>
    <w:rsid w:val="71211F2C"/>
    <w:rsid w:val="71257C55"/>
    <w:rsid w:val="712D267F"/>
    <w:rsid w:val="7131740F"/>
    <w:rsid w:val="71327C95"/>
    <w:rsid w:val="71330988"/>
    <w:rsid w:val="71336FC4"/>
    <w:rsid w:val="71341C5F"/>
    <w:rsid w:val="71352C64"/>
    <w:rsid w:val="71445C1A"/>
    <w:rsid w:val="71493231"/>
    <w:rsid w:val="715440AF"/>
    <w:rsid w:val="7157594D"/>
    <w:rsid w:val="715F4802"/>
    <w:rsid w:val="7161057A"/>
    <w:rsid w:val="71795354"/>
    <w:rsid w:val="717E037B"/>
    <w:rsid w:val="717E2EDA"/>
    <w:rsid w:val="718322C9"/>
    <w:rsid w:val="718524BB"/>
    <w:rsid w:val="718A3256"/>
    <w:rsid w:val="718A5D23"/>
    <w:rsid w:val="71940C37"/>
    <w:rsid w:val="71995F66"/>
    <w:rsid w:val="719A601F"/>
    <w:rsid w:val="719D4EF1"/>
    <w:rsid w:val="71A36DE5"/>
    <w:rsid w:val="71A62431"/>
    <w:rsid w:val="71B46975"/>
    <w:rsid w:val="71B7463E"/>
    <w:rsid w:val="71BC1C54"/>
    <w:rsid w:val="71C07997"/>
    <w:rsid w:val="71C32FE3"/>
    <w:rsid w:val="71C72AD3"/>
    <w:rsid w:val="71C8684B"/>
    <w:rsid w:val="71CD20B4"/>
    <w:rsid w:val="71D15700"/>
    <w:rsid w:val="71D21478"/>
    <w:rsid w:val="71D40D4C"/>
    <w:rsid w:val="71DB657E"/>
    <w:rsid w:val="71DE1BCB"/>
    <w:rsid w:val="71E04502"/>
    <w:rsid w:val="71E35433"/>
    <w:rsid w:val="71E847F7"/>
    <w:rsid w:val="71EC4BF4"/>
    <w:rsid w:val="71F612F9"/>
    <w:rsid w:val="71F73A6C"/>
    <w:rsid w:val="71FA0594"/>
    <w:rsid w:val="71FB452B"/>
    <w:rsid w:val="72007D93"/>
    <w:rsid w:val="72077373"/>
    <w:rsid w:val="720F447A"/>
    <w:rsid w:val="72113D4E"/>
    <w:rsid w:val="72121874"/>
    <w:rsid w:val="721B697B"/>
    <w:rsid w:val="722872EA"/>
    <w:rsid w:val="7235622E"/>
    <w:rsid w:val="723B526F"/>
    <w:rsid w:val="724F0D1A"/>
    <w:rsid w:val="72541F51"/>
    <w:rsid w:val="7258197D"/>
    <w:rsid w:val="725E4ABA"/>
    <w:rsid w:val="72602A76"/>
    <w:rsid w:val="72604CD6"/>
    <w:rsid w:val="726246F7"/>
    <w:rsid w:val="72671BC0"/>
    <w:rsid w:val="726A7902"/>
    <w:rsid w:val="7271224F"/>
    <w:rsid w:val="72730565"/>
    <w:rsid w:val="72760055"/>
    <w:rsid w:val="72777687"/>
    <w:rsid w:val="727D5C94"/>
    <w:rsid w:val="727D7636"/>
    <w:rsid w:val="72800ED4"/>
    <w:rsid w:val="728221C1"/>
    <w:rsid w:val="728269FA"/>
    <w:rsid w:val="7283029F"/>
    <w:rsid w:val="72843DB7"/>
    <w:rsid w:val="729055BB"/>
    <w:rsid w:val="729130E1"/>
    <w:rsid w:val="729606F7"/>
    <w:rsid w:val="729A3D44"/>
    <w:rsid w:val="729B666C"/>
    <w:rsid w:val="729D1A86"/>
    <w:rsid w:val="729F75AC"/>
    <w:rsid w:val="72A1574A"/>
    <w:rsid w:val="72A746B3"/>
    <w:rsid w:val="72A76461"/>
    <w:rsid w:val="72A9042B"/>
    <w:rsid w:val="72B2653C"/>
    <w:rsid w:val="72B55021"/>
    <w:rsid w:val="72B82A2F"/>
    <w:rsid w:val="72D03C09"/>
    <w:rsid w:val="72D07765"/>
    <w:rsid w:val="72D40B01"/>
    <w:rsid w:val="72D420CF"/>
    <w:rsid w:val="72D8187A"/>
    <w:rsid w:val="72D82ABE"/>
    <w:rsid w:val="72DF3E4C"/>
    <w:rsid w:val="72E041B6"/>
    <w:rsid w:val="72E262CE"/>
    <w:rsid w:val="72E4504A"/>
    <w:rsid w:val="72E96A79"/>
    <w:rsid w:val="72ED2371"/>
    <w:rsid w:val="72FA3784"/>
    <w:rsid w:val="72FD42D3"/>
    <w:rsid w:val="73012015"/>
    <w:rsid w:val="73013DC3"/>
    <w:rsid w:val="730D5951"/>
    <w:rsid w:val="73104006"/>
    <w:rsid w:val="731A30D6"/>
    <w:rsid w:val="73217FC1"/>
    <w:rsid w:val="732E26DE"/>
    <w:rsid w:val="732F3B04"/>
    <w:rsid w:val="73307239"/>
    <w:rsid w:val="733A0718"/>
    <w:rsid w:val="733B20A7"/>
    <w:rsid w:val="733C304D"/>
    <w:rsid w:val="733E6DC5"/>
    <w:rsid w:val="733F1EB8"/>
    <w:rsid w:val="733F48EB"/>
    <w:rsid w:val="73412411"/>
    <w:rsid w:val="734A1A0D"/>
    <w:rsid w:val="73532842"/>
    <w:rsid w:val="73532EFF"/>
    <w:rsid w:val="735E1215"/>
    <w:rsid w:val="735E4F7B"/>
    <w:rsid w:val="735F321F"/>
    <w:rsid w:val="736B1B84"/>
    <w:rsid w:val="736F3422"/>
    <w:rsid w:val="737A5923"/>
    <w:rsid w:val="73830C7C"/>
    <w:rsid w:val="73841D2D"/>
    <w:rsid w:val="738661CC"/>
    <w:rsid w:val="738A025C"/>
    <w:rsid w:val="738B18DE"/>
    <w:rsid w:val="738E13CF"/>
    <w:rsid w:val="73942E89"/>
    <w:rsid w:val="73962B79"/>
    <w:rsid w:val="73993FFB"/>
    <w:rsid w:val="739A7D73"/>
    <w:rsid w:val="739C1D3D"/>
    <w:rsid w:val="739C7F8F"/>
    <w:rsid w:val="739E7864"/>
    <w:rsid w:val="73A12E13"/>
    <w:rsid w:val="73A17354"/>
    <w:rsid w:val="73A26A77"/>
    <w:rsid w:val="73B01345"/>
    <w:rsid w:val="73B3232A"/>
    <w:rsid w:val="73BC6D60"/>
    <w:rsid w:val="73BE7F06"/>
    <w:rsid w:val="73BF7973"/>
    <w:rsid w:val="73C848E1"/>
    <w:rsid w:val="73CE5B38"/>
    <w:rsid w:val="73D51B16"/>
    <w:rsid w:val="73D9089C"/>
    <w:rsid w:val="73E07E7C"/>
    <w:rsid w:val="73E536E4"/>
    <w:rsid w:val="73EB6404"/>
    <w:rsid w:val="73FB5069"/>
    <w:rsid w:val="740117C0"/>
    <w:rsid w:val="740643A1"/>
    <w:rsid w:val="74070338"/>
    <w:rsid w:val="74082F2F"/>
    <w:rsid w:val="740A456F"/>
    <w:rsid w:val="740F250F"/>
    <w:rsid w:val="74100036"/>
    <w:rsid w:val="74116287"/>
    <w:rsid w:val="741473C6"/>
    <w:rsid w:val="74181306"/>
    <w:rsid w:val="741E2752"/>
    <w:rsid w:val="74237D69"/>
    <w:rsid w:val="743770C8"/>
    <w:rsid w:val="744077DC"/>
    <w:rsid w:val="7443040B"/>
    <w:rsid w:val="7443665D"/>
    <w:rsid w:val="74454183"/>
    <w:rsid w:val="74471CA9"/>
    <w:rsid w:val="744D3038"/>
    <w:rsid w:val="74620891"/>
    <w:rsid w:val="746960C4"/>
    <w:rsid w:val="746D516C"/>
    <w:rsid w:val="746F37A1"/>
    <w:rsid w:val="746F68AF"/>
    <w:rsid w:val="747405C4"/>
    <w:rsid w:val="74786307"/>
    <w:rsid w:val="747B7BA5"/>
    <w:rsid w:val="747FD5AB"/>
    <w:rsid w:val="748202E9"/>
    <w:rsid w:val="748527D2"/>
    <w:rsid w:val="749224A9"/>
    <w:rsid w:val="749649DF"/>
    <w:rsid w:val="74A72FAF"/>
    <w:rsid w:val="74A94712"/>
    <w:rsid w:val="74AA048A"/>
    <w:rsid w:val="74AB134F"/>
    <w:rsid w:val="74AF5AA0"/>
    <w:rsid w:val="74B60BDD"/>
    <w:rsid w:val="74BD01BD"/>
    <w:rsid w:val="74C0081A"/>
    <w:rsid w:val="74C652C4"/>
    <w:rsid w:val="74CC0400"/>
    <w:rsid w:val="74D44721"/>
    <w:rsid w:val="74DB6895"/>
    <w:rsid w:val="74DD0860"/>
    <w:rsid w:val="74E7348C"/>
    <w:rsid w:val="74E9443F"/>
    <w:rsid w:val="74E97204"/>
    <w:rsid w:val="74EA3555"/>
    <w:rsid w:val="74EC2851"/>
    <w:rsid w:val="74EC45FF"/>
    <w:rsid w:val="74F00593"/>
    <w:rsid w:val="74F01508"/>
    <w:rsid w:val="74F073C7"/>
    <w:rsid w:val="74F17E67"/>
    <w:rsid w:val="74F57957"/>
    <w:rsid w:val="74F6547D"/>
    <w:rsid w:val="74FD680C"/>
    <w:rsid w:val="74FF2584"/>
    <w:rsid w:val="74FF4332"/>
    <w:rsid w:val="7501454E"/>
    <w:rsid w:val="75041948"/>
    <w:rsid w:val="75047B9A"/>
    <w:rsid w:val="750951B1"/>
    <w:rsid w:val="750C2607"/>
    <w:rsid w:val="750C7615"/>
    <w:rsid w:val="75104791"/>
    <w:rsid w:val="75105270"/>
    <w:rsid w:val="75155D26"/>
    <w:rsid w:val="75241FEA"/>
    <w:rsid w:val="752913AF"/>
    <w:rsid w:val="75295853"/>
    <w:rsid w:val="753366D1"/>
    <w:rsid w:val="753B10E2"/>
    <w:rsid w:val="753C15DA"/>
    <w:rsid w:val="754045EC"/>
    <w:rsid w:val="754206C3"/>
    <w:rsid w:val="754555EF"/>
    <w:rsid w:val="754937FF"/>
    <w:rsid w:val="75502DDF"/>
    <w:rsid w:val="75525022"/>
    <w:rsid w:val="75530B22"/>
    <w:rsid w:val="755C406C"/>
    <w:rsid w:val="756602B2"/>
    <w:rsid w:val="756643B1"/>
    <w:rsid w:val="7568637B"/>
    <w:rsid w:val="75705230"/>
    <w:rsid w:val="75706FDE"/>
    <w:rsid w:val="757E5B9F"/>
    <w:rsid w:val="7581743D"/>
    <w:rsid w:val="759058D2"/>
    <w:rsid w:val="75974E97"/>
    <w:rsid w:val="759E7FEF"/>
    <w:rsid w:val="75A1188D"/>
    <w:rsid w:val="75A82C1C"/>
    <w:rsid w:val="75A86778"/>
    <w:rsid w:val="75A90742"/>
    <w:rsid w:val="75AC4499"/>
    <w:rsid w:val="75AD1FE0"/>
    <w:rsid w:val="75AD28EC"/>
    <w:rsid w:val="75AE25D4"/>
    <w:rsid w:val="75B4336E"/>
    <w:rsid w:val="75B90985"/>
    <w:rsid w:val="75BA46FD"/>
    <w:rsid w:val="75BC2223"/>
    <w:rsid w:val="75E33C54"/>
    <w:rsid w:val="75EA4FE2"/>
    <w:rsid w:val="75EB48B6"/>
    <w:rsid w:val="75EF43A6"/>
    <w:rsid w:val="75F95F98"/>
    <w:rsid w:val="75FE283B"/>
    <w:rsid w:val="76041A24"/>
    <w:rsid w:val="76067942"/>
    <w:rsid w:val="761262E7"/>
    <w:rsid w:val="76143E0D"/>
    <w:rsid w:val="761756AB"/>
    <w:rsid w:val="76191423"/>
    <w:rsid w:val="761C5F12"/>
    <w:rsid w:val="761E4C8C"/>
    <w:rsid w:val="762027B2"/>
    <w:rsid w:val="7625426C"/>
    <w:rsid w:val="76263B40"/>
    <w:rsid w:val="762D3121"/>
    <w:rsid w:val="762D4ECF"/>
    <w:rsid w:val="762D67F3"/>
    <w:rsid w:val="76342701"/>
    <w:rsid w:val="763B583E"/>
    <w:rsid w:val="763F1AD3"/>
    <w:rsid w:val="764566BC"/>
    <w:rsid w:val="764D0FCD"/>
    <w:rsid w:val="764F6CF6"/>
    <w:rsid w:val="765C3EE9"/>
    <w:rsid w:val="76654669"/>
    <w:rsid w:val="766F7295"/>
    <w:rsid w:val="768014A2"/>
    <w:rsid w:val="76854D0B"/>
    <w:rsid w:val="7689645A"/>
    <w:rsid w:val="768A0573"/>
    <w:rsid w:val="768A2F50"/>
    <w:rsid w:val="768A40CF"/>
    <w:rsid w:val="768E6006"/>
    <w:rsid w:val="76903014"/>
    <w:rsid w:val="76916257"/>
    <w:rsid w:val="76981E32"/>
    <w:rsid w:val="769B008A"/>
    <w:rsid w:val="76A038F3"/>
    <w:rsid w:val="76A258BD"/>
    <w:rsid w:val="76A34233"/>
    <w:rsid w:val="76B4739E"/>
    <w:rsid w:val="76BB24DB"/>
    <w:rsid w:val="76C021E7"/>
    <w:rsid w:val="76C45833"/>
    <w:rsid w:val="76CA6BC2"/>
    <w:rsid w:val="76CD220E"/>
    <w:rsid w:val="76CF41D8"/>
    <w:rsid w:val="76D31F1A"/>
    <w:rsid w:val="76D637B8"/>
    <w:rsid w:val="76D67314"/>
    <w:rsid w:val="76DF266D"/>
    <w:rsid w:val="76DF7DD5"/>
    <w:rsid w:val="76E25CB9"/>
    <w:rsid w:val="76E934EC"/>
    <w:rsid w:val="76EB7264"/>
    <w:rsid w:val="76EC7AE6"/>
    <w:rsid w:val="76F105F2"/>
    <w:rsid w:val="76F36118"/>
    <w:rsid w:val="76FF4961"/>
    <w:rsid w:val="7706409E"/>
    <w:rsid w:val="770E6AAE"/>
    <w:rsid w:val="77161E07"/>
    <w:rsid w:val="77162EED"/>
    <w:rsid w:val="771A5453"/>
    <w:rsid w:val="771C1E27"/>
    <w:rsid w:val="7722255A"/>
    <w:rsid w:val="772462D2"/>
    <w:rsid w:val="77302EC9"/>
    <w:rsid w:val="77336515"/>
    <w:rsid w:val="77352DB4"/>
    <w:rsid w:val="773659A0"/>
    <w:rsid w:val="77366005"/>
    <w:rsid w:val="773724A9"/>
    <w:rsid w:val="77387FCF"/>
    <w:rsid w:val="773D7394"/>
    <w:rsid w:val="7744499A"/>
    <w:rsid w:val="774953A3"/>
    <w:rsid w:val="774C5829"/>
    <w:rsid w:val="774D0E49"/>
    <w:rsid w:val="774D605A"/>
    <w:rsid w:val="77550B81"/>
    <w:rsid w:val="7759307A"/>
    <w:rsid w:val="775A7284"/>
    <w:rsid w:val="775C1F10"/>
    <w:rsid w:val="775F555C"/>
    <w:rsid w:val="77664B3C"/>
    <w:rsid w:val="776E579F"/>
    <w:rsid w:val="776F3F7C"/>
    <w:rsid w:val="77752FD1"/>
    <w:rsid w:val="77756B2D"/>
    <w:rsid w:val="77764653"/>
    <w:rsid w:val="77770656"/>
    <w:rsid w:val="777E57F6"/>
    <w:rsid w:val="778B00FF"/>
    <w:rsid w:val="778B17C2"/>
    <w:rsid w:val="77903967"/>
    <w:rsid w:val="779416A9"/>
    <w:rsid w:val="779571D0"/>
    <w:rsid w:val="77A13DC6"/>
    <w:rsid w:val="77A15B74"/>
    <w:rsid w:val="77A25449"/>
    <w:rsid w:val="77A61681"/>
    <w:rsid w:val="77A6767B"/>
    <w:rsid w:val="77A967D7"/>
    <w:rsid w:val="77AD276B"/>
    <w:rsid w:val="77AD62C7"/>
    <w:rsid w:val="77B27D81"/>
    <w:rsid w:val="77B37656"/>
    <w:rsid w:val="77B51620"/>
    <w:rsid w:val="77BB7AC2"/>
    <w:rsid w:val="77BC29AE"/>
    <w:rsid w:val="77C81E5A"/>
    <w:rsid w:val="77CA2A48"/>
    <w:rsid w:val="77D221D2"/>
    <w:rsid w:val="77D53CE3"/>
    <w:rsid w:val="77D630EC"/>
    <w:rsid w:val="77E02B9B"/>
    <w:rsid w:val="77E26F64"/>
    <w:rsid w:val="77E357ED"/>
    <w:rsid w:val="77E55684"/>
    <w:rsid w:val="77E7E880"/>
    <w:rsid w:val="77ED0DBA"/>
    <w:rsid w:val="77EE068E"/>
    <w:rsid w:val="77F008AA"/>
    <w:rsid w:val="77F24B85"/>
    <w:rsid w:val="77FA34D6"/>
    <w:rsid w:val="77FB725B"/>
    <w:rsid w:val="77FC0FFD"/>
    <w:rsid w:val="78061E7B"/>
    <w:rsid w:val="780879A1"/>
    <w:rsid w:val="780D6D66"/>
    <w:rsid w:val="78191BAF"/>
    <w:rsid w:val="781C169F"/>
    <w:rsid w:val="781F6A99"/>
    <w:rsid w:val="78241686"/>
    <w:rsid w:val="782444F0"/>
    <w:rsid w:val="782F3180"/>
    <w:rsid w:val="78320EC2"/>
    <w:rsid w:val="78322C70"/>
    <w:rsid w:val="78372035"/>
    <w:rsid w:val="783C589D"/>
    <w:rsid w:val="78412EB3"/>
    <w:rsid w:val="78441036"/>
    <w:rsid w:val="784A620C"/>
    <w:rsid w:val="784C2381"/>
    <w:rsid w:val="784D3606"/>
    <w:rsid w:val="78580F26"/>
    <w:rsid w:val="785C1A9B"/>
    <w:rsid w:val="7862510D"/>
    <w:rsid w:val="786646C8"/>
    <w:rsid w:val="786B1CDE"/>
    <w:rsid w:val="786F17CF"/>
    <w:rsid w:val="786F3A75"/>
    <w:rsid w:val="787119EB"/>
    <w:rsid w:val="78747106"/>
    <w:rsid w:val="787741D1"/>
    <w:rsid w:val="787A3ED4"/>
    <w:rsid w:val="78872FBC"/>
    <w:rsid w:val="788C3D53"/>
    <w:rsid w:val="789254BD"/>
    <w:rsid w:val="78993069"/>
    <w:rsid w:val="7899684C"/>
    <w:rsid w:val="78AC2A23"/>
    <w:rsid w:val="78B74F24"/>
    <w:rsid w:val="78BB2C66"/>
    <w:rsid w:val="78D855C6"/>
    <w:rsid w:val="78E0447A"/>
    <w:rsid w:val="78E201F2"/>
    <w:rsid w:val="78E57CE3"/>
    <w:rsid w:val="78E73A5B"/>
    <w:rsid w:val="78EE1A34"/>
    <w:rsid w:val="78EF46BD"/>
    <w:rsid w:val="78FB3062"/>
    <w:rsid w:val="78FC33D7"/>
    <w:rsid w:val="790068CB"/>
    <w:rsid w:val="790243F1"/>
    <w:rsid w:val="79091C23"/>
    <w:rsid w:val="79115111"/>
    <w:rsid w:val="791B54B2"/>
    <w:rsid w:val="791E4FA3"/>
    <w:rsid w:val="79202AC9"/>
    <w:rsid w:val="79240D60"/>
    <w:rsid w:val="79272A8A"/>
    <w:rsid w:val="792C3B64"/>
    <w:rsid w:val="79330A4E"/>
    <w:rsid w:val="79332946"/>
    <w:rsid w:val="79332E67"/>
    <w:rsid w:val="79336CA0"/>
    <w:rsid w:val="793842B6"/>
    <w:rsid w:val="793A002E"/>
    <w:rsid w:val="793D18CD"/>
    <w:rsid w:val="794C38BE"/>
    <w:rsid w:val="794E3ADA"/>
    <w:rsid w:val="795D2BE1"/>
    <w:rsid w:val="79607369"/>
    <w:rsid w:val="796108B4"/>
    <w:rsid w:val="79627585"/>
    <w:rsid w:val="79646E59"/>
    <w:rsid w:val="79675CF2"/>
    <w:rsid w:val="796E1A86"/>
    <w:rsid w:val="796E77C6"/>
    <w:rsid w:val="79713E7F"/>
    <w:rsid w:val="7973709D"/>
    <w:rsid w:val="79754594"/>
    <w:rsid w:val="79782905"/>
    <w:rsid w:val="797A48CF"/>
    <w:rsid w:val="797B1362"/>
    <w:rsid w:val="797F0137"/>
    <w:rsid w:val="79870D9A"/>
    <w:rsid w:val="79992A19"/>
    <w:rsid w:val="79A436FA"/>
    <w:rsid w:val="79A71777"/>
    <w:rsid w:val="79A75717"/>
    <w:rsid w:val="79AC6571"/>
    <w:rsid w:val="79AE4579"/>
    <w:rsid w:val="79BF22E2"/>
    <w:rsid w:val="79C124FE"/>
    <w:rsid w:val="79C142AC"/>
    <w:rsid w:val="79C67B14"/>
    <w:rsid w:val="79C93160"/>
    <w:rsid w:val="79CC49FF"/>
    <w:rsid w:val="79D00993"/>
    <w:rsid w:val="79D02741"/>
    <w:rsid w:val="79D264B9"/>
    <w:rsid w:val="79D73ACF"/>
    <w:rsid w:val="79DA536E"/>
    <w:rsid w:val="79DC08AE"/>
    <w:rsid w:val="79E955B1"/>
    <w:rsid w:val="79EE2BC7"/>
    <w:rsid w:val="79F04B91"/>
    <w:rsid w:val="79F74636"/>
    <w:rsid w:val="79F75F20"/>
    <w:rsid w:val="79FBA307"/>
    <w:rsid w:val="7A010B4C"/>
    <w:rsid w:val="7A04063C"/>
    <w:rsid w:val="7A0C2F65"/>
    <w:rsid w:val="7A102B3D"/>
    <w:rsid w:val="7A1268B5"/>
    <w:rsid w:val="7A1A1C0E"/>
    <w:rsid w:val="7A212F9C"/>
    <w:rsid w:val="7A2425A4"/>
    <w:rsid w:val="7A291E51"/>
    <w:rsid w:val="7A2B5BC9"/>
    <w:rsid w:val="7A2D1941"/>
    <w:rsid w:val="7A340F22"/>
    <w:rsid w:val="7A37456E"/>
    <w:rsid w:val="7A3905A1"/>
    <w:rsid w:val="7A3B22B0"/>
    <w:rsid w:val="7A3F3423"/>
    <w:rsid w:val="7A454EDD"/>
    <w:rsid w:val="7A456C8B"/>
    <w:rsid w:val="7A505630"/>
    <w:rsid w:val="7A552C46"/>
    <w:rsid w:val="7A595CB5"/>
    <w:rsid w:val="7A5C3FCF"/>
    <w:rsid w:val="7A5C71B0"/>
    <w:rsid w:val="7A5F5873"/>
    <w:rsid w:val="7A652E89"/>
    <w:rsid w:val="7A6A32E4"/>
    <w:rsid w:val="7A6B4218"/>
    <w:rsid w:val="7A7430CC"/>
    <w:rsid w:val="7A772BBC"/>
    <w:rsid w:val="7A773114"/>
    <w:rsid w:val="7A7A445B"/>
    <w:rsid w:val="7A7E03EF"/>
    <w:rsid w:val="7A7E219D"/>
    <w:rsid w:val="7A7E738E"/>
    <w:rsid w:val="7A810E46"/>
    <w:rsid w:val="7A835C07"/>
    <w:rsid w:val="7A8603DC"/>
    <w:rsid w:val="7A8A00FA"/>
    <w:rsid w:val="7A920C25"/>
    <w:rsid w:val="7A995229"/>
    <w:rsid w:val="7A9B2D4F"/>
    <w:rsid w:val="7AA02113"/>
    <w:rsid w:val="7AA31C03"/>
    <w:rsid w:val="7AA5772A"/>
    <w:rsid w:val="7AA716F4"/>
    <w:rsid w:val="7AAA2F92"/>
    <w:rsid w:val="7AAB2866"/>
    <w:rsid w:val="7AB20098"/>
    <w:rsid w:val="7AC04563"/>
    <w:rsid w:val="7AC31DEF"/>
    <w:rsid w:val="7AC7547F"/>
    <w:rsid w:val="7ACC115A"/>
    <w:rsid w:val="7ACF0C4A"/>
    <w:rsid w:val="7AD63D87"/>
    <w:rsid w:val="7AE04C06"/>
    <w:rsid w:val="7AE446F6"/>
    <w:rsid w:val="7AE55D78"/>
    <w:rsid w:val="7AEA5A84"/>
    <w:rsid w:val="7AEF309B"/>
    <w:rsid w:val="7AF62CB5"/>
    <w:rsid w:val="7AF81F4F"/>
    <w:rsid w:val="7AF97A75"/>
    <w:rsid w:val="7AFB559C"/>
    <w:rsid w:val="7AFD57B8"/>
    <w:rsid w:val="7B09415C"/>
    <w:rsid w:val="7B0A57DF"/>
    <w:rsid w:val="7B0F7299"/>
    <w:rsid w:val="7B152B01"/>
    <w:rsid w:val="7B1B3E90"/>
    <w:rsid w:val="7B1D19B6"/>
    <w:rsid w:val="7B1E0BE4"/>
    <w:rsid w:val="7B220D7A"/>
    <w:rsid w:val="7B234AF2"/>
    <w:rsid w:val="7B252618"/>
    <w:rsid w:val="7B2745E3"/>
    <w:rsid w:val="7B3A2568"/>
    <w:rsid w:val="7B3A4316"/>
    <w:rsid w:val="7B3A6C7C"/>
    <w:rsid w:val="7B493C57"/>
    <w:rsid w:val="7B51340D"/>
    <w:rsid w:val="7B5B24DE"/>
    <w:rsid w:val="7B5B603A"/>
    <w:rsid w:val="7B6475E5"/>
    <w:rsid w:val="7B68086A"/>
    <w:rsid w:val="7B6A44CF"/>
    <w:rsid w:val="7B7A0F23"/>
    <w:rsid w:val="7B7D4202"/>
    <w:rsid w:val="7B890DF9"/>
    <w:rsid w:val="7B8F3F36"/>
    <w:rsid w:val="7B9559F0"/>
    <w:rsid w:val="7B9652C4"/>
    <w:rsid w:val="7B9B0B2D"/>
    <w:rsid w:val="7BA14395"/>
    <w:rsid w:val="7BA43E85"/>
    <w:rsid w:val="7BA75723"/>
    <w:rsid w:val="7BB51BEE"/>
    <w:rsid w:val="7BB95729"/>
    <w:rsid w:val="7BC462D5"/>
    <w:rsid w:val="7BC938EC"/>
    <w:rsid w:val="7BCB1412"/>
    <w:rsid w:val="7BCC0CE6"/>
    <w:rsid w:val="7BCD518A"/>
    <w:rsid w:val="7BD81D81"/>
    <w:rsid w:val="7BD94E15"/>
    <w:rsid w:val="7BDA3403"/>
    <w:rsid w:val="7BDC10B2"/>
    <w:rsid w:val="7BDD2EF3"/>
    <w:rsid w:val="7BE97AEA"/>
    <w:rsid w:val="7BED75DA"/>
    <w:rsid w:val="7BF00E78"/>
    <w:rsid w:val="7BF070CA"/>
    <w:rsid w:val="7BF2699E"/>
    <w:rsid w:val="7BF30969"/>
    <w:rsid w:val="7BF85F7F"/>
    <w:rsid w:val="7BFC76FD"/>
    <w:rsid w:val="7BFF508C"/>
    <w:rsid w:val="7C011166"/>
    <w:rsid w:val="7C031C34"/>
    <w:rsid w:val="7C043085"/>
    <w:rsid w:val="7C0641F8"/>
    <w:rsid w:val="7C076468"/>
    <w:rsid w:val="7C0B180E"/>
    <w:rsid w:val="7C1223C0"/>
    <w:rsid w:val="7C122B9D"/>
    <w:rsid w:val="7C127041"/>
    <w:rsid w:val="7C136915"/>
    <w:rsid w:val="7C177021"/>
    <w:rsid w:val="7C1C0647"/>
    <w:rsid w:val="7C1C1C6D"/>
    <w:rsid w:val="7C1C7EBF"/>
    <w:rsid w:val="7C29438A"/>
    <w:rsid w:val="7C35666D"/>
    <w:rsid w:val="7C3945CD"/>
    <w:rsid w:val="7C3A0345"/>
    <w:rsid w:val="7C3A20F4"/>
    <w:rsid w:val="7C3F770A"/>
    <w:rsid w:val="7C4116D4"/>
    <w:rsid w:val="7C4165F9"/>
    <w:rsid w:val="7C460A98"/>
    <w:rsid w:val="7C52568F"/>
    <w:rsid w:val="7C574A54"/>
    <w:rsid w:val="7C5A4544"/>
    <w:rsid w:val="7C5E5DE2"/>
    <w:rsid w:val="7C5F7DAC"/>
    <w:rsid w:val="7C606A27"/>
    <w:rsid w:val="7C653614"/>
    <w:rsid w:val="7C66180B"/>
    <w:rsid w:val="7C6C7B98"/>
    <w:rsid w:val="7C6F0797"/>
    <w:rsid w:val="7C743857"/>
    <w:rsid w:val="7C7750F6"/>
    <w:rsid w:val="7C7A6994"/>
    <w:rsid w:val="7C831CEC"/>
    <w:rsid w:val="7C8E41ED"/>
    <w:rsid w:val="7C98391B"/>
    <w:rsid w:val="7CA0464C"/>
    <w:rsid w:val="7CA659DB"/>
    <w:rsid w:val="7CA76112"/>
    <w:rsid w:val="7CAD41E9"/>
    <w:rsid w:val="7CC00899"/>
    <w:rsid w:val="7CC03B93"/>
    <w:rsid w:val="7CC3658D"/>
    <w:rsid w:val="7CCC5441"/>
    <w:rsid w:val="7CD10F40"/>
    <w:rsid w:val="7CD442F6"/>
    <w:rsid w:val="7CD460A4"/>
    <w:rsid w:val="7CD6006E"/>
    <w:rsid w:val="7CD8550C"/>
    <w:rsid w:val="7CE02C9B"/>
    <w:rsid w:val="7CE309DD"/>
    <w:rsid w:val="7CE33047"/>
    <w:rsid w:val="7CE86B63"/>
    <w:rsid w:val="7CEC7720"/>
    <w:rsid w:val="7CEC7892"/>
    <w:rsid w:val="7CF2748B"/>
    <w:rsid w:val="7CF55323"/>
    <w:rsid w:val="7CFB7AD5"/>
    <w:rsid w:val="7D056BA5"/>
    <w:rsid w:val="7D090BA1"/>
    <w:rsid w:val="7D1A2BCE"/>
    <w:rsid w:val="7D225061"/>
    <w:rsid w:val="7D2A2168"/>
    <w:rsid w:val="7D2C6D56"/>
    <w:rsid w:val="7D2D1C58"/>
    <w:rsid w:val="7D342FE7"/>
    <w:rsid w:val="7D366D5F"/>
    <w:rsid w:val="7D3A3102"/>
    <w:rsid w:val="7D3D00ED"/>
    <w:rsid w:val="7D3E5A8D"/>
    <w:rsid w:val="7D417D69"/>
    <w:rsid w:val="7D43322A"/>
    <w:rsid w:val="7D4551F4"/>
    <w:rsid w:val="7D4F6073"/>
    <w:rsid w:val="7D511DEB"/>
    <w:rsid w:val="7D5E0064"/>
    <w:rsid w:val="7D657644"/>
    <w:rsid w:val="7D68620F"/>
    <w:rsid w:val="7D711B45"/>
    <w:rsid w:val="7D731D61"/>
    <w:rsid w:val="7D733B0F"/>
    <w:rsid w:val="7D7358BD"/>
    <w:rsid w:val="7D747887"/>
    <w:rsid w:val="7D755AD9"/>
    <w:rsid w:val="7D7E4262"/>
    <w:rsid w:val="7D7F0706"/>
    <w:rsid w:val="7D85337F"/>
    <w:rsid w:val="7D871368"/>
    <w:rsid w:val="7D8C4BD1"/>
    <w:rsid w:val="7D8C7689"/>
    <w:rsid w:val="7D8E0949"/>
    <w:rsid w:val="7D910439"/>
    <w:rsid w:val="7D933016"/>
    <w:rsid w:val="7D957F29"/>
    <w:rsid w:val="7D987C19"/>
    <w:rsid w:val="7D9D293A"/>
    <w:rsid w:val="7D9F4904"/>
    <w:rsid w:val="7DA0067C"/>
    <w:rsid w:val="7DA4016C"/>
    <w:rsid w:val="7DA55C93"/>
    <w:rsid w:val="7DA57A41"/>
    <w:rsid w:val="7DAF3557"/>
    <w:rsid w:val="7DB008BF"/>
    <w:rsid w:val="7DC629E4"/>
    <w:rsid w:val="7DD54E72"/>
    <w:rsid w:val="7DDA3B8E"/>
    <w:rsid w:val="7DF033B2"/>
    <w:rsid w:val="7DF52776"/>
    <w:rsid w:val="7DF53919"/>
    <w:rsid w:val="7DF95DE4"/>
    <w:rsid w:val="7E0230E5"/>
    <w:rsid w:val="7E0724A9"/>
    <w:rsid w:val="7E087D35"/>
    <w:rsid w:val="7E0D25D9"/>
    <w:rsid w:val="7E0E1A8A"/>
    <w:rsid w:val="7E130E4E"/>
    <w:rsid w:val="7E235DDE"/>
    <w:rsid w:val="7E257D31"/>
    <w:rsid w:val="7E2D0162"/>
    <w:rsid w:val="7E2D63B4"/>
    <w:rsid w:val="7E2E3EDA"/>
    <w:rsid w:val="7E326AB8"/>
    <w:rsid w:val="7E3C2153"/>
    <w:rsid w:val="7E42653A"/>
    <w:rsid w:val="7E5020A2"/>
    <w:rsid w:val="7E5959E1"/>
    <w:rsid w:val="7E5A6A7D"/>
    <w:rsid w:val="7E5F22E5"/>
    <w:rsid w:val="7E5F5E41"/>
    <w:rsid w:val="7E617E0B"/>
    <w:rsid w:val="7E633B84"/>
    <w:rsid w:val="7E655B4E"/>
    <w:rsid w:val="7E6D4A02"/>
    <w:rsid w:val="7E6F0860"/>
    <w:rsid w:val="7E722019"/>
    <w:rsid w:val="7E7A2C7B"/>
    <w:rsid w:val="7E7A711F"/>
    <w:rsid w:val="7E892C76"/>
    <w:rsid w:val="7E8B4E88"/>
    <w:rsid w:val="7E9276DB"/>
    <w:rsid w:val="7EA30424"/>
    <w:rsid w:val="7EA36676"/>
    <w:rsid w:val="7EA773F9"/>
    <w:rsid w:val="7EB32DB6"/>
    <w:rsid w:val="7EC14D4E"/>
    <w:rsid w:val="7EC42148"/>
    <w:rsid w:val="7EC565EC"/>
    <w:rsid w:val="7EC65EC0"/>
    <w:rsid w:val="7EC81C39"/>
    <w:rsid w:val="7EC9775F"/>
    <w:rsid w:val="7ECD724F"/>
    <w:rsid w:val="7ED002D9"/>
    <w:rsid w:val="7ED405DD"/>
    <w:rsid w:val="7EDC3936"/>
    <w:rsid w:val="7EDC56E4"/>
    <w:rsid w:val="7EE2719E"/>
    <w:rsid w:val="7EE36A72"/>
    <w:rsid w:val="7EEA6053"/>
    <w:rsid w:val="7EEB587A"/>
    <w:rsid w:val="7EED169F"/>
    <w:rsid w:val="7EEF3669"/>
    <w:rsid w:val="7EF90044"/>
    <w:rsid w:val="7F016EF9"/>
    <w:rsid w:val="7F076C05"/>
    <w:rsid w:val="7F08378A"/>
    <w:rsid w:val="7F0E6500"/>
    <w:rsid w:val="7F1242FF"/>
    <w:rsid w:val="7F127358"/>
    <w:rsid w:val="7F2647E5"/>
    <w:rsid w:val="7F2C666B"/>
    <w:rsid w:val="7F3177DE"/>
    <w:rsid w:val="7F3439F5"/>
    <w:rsid w:val="7F345520"/>
    <w:rsid w:val="7F370B6C"/>
    <w:rsid w:val="7F376DBE"/>
    <w:rsid w:val="7F3D43D5"/>
    <w:rsid w:val="7F4219EB"/>
    <w:rsid w:val="7F45772D"/>
    <w:rsid w:val="7F485EDA"/>
    <w:rsid w:val="7F63180E"/>
    <w:rsid w:val="7F631961"/>
    <w:rsid w:val="7F686F78"/>
    <w:rsid w:val="7F6C211D"/>
    <w:rsid w:val="7F761695"/>
    <w:rsid w:val="7F78365F"/>
    <w:rsid w:val="7F8518D8"/>
    <w:rsid w:val="7F863192"/>
    <w:rsid w:val="7F8A15E4"/>
    <w:rsid w:val="7F8E14D9"/>
    <w:rsid w:val="7F967F89"/>
    <w:rsid w:val="7F9801FA"/>
    <w:rsid w:val="7F9C7A2B"/>
    <w:rsid w:val="7F9E0BEB"/>
    <w:rsid w:val="7FA06711"/>
    <w:rsid w:val="7FA44454"/>
    <w:rsid w:val="7FA52C6D"/>
    <w:rsid w:val="7FAD3455"/>
    <w:rsid w:val="7FB64187"/>
    <w:rsid w:val="7FB977D3"/>
    <w:rsid w:val="7FC22B2C"/>
    <w:rsid w:val="7FC76394"/>
    <w:rsid w:val="7FCE0093"/>
    <w:rsid w:val="7FCF160C"/>
    <w:rsid w:val="7FD12D6F"/>
    <w:rsid w:val="7FD85EAB"/>
    <w:rsid w:val="7FDD34C2"/>
    <w:rsid w:val="7FDF723A"/>
    <w:rsid w:val="7FDF7D6D"/>
    <w:rsid w:val="7FE24F7C"/>
    <w:rsid w:val="7FE361F8"/>
    <w:rsid w:val="7FEC7BA9"/>
    <w:rsid w:val="7FF532F0"/>
    <w:rsid w:val="7FF57D5C"/>
    <w:rsid w:val="7FF627D5"/>
    <w:rsid w:val="7FF76C79"/>
    <w:rsid w:val="7FFC4290"/>
    <w:rsid w:val="93EF3C30"/>
    <w:rsid w:val="9EDD8C7E"/>
    <w:rsid w:val="9FFD2B42"/>
    <w:rsid w:val="9FFEA314"/>
    <w:rsid w:val="AE7F92C4"/>
    <w:rsid w:val="AF7F3794"/>
    <w:rsid w:val="AFDF2616"/>
    <w:rsid w:val="B3AD8D02"/>
    <w:rsid w:val="B9FFB85C"/>
    <w:rsid w:val="BB8DEFB8"/>
    <w:rsid w:val="BF7FB755"/>
    <w:rsid w:val="BF8F9D5C"/>
    <w:rsid w:val="BFFC2CE3"/>
    <w:rsid w:val="D87F6AF6"/>
    <w:rsid w:val="DAFF9E4C"/>
    <w:rsid w:val="DBFBAE30"/>
    <w:rsid w:val="DD5F998E"/>
    <w:rsid w:val="DE7FE855"/>
    <w:rsid w:val="DEF766C8"/>
    <w:rsid w:val="DEFFEC8A"/>
    <w:rsid w:val="DFD731B9"/>
    <w:rsid w:val="DFDED771"/>
    <w:rsid w:val="E70F388E"/>
    <w:rsid w:val="EBA77420"/>
    <w:rsid w:val="EDEB655D"/>
    <w:rsid w:val="EDF5162D"/>
    <w:rsid w:val="EDFB2968"/>
    <w:rsid w:val="EFF4156B"/>
    <w:rsid w:val="F1C5AB2C"/>
    <w:rsid w:val="F2FFAD10"/>
    <w:rsid w:val="F3B770A5"/>
    <w:rsid w:val="F3BEE16D"/>
    <w:rsid w:val="F5FEB951"/>
    <w:rsid w:val="F647673E"/>
    <w:rsid w:val="F75776FD"/>
    <w:rsid w:val="F7BD2773"/>
    <w:rsid w:val="F9270770"/>
    <w:rsid w:val="FA5B450B"/>
    <w:rsid w:val="FADFDB20"/>
    <w:rsid w:val="FBF72DB1"/>
    <w:rsid w:val="FCBB48E4"/>
    <w:rsid w:val="FCDFA1BA"/>
    <w:rsid w:val="FD76938C"/>
    <w:rsid w:val="FD7B5F91"/>
    <w:rsid w:val="FE7F6413"/>
    <w:rsid w:val="FEDDEC05"/>
    <w:rsid w:val="FEFBDC41"/>
    <w:rsid w:val="FFD4206E"/>
    <w:rsid w:val="FFF87D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ascii="Times New Roman" w:hAnsi="Times New Roman" w:eastAsia="黑体"/>
      <w:kern w:val="0"/>
      <w:sz w:val="44"/>
      <w:szCs w:val="20"/>
    </w:rPr>
  </w:style>
  <w:style w:type="paragraph" w:styleId="3">
    <w:name w:val="heading 2"/>
    <w:basedOn w:val="1"/>
    <w:next w:val="1"/>
    <w:link w:val="47"/>
    <w:qFormat/>
    <w:uiPriority w:val="0"/>
    <w:pPr>
      <w:keepNext/>
      <w:keepLines/>
      <w:adjustRightInd w:val="0"/>
      <w:snapToGrid w:val="0"/>
      <w:spacing w:line="360" w:lineRule="auto"/>
      <w:outlineLvl w:val="1"/>
    </w:pPr>
    <w:rPr>
      <w:rFonts w:ascii="宋体" w:hAnsi="宋体"/>
      <w:kern w:val="0"/>
      <w:sz w:val="28"/>
      <w:szCs w:val="20"/>
    </w:rPr>
  </w:style>
  <w:style w:type="paragraph" w:styleId="4">
    <w:name w:val="heading 3"/>
    <w:basedOn w:val="1"/>
    <w:next w:val="1"/>
    <w:unhideWhenUsed/>
    <w:qFormat/>
    <w:uiPriority w:val="0"/>
    <w:pPr>
      <w:keepNext/>
      <w:keepLines/>
      <w:tabs>
        <w:tab w:val="left" w:pos="1134"/>
      </w:tabs>
      <w:spacing w:before="260" w:after="260" w:line="413" w:lineRule="auto"/>
      <w:ind w:left="-284" w:firstLine="284"/>
      <w:outlineLvl w:val="2"/>
    </w:pPr>
    <w:rPr>
      <w:b/>
      <w:bCs/>
      <w:kern w:val="0"/>
      <w:sz w:val="32"/>
      <w:szCs w:val="32"/>
    </w:rPr>
  </w:style>
  <w:style w:type="paragraph" w:styleId="5">
    <w:name w:val="heading 4"/>
    <w:basedOn w:val="1"/>
    <w:next w:val="1"/>
    <w:qFormat/>
    <w:uiPriority w:val="9"/>
    <w:pPr>
      <w:keepNext/>
      <w:keepLines/>
      <w:numPr>
        <w:ilvl w:val="3"/>
        <w:numId w:val="1"/>
      </w:numPr>
      <w:outlineLvl w:val="3"/>
    </w:pPr>
    <w:rPr>
      <w:rFonts w:ascii="方正仿宋_GBK" w:hAnsi="等线 Light" w:eastAsia="方正仿宋_GBK"/>
      <w:b/>
      <w:bCs/>
      <w:sz w:val="24"/>
    </w:rPr>
  </w:style>
  <w:style w:type="paragraph" w:styleId="6">
    <w:name w:val="heading 5"/>
    <w:basedOn w:val="1"/>
    <w:next w:val="1"/>
    <w:qFormat/>
    <w:uiPriority w:val="0"/>
    <w:pPr>
      <w:keepNext/>
      <w:keepLines/>
      <w:spacing w:line="560" w:lineRule="exact"/>
      <w:ind w:firstLine="482" w:firstLineChars="200"/>
      <w:outlineLvl w:val="4"/>
    </w:pPr>
    <w:rPr>
      <w:rFonts w:ascii="宋体" w:hAnsi="宋体"/>
      <w:b/>
      <w:bCs/>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qFormat/>
    <w:uiPriority w:val="0"/>
    <w:pPr>
      <w:adjustRightInd w:val="0"/>
      <w:snapToGrid w:val="0"/>
      <w:spacing w:line="360" w:lineRule="auto"/>
      <w:ind w:left="100" w:leftChars="400" w:hanging="200" w:hangingChars="200"/>
    </w:pPr>
    <w:rPr>
      <w:sz w:val="24"/>
    </w:rPr>
  </w:style>
  <w:style w:type="paragraph" w:styleId="8">
    <w:name w:val="Normal Indent"/>
    <w:basedOn w:val="1"/>
    <w:qFormat/>
    <w:uiPriority w:val="0"/>
    <w:pPr>
      <w:adjustRightInd w:val="0"/>
      <w:snapToGrid w:val="0"/>
      <w:spacing w:line="360" w:lineRule="auto"/>
      <w:ind w:firstLine="420"/>
    </w:pPr>
    <w:rPr>
      <w:rFonts w:ascii="Times New Roman" w:hAnsi="Times New Roman"/>
      <w:sz w:val="24"/>
      <w:szCs w:val="20"/>
    </w:rPr>
  </w:style>
  <w:style w:type="paragraph" w:styleId="9">
    <w:name w:val="annotation text"/>
    <w:basedOn w:val="1"/>
    <w:link w:val="52"/>
    <w:qFormat/>
    <w:uiPriority w:val="0"/>
    <w:pPr>
      <w:jc w:val="left"/>
    </w:pPr>
    <w:rPr>
      <w:rFonts w:ascii="Times New Roman" w:hAnsi="Times New Roman" w:eastAsia="方正仿宋_GBK"/>
      <w:sz w:val="32"/>
      <w:szCs w:val="20"/>
    </w:rPr>
  </w:style>
  <w:style w:type="paragraph" w:styleId="10">
    <w:name w:val="Body Text"/>
    <w:basedOn w:val="1"/>
    <w:next w:val="1"/>
    <w:link w:val="59"/>
    <w:qFormat/>
    <w:uiPriority w:val="0"/>
    <w:rPr>
      <w:rFonts w:eastAsia="仿宋_GB2312"/>
    </w:rPr>
  </w:style>
  <w:style w:type="paragraph" w:styleId="11">
    <w:name w:val="Body Text Indent"/>
    <w:basedOn w:val="1"/>
    <w:qFormat/>
    <w:uiPriority w:val="0"/>
    <w:pPr>
      <w:spacing w:line="700" w:lineRule="exact"/>
      <w:ind w:left="960"/>
    </w:pPr>
    <w:rPr>
      <w:rFonts w:ascii="Times New Roman" w:hAnsi="Times New Roman"/>
      <w:kern w:val="0"/>
      <w:sz w:val="44"/>
      <w:szCs w:val="20"/>
    </w:rPr>
  </w:style>
  <w:style w:type="paragraph" w:styleId="12">
    <w:name w:val="toc 5"/>
    <w:basedOn w:val="1"/>
    <w:next w:val="1"/>
    <w:qFormat/>
    <w:uiPriority w:val="0"/>
    <w:pPr>
      <w:ind w:left="1680" w:leftChars="800"/>
    </w:pPr>
  </w:style>
  <w:style w:type="paragraph" w:styleId="13">
    <w:name w:val="Plain Text"/>
    <w:basedOn w:val="1"/>
    <w:qFormat/>
    <w:uiPriority w:val="0"/>
    <w:pPr>
      <w:adjustRightInd w:val="0"/>
      <w:snapToGrid w:val="0"/>
      <w:spacing w:line="360" w:lineRule="auto"/>
    </w:pPr>
    <w:rPr>
      <w:rFonts w:ascii="宋体" w:hAnsi="Courier New"/>
      <w:kern w:val="0"/>
      <w:sz w:val="20"/>
      <w:szCs w:val="20"/>
    </w:rPr>
  </w:style>
  <w:style w:type="paragraph" w:styleId="14">
    <w:name w:val="Date"/>
    <w:basedOn w:val="1"/>
    <w:next w:val="1"/>
    <w:qFormat/>
    <w:uiPriority w:val="0"/>
    <w:rPr>
      <w:rFonts w:ascii="Times New Roman" w:hAnsi="Times New Roman"/>
      <w:kern w:val="0"/>
      <w:sz w:val="28"/>
      <w:szCs w:val="20"/>
    </w:rPr>
  </w:style>
  <w:style w:type="paragraph" w:styleId="15">
    <w:name w:val="Body Text Indent 2"/>
    <w:basedOn w:val="1"/>
    <w:qFormat/>
    <w:uiPriority w:val="0"/>
    <w:pPr>
      <w:snapToGrid w:val="0"/>
      <w:spacing w:line="440" w:lineRule="atLeast"/>
      <w:ind w:firstLine="570"/>
    </w:pPr>
    <w:rPr>
      <w:rFonts w:ascii="宋体" w:hAnsi="Times New Roman"/>
      <w:kern w:val="0"/>
      <w:sz w:val="28"/>
      <w:szCs w:val="20"/>
    </w:rPr>
  </w:style>
  <w:style w:type="paragraph" w:styleId="16">
    <w:name w:val="Balloon Text"/>
    <w:basedOn w:val="1"/>
    <w:link w:val="51"/>
    <w:qFormat/>
    <w:uiPriority w:val="0"/>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kern w:val="0"/>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19">
    <w:name w:val="toc 1"/>
    <w:basedOn w:val="1"/>
    <w:next w:val="1"/>
    <w:qFormat/>
    <w:uiPriority w:val="39"/>
    <w:pPr>
      <w:tabs>
        <w:tab w:val="left" w:pos="1260"/>
        <w:tab w:val="left" w:pos="1685"/>
        <w:tab w:val="right" w:leader="dot" w:pos="8400"/>
      </w:tabs>
      <w:spacing w:line="360" w:lineRule="auto"/>
    </w:pPr>
    <w:rPr>
      <w:rFonts w:ascii="Times New Roman" w:hAnsi="Times New Roman"/>
      <w:b/>
      <w:sz w:val="28"/>
      <w:szCs w:val="20"/>
    </w:rPr>
  </w:style>
  <w:style w:type="paragraph" w:styleId="20">
    <w:name w:val="List"/>
    <w:basedOn w:val="1"/>
    <w:semiHidden/>
    <w:qFormat/>
    <w:uiPriority w:val="0"/>
    <w:pPr>
      <w:ind w:left="200" w:hanging="200" w:hangingChars="200"/>
    </w:pPr>
  </w:style>
  <w:style w:type="paragraph" w:styleId="21">
    <w:name w:val="index 7"/>
    <w:basedOn w:val="1"/>
    <w:next w:val="1"/>
    <w:qFormat/>
    <w:uiPriority w:val="0"/>
    <w:pPr>
      <w:ind w:left="2520"/>
    </w:pPr>
  </w:style>
  <w:style w:type="paragraph" w:styleId="22">
    <w:name w:val="toc 2"/>
    <w:basedOn w:val="1"/>
    <w:next w:val="1"/>
    <w:qFormat/>
    <w:uiPriority w:val="39"/>
    <w:pPr>
      <w:tabs>
        <w:tab w:val="right" w:leader="dot" w:pos="8400"/>
      </w:tabs>
      <w:spacing w:line="360" w:lineRule="auto"/>
      <w:ind w:firstLine="1040" w:firstLineChars="200"/>
    </w:pPr>
    <w:rPr>
      <w:rFonts w:ascii="Times New Roman" w:hAnsi="Times New Roman"/>
      <w:sz w:val="24"/>
      <w:szCs w:val="20"/>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5">
    <w:name w:val="annotation subject"/>
    <w:basedOn w:val="9"/>
    <w:next w:val="9"/>
    <w:link w:val="54"/>
    <w:qFormat/>
    <w:uiPriority w:val="0"/>
    <w:rPr>
      <w:b/>
      <w:bCs/>
    </w:rPr>
  </w:style>
  <w:style w:type="paragraph" w:styleId="26">
    <w:name w:val="Body Text First Indent"/>
    <w:basedOn w:val="10"/>
    <w:next w:val="7"/>
    <w:qFormat/>
    <w:uiPriority w:val="0"/>
    <w:pPr>
      <w:spacing w:line="360" w:lineRule="auto"/>
      <w:ind w:firstLine="420"/>
    </w:pPr>
    <w:rPr>
      <w:rFonts w:ascii="宋体" w:hAnsi="宋体"/>
      <w:sz w:val="24"/>
    </w:rPr>
  </w:style>
  <w:style w:type="paragraph" w:styleId="27">
    <w:name w:val="Body Text First Indent 2"/>
    <w:basedOn w:val="11"/>
    <w:qFormat/>
    <w:uiPriority w:val="0"/>
    <w:pPr>
      <w:spacing w:after="120" w:afterLines="0" w:afterAutospacing="0" w:line="240" w:lineRule="auto"/>
      <w:ind w:left="420" w:leftChars="200" w:firstLine="420" w:firstLineChars="200"/>
    </w:pPr>
    <w:rPr>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basedOn w:val="30"/>
    <w:qFormat/>
    <w:uiPriority w:val="0"/>
    <w:rPr>
      <w:color w:val="333333"/>
      <w:u w:val="none"/>
    </w:rPr>
  </w:style>
  <w:style w:type="character" w:styleId="33">
    <w:name w:val="Emphasis"/>
    <w:basedOn w:val="30"/>
    <w:qFormat/>
    <w:uiPriority w:val="0"/>
  </w:style>
  <w:style w:type="character" w:styleId="34">
    <w:name w:val="HTML Definition"/>
    <w:basedOn w:val="30"/>
    <w:qFormat/>
    <w:uiPriority w:val="0"/>
  </w:style>
  <w:style w:type="character" w:styleId="35">
    <w:name w:val="HTML Typewriter"/>
    <w:basedOn w:val="30"/>
    <w:qFormat/>
    <w:uiPriority w:val="0"/>
    <w:rPr>
      <w:rFonts w:hint="default" w:ascii="monospace" w:hAnsi="monospace" w:eastAsia="monospace" w:cs="monospace"/>
      <w:sz w:val="20"/>
    </w:rPr>
  </w:style>
  <w:style w:type="character" w:styleId="36">
    <w:name w:val="HTML Acronym"/>
    <w:basedOn w:val="30"/>
    <w:qFormat/>
    <w:uiPriority w:val="0"/>
  </w:style>
  <w:style w:type="character" w:styleId="37">
    <w:name w:val="HTML Variable"/>
    <w:basedOn w:val="30"/>
    <w:qFormat/>
    <w:uiPriority w:val="0"/>
  </w:style>
  <w:style w:type="character" w:styleId="38">
    <w:name w:val="Hyperlink"/>
    <w:qFormat/>
    <w:uiPriority w:val="99"/>
    <w:rPr>
      <w:color w:val="0000FF"/>
      <w:u w:val="single"/>
    </w:rPr>
  </w:style>
  <w:style w:type="character" w:styleId="39">
    <w:name w:val="HTML Code"/>
    <w:basedOn w:val="30"/>
    <w:qFormat/>
    <w:uiPriority w:val="0"/>
    <w:rPr>
      <w:rFonts w:hint="default" w:ascii="monospace" w:hAnsi="monospace" w:eastAsia="monospace" w:cs="monospace"/>
      <w:sz w:val="20"/>
    </w:rPr>
  </w:style>
  <w:style w:type="character" w:styleId="40">
    <w:name w:val="annotation reference"/>
    <w:basedOn w:val="30"/>
    <w:qFormat/>
    <w:uiPriority w:val="0"/>
    <w:rPr>
      <w:sz w:val="21"/>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ascii="monospace" w:hAnsi="monospace" w:eastAsia="monospace" w:cs="monospace"/>
    </w:rPr>
  </w:style>
  <w:style w:type="paragraph" w:customStyle="1" w:styleId="44">
    <w:name w:val="电建正文"/>
    <w:basedOn w:val="45"/>
    <w:qFormat/>
    <w:uiPriority w:val="0"/>
    <w:pPr>
      <w:tabs>
        <w:tab w:val="left" w:pos="720"/>
      </w:tabs>
      <w:spacing w:line="360" w:lineRule="auto"/>
      <w:ind w:firstLine="200" w:firstLineChars="200"/>
    </w:pPr>
    <w:rPr>
      <w:rFonts w:ascii="Tahoma" w:hAnsi="Tahoma"/>
      <w:sz w:val="24"/>
    </w:rPr>
  </w:style>
  <w:style w:type="paragraph" w:customStyle="1" w:styleId="45">
    <w:name w:val="List First"/>
    <w:basedOn w:val="20"/>
    <w:next w:val="20"/>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46">
    <w:name w:val="默认"/>
    <w:qFormat/>
    <w:uiPriority w:val="0"/>
    <w:rPr>
      <w:rFonts w:ascii="Helvetica" w:hAnsi="Helvetica" w:eastAsia="Helvetica" w:cs="Helvetica"/>
      <w:color w:val="000000"/>
      <w:sz w:val="22"/>
      <w:szCs w:val="22"/>
      <w:lang w:val="en-US" w:eastAsia="zh-CN" w:bidi="ar-SA"/>
    </w:rPr>
  </w:style>
  <w:style w:type="character" w:customStyle="1" w:styleId="47">
    <w:name w:val="标题 2 Char"/>
    <w:link w:val="3"/>
    <w:qFormat/>
    <w:uiPriority w:val="0"/>
    <w:rPr>
      <w:rFonts w:ascii="宋体" w:hAnsi="宋体"/>
      <w:sz w:val="28"/>
    </w:rPr>
  </w:style>
  <w:style w:type="paragraph" w:customStyle="1" w:styleId="48">
    <w:name w:val="图例"/>
    <w:basedOn w:val="1"/>
    <w:qFormat/>
    <w:uiPriority w:val="0"/>
    <w:pPr>
      <w:spacing w:before="120" w:after="120" w:line="360" w:lineRule="auto"/>
      <w:jc w:val="center"/>
    </w:pPr>
    <w:rPr>
      <w:rFonts w:ascii="Times New Roman" w:hAnsi="Times New Roman" w:eastAsia="仿宋_GB2312"/>
      <w:b/>
      <w:sz w:val="24"/>
      <w:szCs w:val="20"/>
    </w:rPr>
  </w:style>
  <w:style w:type="paragraph" w:customStyle="1" w:styleId="4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50">
    <w:name w:val="修订1"/>
    <w:hidden/>
    <w:unhideWhenUsed/>
    <w:qFormat/>
    <w:uiPriority w:val="99"/>
    <w:rPr>
      <w:rFonts w:ascii="Calibri" w:hAnsi="Calibri" w:eastAsia="宋体" w:cs="Times New Roman"/>
      <w:kern w:val="2"/>
      <w:sz w:val="21"/>
      <w:szCs w:val="22"/>
      <w:lang w:val="en-US" w:eastAsia="zh-CN" w:bidi="ar-SA"/>
    </w:rPr>
  </w:style>
  <w:style w:type="character" w:customStyle="1" w:styleId="51">
    <w:name w:val="批注框文本 Char"/>
    <w:basedOn w:val="30"/>
    <w:link w:val="16"/>
    <w:qFormat/>
    <w:uiPriority w:val="0"/>
    <w:rPr>
      <w:rFonts w:ascii="Calibri" w:hAnsi="Calibri"/>
      <w:kern w:val="2"/>
      <w:sz w:val="18"/>
      <w:szCs w:val="18"/>
    </w:rPr>
  </w:style>
  <w:style w:type="character" w:customStyle="1" w:styleId="52">
    <w:name w:val="批注文字 Char1"/>
    <w:link w:val="9"/>
    <w:qFormat/>
    <w:uiPriority w:val="0"/>
    <w:rPr>
      <w:rFonts w:eastAsia="方正仿宋_GBK"/>
      <w:kern w:val="2"/>
      <w:sz w:val="32"/>
    </w:rPr>
  </w:style>
  <w:style w:type="character" w:customStyle="1" w:styleId="53">
    <w:name w:val="批注文字 Char"/>
    <w:basedOn w:val="30"/>
    <w:qFormat/>
    <w:uiPriority w:val="0"/>
    <w:rPr>
      <w:rFonts w:ascii="Calibri" w:hAnsi="Calibri"/>
      <w:kern w:val="2"/>
      <w:sz w:val="21"/>
      <w:szCs w:val="22"/>
    </w:rPr>
  </w:style>
  <w:style w:type="character" w:customStyle="1" w:styleId="54">
    <w:name w:val="批注主题 Char1"/>
    <w:link w:val="25"/>
    <w:qFormat/>
    <w:uiPriority w:val="0"/>
    <w:rPr>
      <w:rFonts w:eastAsia="方正仿宋_GBK"/>
      <w:b/>
      <w:bCs/>
      <w:kern w:val="2"/>
      <w:sz w:val="32"/>
    </w:rPr>
  </w:style>
  <w:style w:type="character" w:customStyle="1" w:styleId="55">
    <w:name w:val="批注主题 Char"/>
    <w:basedOn w:val="53"/>
    <w:qFormat/>
    <w:uiPriority w:val="0"/>
    <w:rPr>
      <w:rFonts w:ascii="Calibri" w:hAnsi="Calibri"/>
      <w:b/>
      <w:bCs/>
      <w:kern w:val="2"/>
      <w:sz w:val="21"/>
      <w:szCs w:val="22"/>
    </w:rPr>
  </w:style>
  <w:style w:type="character" w:customStyle="1" w:styleId="56">
    <w:name w:val="cf01"/>
    <w:qFormat/>
    <w:uiPriority w:val="0"/>
    <w:rPr>
      <w:rFonts w:hint="eastAsia" w:ascii="Microsoft YaHei UI" w:hAnsi="Microsoft YaHei UI" w:eastAsia="Microsoft YaHei UI"/>
      <w:sz w:val="18"/>
      <w:szCs w:val="18"/>
    </w:rPr>
  </w:style>
  <w:style w:type="paragraph" w:customStyle="1" w:styleId="57">
    <w:name w:val="ql-align-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修订2"/>
    <w:hidden/>
    <w:unhideWhenUsed/>
    <w:qFormat/>
    <w:uiPriority w:val="99"/>
    <w:rPr>
      <w:rFonts w:ascii="Calibri" w:hAnsi="Calibri" w:eastAsia="宋体" w:cs="Times New Roman"/>
      <w:kern w:val="2"/>
      <w:sz w:val="21"/>
      <w:szCs w:val="22"/>
      <w:lang w:val="en-US" w:eastAsia="zh-CN" w:bidi="ar-SA"/>
    </w:rPr>
  </w:style>
  <w:style w:type="character" w:customStyle="1" w:styleId="59">
    <w:name w:val="正文文本 Char"/>
    <w:basedOn w:val="30"/>
    <w:link w:val="10"/>
    <w:qFormat/>
    <w:uiPriority w:val="0"/>
    <w:rPr>
      <w:rFonts w:ascii="Calibri" w:hAnsi="Calibri" w:eastAsia="仿宋_GB2312"/>
      <w:kern w:val="2"/>
      <w:sz w:val="21"/>
      <w:szCs w:val="22"/>
    </w:rPr>
  </w:style>
  <w:style w:type="character" w:customStyle="1" w:styleId="60">
    <w:name w:val="font31"/>
    <w:qFormat/>
    <w:uiPriority w:val="0"/>
    <w:rPr>
      <w:rFonts w:hint="default" w:ascii="Times New Roman" w:hAnsi="Times New Roman" w:cs="Times New Roman"/>
      <w:color w:val="000000"/>
      <w:sz w:val="20"/>
      <w:szCs w:val="20"/>
      <w:u w:val="none"/>
    </w:rPr>
  </w:style>
  <w:style w:type="paragraph" w:customStyle="1" w:styleId="61">
    <w:name w:val="Table Text"/>
    <w:basedOn w:val="1"/>
    <w:semiHidden/>
    <w:qFormat/>
    <w:uiPriority w:val="0"/>
    <w:rPr>
      <w:rFonts w:ascii="等线" w:hAnsi="等线" w:eastAsia="等线" w:cs="等线"/>
      <w:sz w:val="21"/>
      <w:szCs w:val="21"/>
      <w:lang w:val="en-US" w:eastAsia="en-US" w:bidi="ar-SA"/>
    </w:rPr>
  </w:style>
  <w:style w:type="table" w:customStyle="1" w:styleId="62">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63">
    <w:name w:val="列表段落1"/>
    <w:basedOn w:val="1"/>
    <w:qFormat/>
    <w:uiPriority w:val="34"/>
    <w:pPr>
      <w:ind w:firstLine="420" w:firstLineChars="200"/>
    </w:pPr>
  </w:style>
  <w:style w:type="paragraph" w:customStyle="1" w:styleId="64">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云南省教育厅</Company>
  <Pages>39</Pages>
  <Words>2285</Words>
  <Characters>2449</Characters>
  <Lines>298</Lines>
  <Paragraphs>84</Paragraphs>
  <TotalTime>48</TotalTime>
  <ScaleCrop>false</ScaleCrop>
  <LinksUpToDate>false</LinksUpToDate>
  <CharactersWithSpaces>2514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2024-12-02T01:28:00Z</dcterms:created>
  <dc:creator>伍鹏</dc:creator>
  <cp:lastModifiedBy>PC</cp:lastModifiedBy>
  <cp:lastPrinted>2025-08-27T10:18:00Z</cp:lastPrinted>
  <dcterms:modified xsi:type="dcterms:W3CDTF">2026-05-08T07:33:59Z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665BC0A3FB80455BA989ED32E5730982_13</vt:lpwstr>
  </property>
  <property fmtid="{D5CDD505-2E9C-101B-9397-08002B2CF9AE}" pid="4" name="KSOTemplateDocerSaveRecord">
    <vt:lpwstr>eyJoZGlkIjoiOGViYjI2ZTMyMmNhZmZjZTQ3M2YwN2QwMGU1YzBlYzciLCJ1c2VySWQiOiIxMjA3NjI4MjM5In0=</vt:lpwstr>
  </property>
</Properties>
</file>